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30CAC" w14:paraId="3EBFFB5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CEBF058" w14:textId="412EED5D" w:rsidR="00751A4A" w:rsidRPr="00E30CAC" w:rsidRDefault="00F46B0C" w:rsidP="0010095E">
            <w:pPr>
              <w:pStyle w:val="EPName"/>
            </w:pPr>
            <w:r w:rsidRPr="00E30CAC">
              <w:t>Европейски</w:t>
            </w:r>
            <w:r w:rsidR="00634C98" w:rsidRPr="00E30CAC">
              <w:t xml:space="preserve"> парламент</w:t>
            </w:r>
          </w:p>
          <w:p w14:paraId="427023EE" w14:textId="2BB50914" w:rsidR="00751A4A" w:rsidRPr="00E30CA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0CAC">
              <w:t>2024</w:t>
            </w:r>
            <w:r w:rsidR="00F46B0C">
              <w:rPr>
                <w:lang w:val="en-GB"/>
              </w:rPr>
              <w:t> – </w:t>
            </w:r>
            <w:r w:rsidR="00817416" w:rsidRPr="00E30CAC">
              <w:t>202</w:t>
            </w:r>
            <w:r w:rsidRPr="00E30CAC">
              <w:t>9</w:t>
            </w:r>
          </w:p>
        </w:tc>
        <w:tc>
          <w:tcPr>
            <w:tcW w:w="2268" w:type="dxa"/>
            <w:shd w:val="clear" w:color="auto" w:fill="auto"/>
          </w:tcPr>
          <w:p w14:paraId="631F31A2" w14:textId="77777777" w:rsidR="00751A4A" w:rsidRPr="00E30CAC" w:rsidRDefault="00187494" w:rsidP="0010095E">
            <w:pPr>
              <w:pStyle w:val="EPLogo"/>
            </w:pPr>
            <w:r w:rsidRPr="00E30CAC">
              <w:rPr>
                <w:noProof/>
                <w:lang w:eastAsia="ja-JP"/>
              </w:rPr>
              <w:drawing>
                <wp:inline distT="0" distB="0" distL="0" distR="0" wp14:anchorId="622E0D92" wp14:editId="1BCB90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19996F" w14:textId="77777777" w:rsidR="00D058B8" w:rsidRPr="00E30CAC" w:rsidRDefault="00D058B8" w:rsidP="004C5D52">
      <w:pPr>
        <w:pStyle w:val="LineTop"/>
      </w:pPr>
    </w:p>
    <w:p w14:paraId="7F2021F2" w14:textId="404AECC4" w:rsidR="00680577" w:rsidRPr="00E30CAC" w:rsidRDefault="00634C98" w:rsidP="00680577">
      <w:pPr>
        <w:pStyle w:val="EPBodyTA1"/>
      </w:pPr>
      <w:r w:rsidRPr="00E30CAC">
        <w:t>ПРИЕТИ ТЕКСТОВЕ</w:t>
      </w:r>
    </w:p>
    <w:p w14:paraId="0EC32CF7" w14:textId="77777777" w:rsidR="00D058B8" w:rsidRPr="00E30CAC" w:rsidRDefault="00D058B8" w:rsidP="00D058B8">
      <w:pPr>
        <w:pStyle w:val="LineBottom"/>
      </w:pPr>
    </w:p>
    <w:p w14:paraId="5ED9D63C" w14:textId="42EB3945" w:rsidR="00634C98" w:rsidRPr="00DA3139" w:rsidRDefault="00634C98" w:rsidP="00634C98">
      <w:pPr>
        <w:pStyle w:val="ATHeading1"/>
      </w:pPr>
      <w:bookmarkStart w:id="0" w:name="TANumber"/>
      <w:r w:rsidRPr="00E30CAC">
        <w:t>P10_TA(2026)0</w:t>
      </w:r>
      <w:r w:rsidR="00DA3139">
        <w:rPr>
          <w:lang w:val="en-GB"/>
        </w:rPr>
        <w:t>163</w:t>
      </w:r>
      <w:bookmarkEnd w:id="0"/>
    </w:p>
    <w:p w14:paraId="60A2737A" w14:textId="77777777" w:rsidR="00634C98" w:rsidRPr="00E30CAC" w:rsidRDefault="00634C98" w:rsidP="00634C98">
      <w:pPr>
        <w:pStyle w:val="ATHeading2"/>
      </w:pPr>
      <w:bookmarkStart w:id="1" w:name="title"/>
      <w:r w:rsidRPr="00E30CAC">
        <w:t>Необходимостта от целенасочени наказателни разпоредби и отговорността на платформите за ефективно справяне с кибертормоза и онлайн тормоза</w:t>
      </w:r>
      <w:bookmarkEnd w:id="1"/>
    </w:p>
    <w:p w14:paraId="09F201DC" w14:textId="66FF7301" w:rsidR="00634C98" w:rsidRPr="00E30CAC" w:rsidRDefault="00634C98" w:rsidP="00634C98">
      <w:pPr>
        <w:rPr>
          <w:i/>
          <w:vanish/>
        </w:rPr>
      </w:pPr>
      <w:r w:rsidRPr="00E30CAC">
        <w:rPr>
          <w:i/>
        </w:rPr>
        <w:fldChar w:fldCharType="begin"/>
      </w:r>
      <w:r w:rsidRPr="00E30CAC">
        <w:rPr>
          <w:i/>
        </w:rPr>
        <w:instrText xml:space="preserve"> TC"(</w:instrText>
      </w:r>
      <w:bookmarkStart w:id="2" w:name="DocNumber"/>
      <w:r w:rsidRPr="00E30CAC">
        <w:rPr>
          <w:i/>
        </w:rPr>
        <w:instrText>B10-0206</w:instrText>
      </w:r>
      <w:r w:rsidR="00F46B0C">
        <w:rPr>
          <w:i/>
          <w:lang w:val="en-GB"/>
        </w:rPr>
        <w:instrText xml:space="preserve">, 0213 </w:instrText>
      </w:r>
      <w:r w:rsidR="00F46B0C">
        <w:rPr>
          <w:i/>
        </w:rPr>
        <w:instrText>и 0235</w:instrText>
      </w:r>
      <w:r w:rsidRPr="00E30CAC">
        <w:rPr>
          <w:i/>
        </w:rPr>
        <w:instrText>/2026</w:instrText>
      </w:r>
      <w:bookmarkEnd w:id="2"/>
      <w:r w:rsidRPr="00E30CAC">
        <w:rPr>
          <w:i/>
        </w:rPr>
        <w:instrText xml:space="preserve">)"\l3 \n&gt; \* MERGEFORMAT </w:instrText>
      </w:r>
      <w:r w:rsidRPr="00E30CAC">
        <w:rPr>
          <w:i/>
        </w:rPr>
        <w:fldChar w:fldCharType="end"/>
      </w:r>
    </w:p>
    <w:p w14:paraId="6358E744" w14:textId="77777777" w:rsidR="00634C98" w:rsidRPr="00E30CAC" w:rsidRDefault="00634C98" w:rsidP="00634C98">
      <w:pPr>
        <w:rPr>
          <w:vanish/>
        </w:rPr>
      </w:pPr>
      <w:bookmarkStart w:id="3" w:name="PE"/>
      <w:r w:rsidRPr="00E30CAC">
        <w:rPr>
          <w:vanish/>
        </w:rPr>
        <w:t>PE783.241</w:t>
      </w:r>
      <w:bookmarkEnd w:id="3"/>
    </w:p>
    <w:p w14:paraId="372E9602" w14:textId="4F3872F8" w:rsidR="00634C98" w:rsidRPr="00E30CAC" w:rsidRDefault="00634C98" w:rsidP="00634C98">
      <w:pPr>
        <w:pStyle w:val="ATHeading3"/>
      </w:pPr>
      <w:bookmarkStart w:id="4" w:name="Sujet"/>
      <w:r w:rsidRPr="00E30CAC">
        <w:t xml:space="preserve">Резолюция на Европейския парламент от </w:t>
      </w:r>
      <w:r w:rsidR="00F46B0C">
        <w:rPr>
          <w:lang w:val="en-GB"/>
        </w:rPr>
        <w:t xml:space="preserve">30 </w:t>
      </w:r>
      <w:r w:rsidR="00F46B0C">
        <w:t>април</w:t>
      </w:r>
      <w:r w:rsidRPr="00E30CAC">
        <w:t xml:space="preserve"> 2026 г. относно необходимостта от целенасочени наказателни разпоредби и отговорност на платформите за ефективно справяне с кибертормоза и онлайн тормоза</w:t>
      </w:r>
      <w:bookmarkEnd w:id="4"/>
      <w:r w:rsidRPr="00E30CAC">
        <w:t xml:space="preserve"> </w:t>
      </w:r>
      <w:bookmarkStart w:id="5" w:name="References"/>
      <w:r w:rsidRPr="00E30CAC">
        <w:t>(2026/2693(RSP))</w:t>
      </w:r>
      <w:bookmarkEnd w:id="5"/>
    </w:p>
    <w:p w14:paraId="31E5D2C4" w14:textId="77777777" w:rsidR="003B0D13" w:rsidRPr="00E30CAC" w:rsidRDefault="003B0D13" w:rsidP="003B0D13">
      <w:pPr>
        <w:pStyle w:val="EPComma"/>
      </w:pPr>
      <w:bookmarkStart w:id="6" w:name="TextBodyBegin"/>
      <w:bookmarkEnd w:id="6"/>
      <w:r w:rsidRPr="00E30CAC">
        <w:rPr>
          <w:i/>
          <w:iCs/>
        </w:rPr>
        <w:t>Европейският парламент</w:t>
      </w:r>
      <w:r w:rsidRPr="00E30CAC">
        <w:t>,</w:t>
      </w:r>
    </w:p>
    <w:p w14:paraId="58D36C0A" w14:textId="77777777" w:rsidR="003B0D13" w:rsidRPr="00E30CAC" w:rsidRDefault="003B0D13" w:rsidP="003B0D13">
      <w:pPr>
        <w:pStyle w:val="NormalHanging12a"/>
      </w:pPr>
      <w:bookmarkStart w:id="7" w:name="_Hlk228352863"/>
      <w:r w:rsidRPr="00E30CAC">
        <w:t>–</w:t>
      </w:r>
      <w:r w:rsidRPr="00E30CAC">
        <w:tab/>
        <w:t>като взе предвид Хартата на основните права на Европейския съюз, и по-специално нейните членове относно човешкото достойнство, правото на живот, свободата на изразяване на мнение, правата на детето, правата на жертвите, неприкосновеността на комуникациите и защитата на личните данни,</w:t>
      </w:r>
    </w:p>
    <w:p w14:paraId="41E4965F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Конвенцията на Организацията на обединените нации за правата на детето,</w:t>
      </w:r>
    </w:p>
    <w:p w14:paraId="79699313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член 83, параграфи 1 и 2 от Договора за функционирането на Европейския съюз (ДФЕС),</w:t>
      </w:r>
    </w:p>
    <w:p w14:paraId="623C3490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Директива 2011/93/ЕС на Европейския парламент и на Съвета от 13 декември 2011 г. относно борбата със сексуалното насилие и със сексуалната експлоатация на деца, както и с детската порнография и за замяна на Рамково решение 2004/68/ПВР на Съвета</w:t>
      </w:r>
      <w:r w:rsidRPr="00E30CAC">
        <w:rPr>
          <w:rStyle w:val="FootnoteReference"/>
        </w:rPr>
        <w:footnoteReference w:id="1"/>
      </w:r>
      <w:r w:rsidRPr="00E30CAC">
        <w:t>,</w:t>
      </w:r>
    </w:p>
    <w:p w14:paraId="3AB97179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Директива 2012/29/ЕС на Европейския парламент и на Съвета от 25 октомври 2012 г. за установяване на минимални стандарти за правата, подкрепата и защитата на жертвите на престъпления и за замяна на Рамково решение 2001/220/ПВР</w:t>
      </w:r>
      <w:r w:rsidRPr="00E30CAC">
        <w:rPr>
          <w:rStyle w:val="FootnoteReference"/>
        </w:rPr>
        <w:footnoteReference w:id="2"/>
      </w:r>
      <w:r w:rsidRPr="00E30CAC">
        <w:t xml:space="preserve"> („Директива за правата на жертвите“),</w:t>
      </w:r>
    </w:p>
    <w:p w14:paraId="7742FDC7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 xml:space="preserve">като взе предвид Директива (ЕС) 2018/1808 на Европейския парламент и на Съвета от 14 ноември 2018 г. за изменение на Директива 2010/13/ЕС за координирането на някои разпоредби, установени в закони, подзаконови и </w:t>
      </w:r>
      <w:r w:rsidRPr="00E30CAC">
        <w:lastRenderedPageBreak/>
        <w:t>административни актове на държавите членки, отнасящи се до предоставянето на аудиовизуални медийни услуги (Директива за аудиовизуалните медийни услуги), предвид променящите се пазарни условия</w:t>
      </w:r>
      <w:r w:rsidRPr="00E30CAC">
        <w:rPr>
          <w:rStyle w:val="FootnoteReference"/>
        </w:rPr>
        <w:footnoteReference w:id="3"/>
      </w:r>
      <w:r w:rsidRPr="00E30CAC">
        <w:t>,</w:t>
      </w:r>
    </w:p>
    <w:p w14:paraId="600EBECA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Директива (ЕС) 2024/1385 на Европейския парламент и на Съвета от 14 май 2024 г. относно борбата с насилието над жени и домашното насилие</w:t>
      </w:r>
      <w:r w:rsidRPr="00E30CAC">
        <w:rPr>
          <w:rStyle w:val="FootnoteReference"/>
        </w:rPr>
        <w:footnoteReference w:id="4"/>
      </w:r>
      <w:r w:rsidRPr="00E30CAC">
        <w:t>,</w:t>
      </w:r>
    </w:p>
    <w:p w14:paraId="30BA4332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Регламент (ЕС) 2022/2065 на Европейския парламент и на Съвета от 19 октомври 2022 г. относно единния пазар на цифрови услуги и за изменение на Директива 2000/31/ЕО (Акт за цифровите услуги)</w:t>
      </w:r>
      <w:r w:rsidRPr="00E30CAC">
        <w:rPr>
          <w:rStyle w:val="FootnoteReference"/>
        </w:rPr>
        <w:footnoteReference w:id="5"/>
      </w:r>
      <w:r w:rsidRPr="00E30CAC">
        <w:t>,</w:t>
      </w:r>
    </w:p>
    <w:p w14:paraId="74B099A5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Регламент (ЕС) 2024/1689 на Европейския парламент и на Съвета от 13 юни 2024 г. за установяване на хармонизирани правила относно изкуствения интелект и за изменение на регламенти (ЕО) № 300/2008, (ЕС) № 167/2013, (ЕС) № 168/2013, (ЕС) 2018/858, (ЕС) 2018/1139 и (ЕС) 2019/2144 и директиви 2014/90/ЕС, (ЕС) 2016/797 и (ЕС) 2020/1828 (Акт за изкуствения интелект)</w:t>
      </w:r>
      <w:r w:rsidRPr="00E30CAC">
        <w:rPr>
          <w:rStyle w:val="FootnoteReference"/>
        </w:rPr>
        <w:footnoteReference w:id="6"/>
      </w:r>
      <w:r w:rsidRPr="00E30CAC">
        <w:t>,</w:t>
      </w:r>
    </w:p>
    <w:p w14:paraId="36034FE5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насоките на Комисията от 10 октомври 2025 г. относно мерките за гарантиране на високо ниво на неприкосновеност на личния живот, безопасност и сигурност на малолетните и непълнолетните лица в интернет в съответствие с член 28, параграф 4 от Регламент (ЕС) 2022/2065</w:t>
      </w:r>
      <w:r w:rsidRPr="00E30CAC">
        <w:rPr>
          <w:rStyle w:val="FootnoteReference"/>
        </w:rPr>
        <w:footnoteReference w:id="7"/>
      </w:r>
      <w:r w:rsidRPr="00E30CAC">
        <w:t>,</w:t>
      </w:r>
    </w:p>
    <w:p w14:paraId="381CCEE5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съобщението на Комисията от 10 февруари 2026 г., озаглавено „План за действие срещу кибертормоза „По-безопасна онлайн среда, по-силни заедно“ (COM(2026)0071),</w:t>
      </w:r>
    </w:p>
    <w:p w14:paraId="443A04B4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доклада на Комисията от 25 ноември 2025 г., озаглавен „</w:t>
      </w:r>
      <w:proofErr w:type="spellStart"/>
      <w:r w:rsidRPr="00E30CAC">
        <w:t>Cyberbullying</w:t>
      </w:r>
      <w:proofErr w:type="spellEnd"/>
      <w:r w:rsidRPr="00E30CAC">
        <w:t xml:space="preserve"> – </w:t>
      </w:r>
      <w:proofErr w:type="spellStart"/>
      <w:r w:rsidRPr="00E30CAC">
        <w:t>Insights</w:t>
      </w:r>
      <w:proofErr w:type="spellEnd"/>
      <w:r w:rsidRPr="00E30CAC">
        <w:t xml:space="preserve"> </w:t>
      </w:r>
      <w:proofErr w:type="spellStart"/>
      <w:r w:rsidRPr="00E30CAC">
        <w:t>from</w:t>
      </w:r>
      <w:proofErr w:type="spellEnd"/>
      <w:r w:rsidRPr="00E30CAC">
        <w:t xml:space="preserve"> </w:t>
      </w:r>
      <w:proofErr w:type="spellStart"/>
      <w:r w:rsidRPr="00E30CAC">
        <w:t>science</w:t>
      </w:r>
      <w:proofErr w:type="spellEnd"/>
      <w:r w:rsidRPr="00E30CAC">
        <w:t xml:space="preserve">, </w:t>
      </w:r>
      <w:proofErr w:type="spellStart"/>
      <w:r w:rsidRPr="00E30CAC">
        <w:t>policy</w:t>
      </w:r>
      <w:proofErr w:type="spellEnd"/>
      <w:r w:rsidRPr="00E30CAC">
        <w:t xml:space="preserve"> </w:t>
      </w:r>
      <w:proofErr w:type="spellStart"/>
      <w:r w:rsidRPr="00E30CAC">
        <w:t>and</w:t>
      </w:r>
      <w:proofErr w:type="spellEnd"/>
      <w:r w:rsidRPr="00E30CAC">
        <w:t xml:space="preserve"> </w:t>
      </w:r>
      <w:proofErr w:type="spellStart"/>
      <w:r w:rsidRPr="00E30CAC">
        <w:t>legislation</w:t>
      </w:r>
      <w:proofErr w:type="spellEnd"/>
      <w:r w:rsidRPr="00E30CAC">
        <w:t>“ („Кибертормоз — данни от областта на науката, политиката и законодателството“,</w:t>
      </w:r>
    </w:p>
    <w:p w14:paraId="00D33B3F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съобщението на Комисията от 11 май 2022 г., озаглавено „Цифрово десетилетие за децата и младежите: новата европейска стратегия за по-добър интернет за децата (BIK+)“ (COM(2022)0212),</w:t>
      </w:r>
    </w:p>
    <w:p w14:paraId="429488CC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съобщението на Комисията от 9 декември 2021 г., озаглавено „По-приобщаваща и защитена Европа: разширяване на списъка на престъпленията в Европа, за да обхване речта на омразата и престъпленията от омраза“ (COM(2021)0777), и приложеното към него предложение за решение на Съвета,</w:t>
      </w:r>
    </w:p>
    <w:p w14:paraId="5750DAB1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своята резолюция от 18 януари 2024 г. относно разширяването на списъка на престъпленията, установени на равнището на ЕС, за да обхване речта на омразата и престъпленията от омраза</w:t>
      </w:r>
      <w:r w:rsidRPr="00E30CAC">
        <w:rPr>
          <w:rStyle w:val="FootnoteReference"/>
        </w:rPr>
        <w:footnoteReference w:id="8"/>
      </w:r>
      <w:r w:rsidRPr="00E30CAC">
        <w:t>,</w:t>
      </w:r>
    </w:p>
    <w:p w14:paraId="53E2A2C6" w14:textId="77777777" w:rsidR="003B0D13" w:rsidRPr="00E30CAC" w:rsidRDefault="003B0D13" w:rsidP="003B0D13">
      <w:pPr>
        <w:pStyle w:val="NormalHanging12a"/>
      </w:pPr>
      <w:r w:rsidRPr="00E30CAC">
        <w:lastRenderedPageBreak/>
        <w:t>–</w:t>
      </w:r>
      <w:r w:rsidRPr="00E30CAC">
        <w:tab/>
        <w:t>като взе предвид националното законодателство срещу кибертормоза, включително ирландския закон „Коко“,</w:t>
      </w:r>
    </w:p>
    <w:p w14:paraId="388B640A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речта на Джаки Фокс, майката на Коко Фокс, произнесена от в Европейския парламент на 10 март 2026 г. по случай Международния ден на жената,</w:t>
      </w:r>
    </w:p>
    <w:p w14:paraId="5689B2DE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Стратегията на Комисията от 8 октомври 2025 г. за равнопоставеност на ЛГБТИК+ лицата за периода 2026—2030 г., (COM(2025)0725),</w:t>
      </w:r>
    </w:p>
    <w:p w14:paraId="7B9FC350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своята резолюция от 26 ноември 2025 г. относно защитата на малолетните и непълнолетните лица онлайн</w:t>
      </w:r>
      <w:r w:rsidRPr="00E30CAC">
        <w:rPr>
          <w:rStyle w:val="FootnoteReference"/>
        </w:rPr>
        <w:footnoteReference w:id="9"/>
      </w:r>
      <w:r w:rsidRPr="00E30CAC">
        <w:t>,</w:t>
      </w:r>
    </w:p>
    <w:p w14:paraId="3B14DE02" w14:textId="77777777" w:rsidR="003B0D13" w:rsidRPr="00E30CAC" w:rsidRDefault="003B0D13" w:rsidP="003B0D13">
      <w:pPr>
        <w:pStyle w:val="NormalHanging12a"/>
      </w:pPr>
      <w:r w:rsidRPr="00E30CAC">
        <w:t>–</w:t>
      </w:r>
      <w:r w:rsidRPr="00E30CAC">
        <w:tab/>
        <w:t>като взе предвид член 136, параграфи 2 и 4 от своя Правилник за дейността,</w:t>
      </w:r>
    </w:p>
    <w:p w14:paraId="2A95B5A4" w14:textId="77777777" w:rsidR="003B0D13" w:rsidRPr="00E30CAC" w:rsidRDefault="003B0D13" w:rsidP="003B0D13">
      <w:pPr>
        <w:pStyle w:val="NormalHanging12a"/>
      </w:pPr>
      <w:r w:rsidRPr="00E30CAC">
        <w:t>А.</w:t>
      </w:r>
      <w:r w:rsidRPr="00E30CAC">
        <w:tab/>
        <w:t>като има предвид, че кибертормозът се изразява в поведение, проявяващо се чрез цифрови технологии, чието основно намерение или чийто резултат е многократно или непрекъснато унижаване, социално изключване, тормоз или нанасяне на вреди на хора, и по-специално на деца или млади хора, или злоупотреба с тях;</w:t>
      </w:r>
    </w:p>
    <w:p w14:paraId="4C660FEC" w14:textId="77777777" w:rsidR="003B0D13" w:rsidRPr="00E30CAC" w:rsidRDefault="003B0D13" w:rsidP="003B0D13">
      <w:pPr>
        <w:pStyle w:val="NormalHanging12a"/>
      </w:pPr>
      <w:r w:rsidRPr="00E30CAC">
        <w:t>Б.</w:t>
      </w:r>
      <w:r w:rsidRPr="00E30CAC">
        <w:tab/>
        <w:t>като има предвид, че кибертормозът е проблем, който се задълбочава, както се признава в плана за действие на Комисията срещу кибертормоза; като има предвид, че 18,3% от децата по света са били подложени на кибертормоз чрез електронни съобщения или публикации в социалните медии; като има предвид, че в Европа приблизително всяко шесто дете на възраст между 11 и 15 години съобщава, че е било жертва на кибертормоз; като има предвид, че между 2018 г. и 2022 г. броят на подрастващите, които са били подложени на кибертормоз, се е увеличил с една четвърт при момчетата и почти с една четвърт при момичетата; като има предвид, че през последните пет години кибертормозът постоянно е основната причина за обаждания на горещите телефонни линии на центровете за по-безопасен интернет;</w:t>
      </w:r>
    </w:p>
    <w:p w14:paraId="027DA52F" w14:textId="77777777" w:rsidR="003B0D13" w:rsidRPr="00E30CAC" w:rsidRDefault="003B0D13" w:rsidP="003B0D13">
      <w:pPr>
        <w:pStyle w:val="NormalHanging12a"/>
      </w:pPr>
      <w:r w:rsidRPr="00E30CAC">
        <w:t>В.</w:t>
      </w:r>
      <w:r w:rsidRPr="00E30CAC">
        <w:tab/>
        <w:t>като има предвид, че проучването на Евробарометър от 2025 г. относно цифровото десетилетие установи, че 92% от гражданите на ЕС считат, че е налице спешна необходимост публичните органи да предприемат действия за защита на децата онлайн от кибертормоз и онлайн тормоз, което подчертава спешната необходимост от координирани действия за предотвратяване, превъзмогване и смекчаване на вредните последици от кибертормоза в държавите членки;</w:t>
      </w:r>
    </w:p>
    <w:p w14:paraId="2936A463" w14:textId="77777777" w:rsidR="003B0D13" w:rsidRPr="00E30CAC" w:rsidRDefault="003B0D13" w:rsidP="003B0D13">
      <w:pPr>
        <w:pStyle w:val="NormalHanging12a"/>
      </w:pPr>
      <w:r w:rsidRPr="00E30CAC">
        <w:t>Г.</w:t>
      </w:r>
      <w:r w:rsidRPr="00E30CAC">
        <w:tab/>
        <w:t xml:space="preserve">като има предвид, че кибертормозът засяга непропорционално лицата, които са в положение на интерсекторни и множество уязвимости, включително жени и момичета, ЛГБТИК+ лица, млади хора, деца с увреждания, деца от малцинствен произход, мигранти и </w:t>
      </w:r>
      <w:proofErr w:type="spellStart"/>
      <w:r w:rsidRPr="00E30CAC">
        <w:t>расовизирани</w:t>
      </w:r>
      <w:proofErr w:type="spellEnd"/>
      <w:r w:rsidRPr="00E30CAC">
        <w:t xml:space="preserve"> млади хора, както и че тези припокриващи се основания за дискриминация задълбочават изпитваното страдание;</w:t>
      </w:r>
    </w:p>
    <w:p w14:paraId="304D392B" w14:textId="77777777" w:rsidR="003B0D13" w:rsidRPr="00E30CAC" w:rsidRDefault="003B0D13" w:rsidP="003B0D13">
      <w:pPr>
        <w:pStyle w:val="NormalHanging12a"/>
      </w:pPr>
      <w:r w:rsidRPr="00E30CAC">
        <w:t>Д.</w:t>
      </w:r>
      <w:r w:rsidRPr="00E30CAC">
        <w:tab/>
        <w:t xml:space="preserve">като има предвид, че кибертормозът и онлайн тормозът, включително основаното на изображения насилие, имат тежки и трайни последици за жертвите, особено за малолетните и непълнолетните лица, включително психологически вреди, </w:t>
      </w:r>
      <w:r w:rsidRPr="00E30CAC">
        <w:lastRenderedPageBreak/>
        <w:t>социално отчуждение и в крайни случаи – загуба на човешки живот;</w:t>
      </w:r>
    </w:p>
    <w:p w14:paraId="1D96F0E1" w14:textId="77777777" w:rsidR="003B0D13" w:rsidRPr="00E30CAC" w:rsidRDefault="003B0D13" w:rsidP="003B0D13">
      <w:pPr>
        <w:pStyle w:val="NormalHanging12a"/>
      </w:pPr>
      <w:r w:rsidRPr="00E30CAC">
        <w:t>Е.</w:t>
      </w:r>
      <w:r w:rsidRPr="00E30CAC">
        <w:tab/>
        <w:t>като има предвид, че кибертормозът в много случаи трябва да се разбира като форма на насилие, основано на пола, включително разпространението без съгласие на интимни изображения, координирани кампании на омраза и нападения срещу жени в обществения живот; като има предвид, че изкуственият интелект придава на кибертормоза ново и опасно измерение, насочено предимно към жените и децата;</w:t>
      </w:r>
    </w:p>
    <w:p w14:paraId="42A39B70" w14:textId="77777777" w:rsidR="003B0D13" w:rsidRPr="00E30CAC" w:rsidRDefault="003B0D13" w:rsidP="003B0D13">
      <w:pPr>
        <w:pStyle w:val="NormalHanging12a"/>
      </w:pPr>
      <w:r w:rsidRPr="00E30CAC">
        <w:t>Ж.</w:t>
      </w:r>
      <w:r w:rsidRPr="00E30CAC">
        <w:tab/>
        <w:t>като има предвид, че кибертормозът има трансгранично измерение, тъй като често се упражнява в платформи на социалните медии, приложения за съобщения, платформи за игри и други онлайн пространства; като има предвид, че това явление се очерта като една от най-значимите заплахи за безопасността и благосъстоянието онлайн на малолетните и непълнолетните лица и младите хора в ЕС;</w:t>
      </w:r>
    </w:p>
    <w:p w14:paraId="198EFE44" w14:textId="77777777" w:rsidR="003B0D13" w:rsidRPr="00E30CAC" w:rsidRDefault="003B0D13" w:rsidP="003B0D13">
      <w:pPr>
        <w:pStyle w:val="NormalHanging12a"/>
      </w:pPr>
      <w:r w:rsidRPr="00E30CAC">
        <w:t>З.</w:t>
      </w:r>
      <w:r w:rsidRPr="00E30CAC">
        <w:tab/>
        <w:t>като има предвид, че няма общоприето правно определение за кибертормоз на равнището на ЕС или на международно равнище; като има предвид, че сред държавите членки продължава да се наблюдава значителна правна разпокъсаност по отношение на определението и санкциите за кибертормоз, което води до нееднакви равнища на защита на жертвите и правна несигурност за правоприлагащите органи;</w:t>
      </w:r>
    </w:p>
    <w:p w14:paraId="1DBD43BB" w14:textId="77777777" w:rsidR="003B0D13" w:rsidRPr="00E30CAC" w:rsidRDefault="003B0D13" w:rsidP="003B0D13">
      <w:pPr>
        <w:pStyle w:val="NormalHanging12a"/>
      </w:pPr>
      <w:r w:rsidRPr="00E30CAC">
        <w:t>И.</w:t>
      </w:r>
      <w:r w:rsidRPr="00E30CAC">
        <w:tab/>
        <w:t>като има предвид, че няколко държави членки въведоха целенасочени наказателни разпоредби за справяне с кибертормоза; като има предвид, че националното законодателство, например Закона „Коко“ в Ирландия, опитва да се справи с вредното онлайн поведение, включително разпространението на интимни изображения без съгласието на съответното лице и тежките форми на онлайн тормоз; като има предвид, че на 9 декември 2021 г. Комисията предложи да се добавят „престъпленията от омраза“ към списъка на престъпленията, установени на равнището на ЕС съгласно член 83, параграф 1 от ДФЕС; като има предвид, че посоченото предложение не събра необходимата единодушна подкрепа сред държавите членки;</w:t>
      </w:r>
    </w:p>
    <w:p w14:paraId="00DC2C49" w14:textId="77777777" w:rsidR="003B0D13" w:rsidRPr="00E30CAC" w:rsidRDefault="003B0D13" w:rsidP="003B0D13">
      <w:pPr>
        <w:pStyle w:val="NormalHanging12a"/>
        <w:rPr>
          <w:bCs/>
        </w:rPr>
      </w:pPr>
      <w:r w:rsidRPr="00E30CAC">
        <w:t>Й.</w:t>
      </w:r>
      <w:r w:rsidRPr="00E30CAC">
        <w:tab/>
        <w:t>като има предвид, че председателят на Комисията обяви в своето обръщение за състоянието на Съюза през 2025 г., че ще възложи на група от специалисти да предостави съвети относно безопасността на децата онлайн и евентуалните възрастови ограничения за достъп до социалните медии; като има предвид, че се очаква съпредседателите да докладват своите констатации и препоръки на председателя на Комисията до лятото на 2026 г.;</w:t>
      </w:r>
    </w:p>
    <w:p w14:paraId="199BADB6" w14:textId="77777777" w:rsidR="003B0D13" w:rsidRPr="00E30CAC" w:rsidRDefault="003B0D13" w:rsidP="003B0D13">
      <w:pPr>
        <w:pStyle w:val="NormalHanging12a"/>
      </w:pPr>
      <w:r w:rsidRPr="00E30CAC">
        <w:t>К.</w:t>
      </w:r>
      <w:r w:rsidRPr="00E30CAC">
        <w:tab/>
        <w:t>като има предвид, че бизнес моделът на някои онлайн платформи стимулира разпространението на съдържание, подбуждащо към омраза, като допринася за опасна онлайн среда за малолетните и непълнолетните лица, жените, ЛГБТИК+ лицата и други малцинства; като има предвид, че Комисията започна редица разследвания съгласно Акта за цифровите услуги срещу много големи доставчици на онлайн услуги във връзка с кибертормоз и тормоз;</w:t>
      </w:r>
    </w:p>
    <w:p w14:paraId="0463D3A6" w14:textId="77777777" w:rsidR="003B0D13" w:rsidRPr="00E30CAC" w:rsidRDefault="003B0D13" w:rsidP="003B0D13">
      <w:pPr>
        <w:pStyle w:val="NormalHanging12a"/>
        <w:rPr>
          <w:b/>
          <w:i/>
          <w:iCs/>
          <w:szCs w:val="24"/>
        </w:rPr>
      </w:pPr>
      <w:r w:rsidRPr="00E30CAC">
        <w:rPr>
          <w:b/>
          <w:i/>
        </w:rPr>
        <w:t>План на Комисията за действие срещу кибертормоза</w:t>
      </w:r>
    </w:p>
    <w:p w14:paraId="04BB2C96" w14:textId="77777777" w:rsidR="003B0D13" w:rsidRPr="00E30CAC" w:rsidRDefault="003B0D13" w:rsidP="003B0D13">
      <w:pPr>
        <w:pStyle w:val="NormalHanging12a"/>
      </w:pPr>
      <w:r w:rsidRPr="00E30CAC">
        <w:t>1.</w:t>
      </w:r>
      <w:r w:rsidRPr="00E30CAC">
        <w:tab/>
        <w:t xml:space="preserve">приветства плана за действие на Комисията срещу кибертормоза като рамка за </w:t>
      </w:r>
      <w:r w:rsidRPr="00E30CAC">
        <w:lastRenderedPageBreak/>
        <w:t>справяне с кибертормоза, включително предложеното в него определение, което дава възможност за съгласувана статистическа оценка и обмен на най-добри практики, както и за по-строго изпълнение и прилагане на действащото законодателство;</w:t>
      </w:r>
    </w:p>
    <w:p w14:paraId="1BAA24D6" w14:textId="77777777" w:rsidR="003B0D13" w:rsidRPr="00E30CAC" w:rsidRDefault="003B0D13" w:rsidP="003B0D13">
      <w:pPr>
        <w:pStyle w:val="NormalHanging12a"/>
      </w:pPr>
      <w:r w:rsidRPr="00E30CAC">
        <w:t>2.</w:t>
      </w:r>
      <w:r w:rsidRPr="00E30CAC">
        <w:tab/>
        <w:t>приветства акцента на плана за действие срещу кибертормоза върху превенцията и цифровата грамотност като ефективни дългосрочни инструменти; призовава Комисията и държавите членки да инвестират в съобразено с възрастта цифрово образование и медийна грамотност, за да гарантират, че тези ресурси достигат до децата във всички социално-икономически контексти;</w:t>
      </w:r>
    </w:p>
    <w:p w14:paraId="6953F99F" w14:textId="77777777" w:rsidR="003B0D13" w:rsidRPr="00E30CAC" w:rsidRDefault="003B0D13" w:rsidP="003B0D13">
      <w:pPr>
        <w:pStyle w:val="NormalHanging12a"/>
        <w:rPr>
          <w:bCs/>
        </w:rPr>
      </w:pPr>
      <w:r w:rsidRPr="00E30CAC">
        <w:t>3.</w:t>
      </w:r>
      <w:r w:rsidRPr="00E30CAC">
        <w:tab/>
        <w:t>отново призовава държавите членки да създадат всеобхватни национални планове за борба с кибертормоза и да предвидят ефективни, пропорционални и възпиращи санкции за престъпленията, свързани с кибертормоз, като вземат предвид сериозността на поведението и уязвимостта на жертвата;</w:t>
      </w:r>
    </w:p>
    <w:p w14:paraId="559C4315" w14:textId="77777777" w:rsidR="003B0D13" w:rsidRPr="00E30CAC" w:rsidRDefault="003B0D13" w:rsidP="003B0D13">
      <w:pPr>
        <w:pStyle w:val="NormalHanging12a"/>
        <w:rPr>
          <w:rStyle w:val="CommentReference"/>
          <w:color w:val="000000"/>
          <w:spacing w:val="-2"/>
          <w:szCs w:val="24"/>
        </w:rPr>
      </w:pPr>
      <w:r w:rsidRPr="00E30CAC">
        <w:t>4.</w:t>
      </w:r>
      <w:r w:rsidRPr="00E30CAC">
        <w:tab/>
        <w:t>счита, че жертвите следва да могат лесно да съобщават за кибертормоз; отбелязва, че планът за действие срещу кибертормоза предвижда онлайн приложение за безопасност срещу кибертормоза като лесен за ползване и оперативно съвместим механизъм за докладване в целия ЕС, за да се централизират докладването, координираната подкрепа и събирането на доказателства;</w:t>
      </w:r>
    </w:p>
    <w:p w14:paraId="66C65797" w14:textId="77777777" w:rsidR="003B0D13" w:rsidRPr="00E30CAC" w:rsidRDefault="003B0D13" w:rsidP="003B0D13">
      <w:pPr>
        <w:pStyle w:val="NormalHanging12a"/>
        <w:rPr>
          <w:b/>
          <w:i/>
          <w:iCs/>
          <w:szCs w:val="24"/>
        </w:rPr>
      </w:pPr>
      <w:r w:rsidRPr="00E30CAC">
        <w:rPr>
          <w:b/>
          <w:i/>
        </w:rPr>
        <w:t>Наказателно право</w:t>
      </w:r>
    </w:p>
    <w:p w14:paraId="621B2953" w14:textId="77777777" w:rsidR="003B0D13" w:rsidRPr="00E30CAC" w:rsidRDefault="003B0D13" w:rsidP="003B0D13">
      <w:pPr>
        <w:pStyle w:val="NormalHanging12a"/>
      </w:pPr>
      <w:r w:rsidRPr="00E30CAC">
        <w:t>5.</w:t>
      </w:r>
      <w:r w:rsidRPr="00E30CAC">
        <w:tab/>
        <w:t>изразява загрижеността си, че въпреки законодателните и политическите мерки, предприети на равнището на ЕС и на национално равнище, кибертормозът и злоупотребата с изображения или видеозаписи продължават да се разрастват в целия ЕС, което показва, че съществуващите инструменти, включително задълженията съгласно Акта за цифровите услуги и хармонизацията съгласно Директивата относно борбата с насилието над жени и домашното насилие, може би не са достатъчни за справяне с пълния мащаб и сериозността на проблема;</w:t>
      </w:r>
    </w:p>
    <w:p w14:paraId="470D3D74" w14:textId="77777777" w:rsidR="003B0D13" w:rsidRPr="00E30CAC" w:rsidRDefault="003B0D13" w:rsidP="003B0D13">
      <w:pPr>
        <w:pStyle w:val="NormalHanging12a"/>
      </w:pPr>
      <w:r w:rsidRPr="00E30CAC">
        <w:t>6.</w:t>
      </w:r>
      <w:r w:rsidRPr="00E30CAC">
        <w:tab/>
        <w:t>отбелязва, че планът за действие срещу кибертормоза не предвижда мерки в областта на наказателното право на равнището на ЕС;</w:t>
      </w:r>
    </w:p>
    <w:p w14:paraId="61FB5EFC" w14:textId="77777777" w:rsidR="003B0D13" w:rsidRPr="00E30CAC" w:rsidRDefault="003B0D13" w:rsidP="003B0D13">
      <w:pPr>
        <w:pStyle w:val="NormalHanging12a"/>
      </w:pPr>
      <w:r w:rsidRPr="00E30CAC">
        <w:t>7.</w:t>
      </w:r>
      <w:r w:rsidRPr="00E30CAC">
        <w:tab/>
        <w:t>приканва Комисията да направи оценка на необходимостта от по-хармонизиран подход на равнището на ЕС, за да се дефинира кибертормозът; приканва Комисията да проучи дали кибертормозът, включително разпространението на интимни материали без съгласието на съответното лице, следва да бъде признат за особено тежко престъпление с трансгранично измерение на равнището на ЕС; отново изразява подкрепата си за включването към списъка с престъпленията в ЕС съгласно член 83, параграф 1 от ДФЕС на престъпленията от омраза, които биха могли да обхващат най-тежките форми на кибертормоз;</w:t>
      </w:r>
    </w:p>
    <w:p w14:paraId="0377CD35" w14:textId="77777777" w:rsidR="003B0D13" w:rsidRPr="00E30CAC" w:rsidRDefault="003B0D13" w:rsidP="003B0D13">
      <w:pPr>
        <w:pStyle w:val="NormalHanging12a"/>
      </w:pPr>
      <w:r w:rsidRPr="00E30CAC">
        <w:t>8.</w:t>
      </w:r>
      <w:r w:rsidRPr="00E30CAC">
        <w:tab/>
        <w:t>подчертава, че добре обезпечените с ресурси правоприлагащи органи, включително подходящ персонал, технически експертен опит и ИТ инфраструктура, са незаменима част от ефективното справяне с кибертормоза; приканва Комисията и Европол да увеличат капацитета за разследване на държавите членки, включително за борба с трансграничния кибертормоз;</w:t>
      </w:r>
    </w:p>
    <w:p w14:paraId="26080DB2" w14:textId="77777777" w:rsidR="003B0D13" w:rsidRPr="00E30CAC" w:rsidRDefault="003B0D13" w:rsidP="003B0D13">
      <w:pPr>
        <w:pStyle w:val="NormalHanging12a"/>
      </w:pPr>
      <w:r w:rsidRPr="00E30CAC">
        <w:t>9.</w:t>
      </w:r>
      <w:r w:rsidRPr="00E30CAC">
        <w:tab/>
        <w:t xml:space="preserve">приканва държавите членки да обменят най-добри практики относно своите </w:t>
      </w:r>
      <w:r w:rsidRPr="00E30CAC">
        <w:lastRenderedPageBreak/>
        <w:t>правни подходи; подчертава, че усилията следва да дават приоритет на мерките за превенция, образование и повишаване на осведомеността, насочени към децата, родителите и преподавателите, както и на цифровата грамотност и възстановителните подходи, особено когато участват малолетни и непълнолетни лица;</w:t>
      </w:r>
    </w:p>
    <w:p w14:paraId="1E023C49" w14:textId="77777777" w:rsidR="003B0D13" w:rsidRPr="00E30CAC" w:rsidRDefault="003B0D13" w:rsidP="003B0D13">
      <w:pPr>
        <w:pStyle w:val="NormalHanging12a"/>
      </w:pPr>
      <w:r w:rsidRPr="00E30CAC">
        <w:t>10.</w:t>
      </w:r>
      <w:r w:rsidRPr="00E30CAC">
        <w:tab/>
        <w:t>призовава за бързо прилагане и транспониране на преразгледаната Директива за правата на жертвите;</w:t>
      </w:r>
    </w:p>
    <w:p w14:paraId="56CF6F18" w14:textId="77777777" w:rsidR="003B0D13" w:rsidRPr="00E30CAC" w:rsidRDefault="003B0D13" w:rsidP="003B0D13">
      <w:pPr>
        <w:pStyle w:val="NormalHanging12a"/>
        <w:rPr>
          <w:b/>
          <w:i/>
          <w:iCs/>
          <w:szCs w:val="24"/>
        </w:rPr>
      </w:pPr>
      <w:r w:rsidRPr="00E30CAC">
        <w:rPr>
          <w:b/>
          <w:i/>
        </w:rPr>
        <w:t>Онлайн платформите и Законодателният акт за цифровите услуги</w:t>
      </w:r>
    </w:p>
    <w:p w14:paraId="6EE5DCDC" w14:textId="77777777" w:rsidR="003B0D13" w:rsidRPr="00E30CAC" w:rsidRDefault="003B0D13" w:rsidP="003B0D13">
      <w:pPr>
        <w:pStyle w:val="NormalHanging12a"/>
      </w:pPr>
      <w:r w:rsidRPr="00E30CAC">
        <w:t>11.</w:t>
      </w:r>
      <w:r w:rsidRPr="00E30CAC">
        <w:tab/>
        <w:t>призовава Комисията и държавите членки да гарантират, че платформите носят отговорност за предотвратяване и противодействие на кибертормоза;</w:t>
      </w:r>
    </w:p>
    <w:p w14:paraId="0356C868" w14:textId="77777777" w:rsidR="003B0D13" w:rsidRPr="00E30CAC" w:rsidRDefault="003B0D13" w:rsidP="003B0D13">
      <w:pPr>
        <w:pStyle w:val="NormalHanging12a"/>
      </w:pPr>
      <w:r w:rsidRPr="00E30CAC">
        <w:t>12.</w:t>
      </w:r>
      <w:r w:rsidRPr="00E30CAC">
        <w:tab/>
        <w:t xml:space="preserve">посочва, че бизнес моделът на определени онлайн платформи стимулира разпространението на съдържание, подбуждащо към омраза, и следователно допринася за възникването на все по-опасна онлайн среда, особено за малолетните и непълнолетните лица, жените и членовете на общността на ЛГБТИК+ лицата или други малцинства; подчертава ролята на </w:t>
      </w:r>
      <w:proofErr w:type="spellStart"/>
      <w:r w:rsidRPr="00E30CAC">
        <w:t>свръхперсонализираните</w:t>
      </w:r>
      <w:proofErr w:type="spellEnd"/>
      <w:r w:rsidRPr="00E30CAC">
        <w:t xml:space="preserve"> системи за препоръчване, които промотират речта на омразата и намаляват видимостта на по-умереното съдържание;</w:t>
      </w:r>
    </w:p>
    <w:p w14:paraId="3352E139" w14:textId="77777777" w:rsidR="003B0D13" w:rsidRPr="00E30CAC" w:rsidRDefault="003B0D13" w:rsidP="003B0D13">
      <w:pPr>
        <w:pStyle w:val="NormalHanging12a"/>
        <w:rPr>
          <w:bCs/>
        </w:rPr>
      </w:pPr>
      <w:r w:rsidRPr="00E30CAC">
        <w:t>13.</w:t>
      </w:r>
      <w:r w:rsidRPr="00E30CAC">
        <w:tab/>
        <w:t>подчертава, че Законодателният акт за цифровите услуги разглежда някои аспекти на тормоза и кибертормоза, по-специално член 28 от него, който вече задължава доставчиците да гарантират високо равнище на неприкосновеност на личния живот, безопасност и сигурност за малолетните и непълнолетните лица; подчертава в това отношение насоките на Комисията съгласно Акта за цифровите услуги, в които се уточнява как платформите могат да гарантират, че малолетните и непълнолетните лица са в безопасност, когато използват техните услуги; отбелязва, че много големите онлайн платформи до голяма степен не са приложили тези мерки; призовава Комисията и държавите членки да засилят прилагането на член 28 от Акта за цифровите услуги и на разпоредбата за уведомяване и предприемане на действия от Акта за цифровите услуги, което оказва въздействие върху защитата на жертвите на кибертормоз;</w:t>
      </w:r>
    </w:p>
    <w:p w14:paraId="0D971E54" w14:textId="77777777" w:rsidR="003B0D13" w:rsidRPr="00E30CAC" w:rsidRDefault="003B0D13" w:rsidP="003B0D13">
      <w:pPr>
        <w:pStyle w:val="NormalHanging12a"/>
      </w:pPr>
      <w:r w:rsidRPr="00E30CAC">
        <w:t>14.</w:t>
      </w:r>
      <w:r w:rsidRPr="00E30CAC">
        <w:tab/>
        <w:t>призовава Комисията да приключи висящите дела за правоприлагане, да започне разследвания на всички нарушения на член 28 от Акта за цифровите услуги, включително системните рискове, породени от системите за препоръчване, и стриктно да прилага задължението на платформите за уведомяване и премахване; категорично отхвърля всякакви опити за повторно отваряне на Законодателния акт за цифровите услуги; посочва, че достъпът на изследователите съгласно Акта за цифровите услуги е от решаващо значение за гарантиране на основано на факти законотворчество;</w:t>
      </w:r>
    </w:p>
    <w:p w14:paraId="79732F17" w14:textId="77777777" w:rsidR="003B0D13" w:rsidRPr="00E30CAC" w:rsidRDefault="003B0D13" w:rsidP="003B0D13">
      <w:pPr>
        <w:pStyle w:val="NormalHanging12a"/>
      </w:pPr>
      <w:r w:rsidRPr="00E30CAC">
        <w:t>15.</w:t>
      </w:r>
      <w:r w:rsidRPr="00E30CAC">
        <w:tab/>
        <w:t>призовава Комисията да предприеме последващи действия във връзка с обявените от нея насоки за доверените податели на сигнали относно кибертормоза, за да се изясни тяхната роля в борбата с незаконното съдържание;</w:t>
      </w:r>
    </w:p>
    <w:p w14:paraId="52E2767F" w14:textId="77777777" w:rsidR="003B0D13" w:rsidRPr="00E30CAC" w:rsidRDefault="003B0D13" w:rsidP="003B0D13">
      <w:pPr>
        <w:pStyle w:val="NormalHanging12a"/>
      </w:pPr>
      <w:r w:rsidRPr="00E30CAC">
        <w:t>16.</w:t>
      </w:r>
      <w:r w:rsidRPr="00E30CAC">
        <w:tab/>
        <w:t xml:space="preserve">изразява съжаление относно настоящата липса на правна рамка, която да позволява откриването на материали, съдържащи сексуално насилие над деца онлайн, и призовава Комисията да предприеме бързи действия, за да гарантира </w:t>
      </w:r>
      <w:r w:rsidRPr="00E30CAC">
        <w:lastRenderedPageBreak/>
        <w:t>въвеждането на механизми за доброволно докладване на материали, съдържащи сексуално насилие над деца; подчертава задълженията на платформите да обезпечат безопасно цифрово пространство за децата, което зачита техните основни права и което гарантира защита на личните данни за всички ползватели;</w:t>
      </w:r>
    </w:p>
    <w:p w14:paraId="54E8CAC4" w14:textId="77777777" w:rsidR="003B0D13" w:rsidRPr="00E30CAC" w:rsidRDefault="003B0D13" w:rsidP="003B0D13">
      <w:pPr>
        <w:pStyle w:val="NormalHanging12a"/>
        <w:rPr>
          <w:b/>
          <w:i/>
          <w:iCs/>
          <w:szCs w:val="24"/>
        </w:rPr>
      </w:pPr>
      <w:r w:rsidRPr="00E30CAC">
        <w:rPr>
          <w:b/>
          <w:i/>
        </w:rPr>
        <w:t>Други мерки</w:t>
      </w:r>
    </w:p>
    <w:p w14:paraId="01B798E0" w14:textId="77777777" w:rsidR="003B0D13" w:rsidRPr="00E30CAC" w:rsidRDefault="003B0D13" w:rsidP="003B0D13">
      <w:pPr>
        <w:pStyle w:val="NormalHanging12a"/>
      </w:pPr>
      <w:r w:rsidRPr="00E30CAC">
        <w:t>17.</w:t>
      </w:r>
      <w:r w:rsidRPr="00E30CAC">
        <w:tab/>
        <w:t>изразява загриженост относно нарастващото използване на ИИ за злоупотреби, включително генериране на дълбинни фалшификати, клониране на глас и интимно съдържание без съгласие; отново заявява необходимостта от забрана на „приложенията за разголване“ съгласно Законодателния акт за изкуствения интелект като част от преговорите по сборен пакет от мерки в областта на цифровите технологии за ИИ; призовава доставчиците незабавно да се приведат в съответствие с член 50 от Акта за изкуствения интелект относно прозрачността и водния знак, за да се гарантира, че генерираното от ИИ съдържание е ясно етикетирано, за да се смекчи вредното въздействие на дълбинните фалшификати, най-вече върху малолетните и непълнолетните лица;</w:t>
      </w:r>
    </w:p>
    <w:p w14:paraId="7B706A6A" w14:textId="77777777" w:rsidR="003B0D13" w:rsidRPr="00E30CAC" w:rsidRDefault="003B0D13" w:rsidP="003B0D13">
      <w:pPr>
        <w:pStyle w:val="NormalHanging12a"/>
      </w:pPr>
      <w:r w:rsidRPr="00E30CAC">
        <w:t>18.</w:t>
      </w:r>
      <w:r w:rsidRPr="00E30CAC">
        <w:tab/>
        <w:t>призовава Комисията да оцени дали съществуващите задължения за оценка и смекчаване на риска съгласно правото на ЕС обхващат по подходящ начин операторите на онлайн игри, по-специално операторите, предлагащи възможности за комуникация в реално време, които могат да изложат малолетните и непълнолетните лица на кибертормоз;</w:t>
      </w:r>
    </w:p>
    <w:p w14:paraId="22AF68B0" w14:textId="77777777" w:rsidR="003B0D13" w:rsidRPr="00E30CAC" w:rsidRDefault="003B0D13" w:rsidP="003B0D13">
      <w:pPr>
        <w:pStyle w:val="NormalHanging12a"/>
      </w:pPr>
      <w:r w:rsidRPr="00E30CAC">
        <w:t>19.</w:t>
      </w:r>
      <w:r w:rsidRPr="00E30CAC">
        <w:tab/>
        <w:t>припомня задълженията съгласно преразгледаната Директива за аудио-визуалните медийни услуги за защита на малолетните и непълнолетните лица от незаконно и вредно съдържание и на всички потребители от съдържание, подбуждащо към насилие или омраза; призовава Комисията да наблюдава изпълнението на настоящата директива от държавите членки;</w:t>
      </w:r>
    </w:p>
    <w:p w14:paraId="3E4FDC03" w14:textId="77777777" w:rsidR="003B0D13" w:rsidRPr="00E30CAC" w:rsidRDefault="003B0D13" w:rsidP="003B0D13">
      <w:pPr>
        <w:pStyle w:val="NormalHanging12a"/>
      </w:pPr>
      <w:r w:rsidRPr="00E30CAC">
        <w:t>20.</w:t>
      </w:r>
      <w:r w:rsidRPr="00E30CAC">
        <w:tab/>
        <w:t>припомня необходимостта от засилване на защитата и подкрепата за жертвите на кибертормоз; изразява загриженост, че организациите на жертвите са все по-застрашени поради липса на финансиране; призовава за увеличено и устойчиво финансиране от ЕС за организациите на гражданското общество, телефонните линии за помощ и услугите за подкрепа на жертвите, както и за интегриране на мерките за предотвратяване и реагиране на кибертормоза в националните стратегии за психично здраве, като се обърне специално внимание на малолетните и непълнолетните лица и други уязвими групи;</w:t>
      </w:r>
    </w:p>
    <w:p w14:paraId="18B84226" w14:textId="77777777" w:rsidR="003B0D13" w:rsidRPr="00E30CAC" w:rsidRDefault="003B0D13" w:rsidP="003B0D13">
      <w:pPr>
        <w:pStyle w:val="NormalHanging12a"/>
        <w:jc w:val="center"/>
      </w:pPr>
      <w:r w:rsidRPr="00E30CAC">
        <w:t>°</w:t>
      </w:r>
    </w:p>
    <w:p w14:paraId="6FCE6439" w14:textId="77777777" w:rsidR="003B0D13" w:rsidRPr="00E30CAC" w:rsidRDefault="003B0D13" w:rsidP="003B0D13">
      <w:pPr>
        <w:pStyle w:val="NormalHanging12a"/>
        <w:jc w:val="center"/>
      </w:pPr>
      <w:r w:rsidRPr="00E30CAC">
        <w:t>°</w:t>
      </w:r>
      <w:r w:rsidRPr="00E30CAC">
        <w:tab/>
        <w:t>°</w:t>
      </w:r>
    </w:p>
    <w:p w14:paraId="5BE7D64B" w14:textId="730EEF3A" w:rsidR="00E30CAC" w:rsidRPr="00E30CAC" w:rsidRDefault="003B0D13" w:rsidP="00E30CAC">
      <w:pPr>
        <w:pStyle w:val="NormalHanging12a"/>
      </w:pPr>
      <w:r w:rsidRPr="00E30CAC">
        <w:t>21.</w:t>
      </w:r>
      <w:r w:rsidRPr="00E30CAC">
        <w:tab/>
        <w:t>възлага на своя председател да предаде настоящата резолюция съответно на Съвета, на Комисията, както и на правителствата и парламентите на държавите членки.</w:t>
      </w:r>
      <w:bookmarkEnd w:id="7"/>
    </w:p>
    <w:sectPr w:rsidR="00E30CAC" w:rsidRPr="00E30CAC" w:rsidSect="00E30C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9B4BB" w14:textId="77777777" w:rsidR="00634C98" w:rsidRPr="00E30CAC" w:rsidRDefault="00634C98">
      <w:r w:rsidRPr="00E30CAC">
        <w:separator/>
      </w:r>
    </w:p>
  </w:endnote>
  <w:endnote w:type="continuationSeparator" w:id="0">
    <w:p w14:paraId="6EC231F1" w14:textId="77777777" w:rsidR="00634C98" w:rsidRPr="00E30CAC" w:rsidRDefault="00634C98">
      <w:r w:rsidRPr="00E30C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E2452" w14:textId="77777777" w:rsidR="00064002" w:rsidRPr="00E30CA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67B2E" w14:textId="77777777" w:rsidR="00064002" w:rsidRPr="00E30CA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4E4EC" w14:textId="77777777" w:rsidR="00064002" w:rsidRPr="00E30CA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7B8D" w14:textId="77777777" w:rsidR="00634C98" w:rsidRPr="00E30CAC" w:rsidRDefault="00634C98">
      <w:r w:rsidRPr="00E30CAC">
        <w:separator/>
      </w:r>
    </w:p>
  </w:footnote>
  <w:footnote w:type="continuationSeparator" w:id="0">
    <w:p w14:paraId="22F35DF5" w14:textId="77777777" w:rsidR="00634C98" w:rsidRPr="00E30CAC" w:rsidRDefault="00634C98">
      <w:r w:rsidRPr="00E30CAC">
        <w:continuationSeparator/>
      </w:r>
    </w:p>
  </w:footnote>
  <w:footnote w:id="1">
    <w:p w14:paraId="01AA0565" w14:textId="6AC0EDD1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>ОВ L 335, 17.12.2011 г., стр. 1, ELI: </w:t>
      </w:r>
      <w:hyperlink r:id="rId1" w:tooltip="Достъп до този документ чрез неговия идентификатор ELI URI." w:history="1">
        <w:r w:rsidRPr="00E30CAC">
          <w:rPr>
            <w:rStyle w:val="Hyperlink"/>
            <w:sz w:val="24"/>
            <w:lang w:val="bg-BG"/>
          </w:rPr>
          <w:t>http://data.europa.eu/eli/dir/2011/93/oj</w:t>
        </w:r>
      </w:hyperlink>
      <w:r w:rsidRPr="00E30CAC">
        <w:rPr>
          <w:sz w:val="24"/>
          <w:lang w:val="bg-BG"/>
        </w:rPr>
        <w:t xml:space="preserve">. </w:t>
      </w:r>
    </w:p>
  </w:footnote>
  <w:footnote w:id="2">
    <w:p w14:paraId="729D96D4" w14:textId="1FD95909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 xml:space="preserve">ОВ L 315, 14.11.2012 г., стр. 57, ELI: </w:t>
      </w:r>
      <w:hyperlink r:id="rId2" w:history="1">
        <w:r w:rsidRPr="00E30CAC">
          <w:rPr>
            <w:rStyle w:val="Hyperlink"/>
            <w:sz w:val="24"/>
            <w:lang w:val="bg-BG"/>
          </w:rPr>
          <w:t>http://data.europa.eu/eli/dir/2012/29/oj</w:t>
        </w:r>
      </w:hyperlink>
      <w:r w:rsidRPr="00E30CAC">
        <w:rPr>
          <w:sz w:val="24"/>
          <w:lang w:val="bg-BG"/>
        </w:rPr>
        <w:t xml:space="preserve">. </w:t>
      </w:r>
    </w:p>
  </w:footnote>
  <w:footnote w:id="3">
    <w:p w14:paraId="22B04A7D" w14:textId="1D680A39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>ОВ L 303, 28.11.2018 </w:t>
      </w:r>
      <w:r w:rsidR="00643697">
        <w:rPr>
          <w:sz w:val="24"/>
          <w:lang w:val="bg-BG"/>
        </w:rPr>
        <w:t xml:space="preserve">г., </w:t>
      </w:r>
      <w:r w:rsidRPr="00E30CAC">
        <w:rPr>
          <w:sz w:val="24"/>
          <w:lang w:val="bg-BG"/>
        </w:rPr>
        <w:t xml:space="preserve">стр. 69, ELI: </w:t>
      </w:r>
      <w:hyperlink r:id="rId3" w:history="1">
        <w:r w:rsidRPr="00E30CAC">
          <w:rPr>
            <w:rStyle w:val="Hyperlink"/>
            <w:sz w:val="24"/>
            <w:lang w:val="bg-BG"/>
          </w:rPr>
          <w:t>http://data.europa.eu/eli/dir/2018/1808/oj</w:t>
        </w:r>
      </w:hyperlink>
      <w:r w:rsidRPr="00E30CAC">
        <w:rPr>
          <w:sz w:val="24"/>
          <w:lang w:val="bg-BG"/>
        </w:rPr>
        <w:t xml:space="preserve">. </w:t>
      </w:r>
    </w:p>
  </w:footnote>
  <w:footnote w:id="4">
    <w:p w14:paraId="60266C02" w14:textId="2671079D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 xml:space="preserve">ОВ L, 2024/1385, 24.5.2024 г., ELI: </w:t>
      </w:r>
      <w:hyperlink r:id="rId4" w:history="1">
        <w:r w:rsidRPr="00E30CAC">
          <w:rPr>
            <w:rStyle w:val="Hyperlink"/>
            <w:sz w:val="24"/>
            <w:lang w:val="bg-BG"/>
          </w:rPr>
          <w:t>http://data.europa.eu/eli/dir/2024/1385/oj</w:t>
        </w:r>
      </w:hyperlink>
      <w:r w:rsidRPr="00E30CAC">
        <w:rPr>
          <w:sz w:val="24"/>
          <w:lang w:val="bg-BG"/>
        </w:rPr>
        <w:t xml:space="preserve">. </w:t>
      </w:r>
    </w:p>
  </w:footnote>
  <w:footnote w:id="5">
    <w:p w14:paraId="3D0A7752" w14:textId="356C9A9F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 xml:space="preserve">ОВ L 277, 27.10.2022 г., стр. 1, ELI: </w:t>
      </w:r>
      <w:hyperlink r:id="rId5" w:history="1">
        <w:r w:rsidRPr="00E30CAC">
          <w:rPr>
            <w:rStyle w:val="Hyperlink"/>
            <w:sz w:val="24"/>
            <w:lang w:val="bg-BG"/>
          </w:rPr>
          <w:t>http://data.europa.eu/eli/reg/2022/2065/oj</w:t>
        </w:r>
      </w:hyperlink>
      <w:r w:rsidRPr="00E30CAC">
        <w:rPr>
          <w:sz w:val="24"/>
          <w:lang w:val="bg-BG"/>
        </w:rPr>
        <w:t xml:space="preserve">. </w:t>
      </w:r>
    </w:p>
  </w:footnote>
  <w:footnote w:id="6">
    <w:p w14:paraId="55906286" w14:textId="5BD181B2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>ОВ L, 2024/1689, 12.7.2024</w:t>
      </w:r>
      <w:r w:rsidR="00643697">
        <w:rPr>
          <w:sz w:val="24"/>
          <w:lang w:val="bg-BG"/>
        </w:rPr>
        <w:t> г.</w:t>
      </w:r>
      <w:r w:rsidRPr="00E30CAC">
        <w:rPr>
          <w:sz w:val="24"/>
          <w:lang w:val="bg-BG"/>
        </w:rPr>
        <w:t xml:space="preserve">, ELI: </w:t>
      </w:r>
      <w:hyperlink r:id="rId6" w:history="1">
        <w:r w:rsidRPr="00E30CAC">
          <w:rPr>
            <w:rStyle w:val="Hyperlink"/>
            <w:sz w:val="24"/>
            <w:lang w:val="bg-BG"/>
          </w:rPr>
          <w:t>http://data.europa.eu/eli/reg/2024/1689/oj</w:t>
        </w:r>
      </w:hyperlink>
      <w:r w:rsidRPr="00E30CAC">
        <w:rPr>
          <w:sz w:val="24"/>
          <w:lang w:val="bg-BG"/>
        </w:rPr>
        <w:t xml:space="preserve">. </w:t>
      </w:r>
    </w:p>
  </w:footnote>
  <w:footnote w:id="7">
    <w:p w14:paraId="1F209170" w14:textId="6B422B3A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 xml:space="preserve">ОВ C, C/2025/5519, 10.10.2025 г., ELI: </w:t>
      </w:r>
      <w:hyperlink r:id="rId7" w:history="1">
        <w:r w:rsidRPr="00E30CAC">
          <w:rPr>
            <w:rStyle w:val="Hyperlink"/>
            <w:sz w:val="24"/>
            <w:lang w:val="bg-BG"/>
          </w:rPr>
          <w:t>http://data.europa.eu/eli/C/2025/5519/oj</w:t>
        </w:r>
      </w:hyperlink>
      <w:r w:rsidRPr="00E30CAC">
        <w:rPr>
          <w:sz w:val="24"/>
          <w:lang w:val="bg-BG"/>
        </w:rPr>
        <w:t xml:space="preserve">. </w:t>
      </w:r>
    </w:p>
  </w:footnote>
  <w:footnote w:id="8">
    <w:p w14:paraId="3F783899" w14:textId="5072B948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 xml:space="preserve">ОВ C, C/2024/5733, 17.10.2024 г., ELI: </w:t>
      </w:r>
      <w:hyperlink r:id="rId8" w:history="1">
        <w:r w:rsidRPr="00E30CAC">
          <w:rPr>
            <w:rStyle w:val="Hyperlink"/>
            <w:sz w:val="24"/>
            <w:lang w:val="bg-BG"/>
          </w:rPr>
          <w:t>http://data.europa.eu/eli/C/2024/5733/oj</w:t>
        </w:r>
      </w:hyperlink>
      <w:r w:rsidRPr="00E30CAC">
        <w:rPr>
          <w:sz w:val="24"/>
          <w:lang w:val="bg-BG"/>
        </w:rPr>
        <w:t xml:space="preserve">. </w:t>
      </w:r>
    </w:p>
  </w:footnote>
  <w:footnote w:id="9">
    <w:p w14:paraId="0220274B" w14:textId="59869617" w:rsidR="003B0D13" w:rsidRPr="00E30CAC" w:rsidRDefault="003B0D13" w:rsidP="00E30CAC">
      <w:pPr>
        <w:pStyle w:val="FootnoteText"/>
        <w:ind w:left="567" w:hanging="567"/>
        <w:rPr>
          <w:sz w:val="24"/>
          <w:lang w:val="bg-BG"/>
        </w:rPr>
      </w:pPr>
      <w:r w:rsidRPr="00E30CAC">
        <w:rPr>
          <w:rStyle w:val="FootnoteReference"/>
          <w:sz w:val="24"/>
          <w:lang w:val="bg-BG"/>
        </w:rPr>
        <w:footnoteRef/>
      </w:r>
      <w:r w:rsidR="00E30CAC" w:rsidRPr="00E30CAC">
        <w:rPr>
          <w:sz w:val="24"/>
          <w:lang w:val="bg-BG"/>
        </w:rPr>
        <w:t xml:space="preserve"> </w:t>
      </w:r>
      <w:r w:rsidR="00E30CAC" w:rsidRPr="00E30CAC">
        <w:rPr>
          <w:sz w:val="24"/>
          <w:lang w:val="bg-BG"/>
        </w:rPr>
        <w:tab/>
      </w:r>
      <w:r w:rsidRPr="00E30CAC">
        <w:rPr>
          <w:sz w:val="24"/>
          <w:lang w:val="bg-BG"/>
        </w:rPr>
        <w:t xml:space="preserve">ОВ C, C/2026/1708, 24.4.2026 г., ELI: </w:t>
      </w:r>
      <w:hyperlink r:id="rId9" w:history="1">
        <w:r w:rsidRPr="00E30CAC">
          <w:rPr>
            <w:rStyle w:val="Hyperlink"/>
            <w:sz w:val="24"/>
            <w:lang w:val="bg-BG"/>
          </w:rPr>
          <w:t>http://data.europa.eu/eli/C/2026/1708/oj</w:t>
        </w:r>
      </w:hyperlink>
      <w:r w:rsidRPr="00E30CAC">
        <w:rPr>
          <w:sz w:val="24"/>
          <w:lang w:val="bg-BG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A4BD0" w14:textId="77777777" w:rsidR="00064002" w:rsidRPr="00E30CA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E22AB" w14:textId="77777777" w:rsidR="00064002" w:rsidRPr="00E30CA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AA5EE" w14:textId="77777777" w:rsidR="00064002" w:rsidRPr="00E30CA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9177847">
    <w:abstractNumId w:val="9"/>
  </w:num>
  <w:num w:numId="2" w16cid:durableId="397869783">
    <w:abstractNumId w:val="9"/>
  </w:num>
  <w:num w:numId="3" w16cid:durableId="974992782">
    <w:abstractNumId w:val="7"/>
  </w:num>
  <w:num w:numId="4" w16cid:durableId="1759865325">
    <w:abstractNumId w:val="7"/>
  </w:num>
  <w:num w:numId="5" w16cid:durableId="83914564">
    <w:abstractNumId w:val="6"/>
  </w:num>
  <w:num w:numId="6" w16cid:durableId="532160479">
    <w:abstractNumId w:val="6"/>
  </w:num>
  <w:num w:numId="7" w16cid:durableId="683475972">
    <w:abstractNumId w:val="5"/>
  </w:num>
  <w:num w:numId="8" w16cid:durableId="1244610079">
    <w:abstractNumId w:val="5"/>
  </w:num>
  <w:num w:numId="9" w16cid:durableId="404186668">
    <w:abstractNumId w:val="4"/>
  </w:num>
  <w:num w:numId="10" w16cid:durableId="1811172043">
    <w:abstractNumId w:val="4"/>
  </w:num>
  <w:num w:numId="11" w16cid:durableId="1761175274">
    <w:abstractNumId w:val="8"/>
  </w:num>
  <w:num w:numId="12" w16cid:durableId="56050485">
    <w:abstractNumId w:val="8"/>
  </w:num>
  <w:num w:numId="13" w16cid:durableId="1924796334">
    <w:abstractNumId w:val="3"/>
  </w:num>
  <w:num w:numId="14" w16cid:durableId="260531697">
    <w:abstractNumId w:val="3"/>
  </w:num>
  <w:num w:numId="15" w16cid:durableId="1848254545">
    <w:abstractNumId w:val="2"/>
  </w:num>
  <w:num w:numId="16" w16cid:durableId="503665307">
    <w:abstractNumId w:val="2"/>
  </w:num>
  <w:num w:numId="17" w16cid:durableId="1931230175">
    <w:abstractNumId w:val="1"/>
  </w:num>
  <w:num w:numId="18" w16cid:durableId="2081056131">
    <w:abstractNumId w:val="1"/>
  </w:num>
  <w:num w:numId="19" w16cid:durableId="1808159580">
    <w:abstractNumId w:val="0"/>
  </w:num>
  <w:num w:numId="20" w16cid:durableId="1600798714">
    <w:abstractNumId w:val="0"/>
  </w:num>
  <w:num w:numId="21" w16cid:durableId="1986155541">
    <w:abstractNumId w:val="9"/>
  </w:num>
  <w:num w:numId="22" w16cid:durableId="161435791">
    <w:abstractNumId w:val="7"/>
  </w:num>
  <w:num w:numId="23" w16cid:durableId="1121530303">
    <w:abstractNumId w:val="6"/>
  </w:num>
  <w:num w:numId="24" w16cid:durableId="1644192376">
    <w:abstractNumId w:val="5"/>
  </w:num>
  <w:num w:numId="25" w16cid:durableId="1436096828">
    <w:abstractNumId w:val="4"/>
  </w:num>
  <w:num w:numId="26" w16cid:durableId="1594632695">
    <w:abstractNumId w:val="8"/>
  </w:num>
  <w:num w:numId="27" w16cid:durableId="877283170">
    <w:abstractNumId w:val="3"/>
  </w:num>
  <w:num w:numId="28" w16cid:durableId="2043631856">
    <w:abstractNumId w:val="2"/>
  </w:num>
  <w:num w:numId="29" w16cid:durableId="1429734317">
    <w:abstractNumId w:val="1"/>
  </w:num>
  <w:num w:numId="30" w16cid:durableId="14232439">
    <w:abstractNumId w:val="0"/>
  </w:num>
  <w:num w:numId="31" w16cid:durableId="843206459">
    <w:abstractNumId w:val="9"/>
  </w:num>
  <w:num w:numId="32" w16cid:durableId="576087869">
    <w:abstractNumId w:val="7"/>
  </w:num>
  <w:num w:numId="33" w16cid:durableId="1576236715">
    <w:abstractNumId w:val="6"/>
  </w:num>
  <w:num w:numId="34" w16cid:durableId="387190235">
    <w:abstractNumId w:val="5"/>
  </w:num>
  <w:num w:numId="35" w16cid:durableId="1933658181">
    <w:abstractNumId w:val="4"/>
  </w:num>
  <w:num w:numId="36" w16cid:durableId="878132569">
    <w:abstractNumId w:val="8"/>
  </w:num>
  <w:num w:numId="37" w16cid:durableId="334915811">
    <w:abstractNumId w:val="3"/>
  </w:num>
  <w:num w:numId="38" w16cid:durableId="1138911669">
    <w:abstractNumId w:val="2"/>
  </w:num>
  <w:num w:numId="39" w16cid:durableId="745805724">
    <w:abstractNumId w:val="1"/>
  </w:num>
  <w:num w:numId="40" w16cid:durableId="1375622003">
    <w:abstractNumId w:val="0"/>
  </w:num>
  <w:num w:numId="41" w16cid:durableId="236675196">
    <w:abstractNumId w:val="10"/>
  </w:num>
  <w:num w:numId="42" w16cid:durableId="1495876230">
    <w:abstractNumId w:val="10"/>
  </w:num>
  <w:num w:numId="43" w16cid:durableId="376129174">
    <w:abstractNumId w:val="10"/>
  </w:num>
  <w:num w:numId="44" w16cid:durableId="2699691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6/2026"/>
    <w:docVar w:name="dvlangue" w:val="BG"/>
    <w:docVar w:name="dvnumam" w:val="0"/>
    <w:docVar w:name="dvpe" w:val="783.241"/>
    <w:docVar w:name="dvrapporteur" w:val="Докладчик: "/>
    <w:docVar w:name="dvtitre" w:val="Резолюция на Европейския парламент от ... 2026 г. относно необходимостта от целенасочени наказателни разпоредби и отговорност на платформите за ефективно справяне с кибертормоза и онлайн тормоза(2026/2693(RSP))"/>
  </w:docVars>
  <w:rsids>
    <w:rsidRoot w:val="00634C9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D13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4C98"/>
    <w:rsid w:val="0064369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DE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3139"/>
    <w:rsid w:val="00DA7FCD"/>
    <w:rsid w:val="00E30CAC"/>
    <w:rsid w:val="00E365E1"/>
    <w:rsid w:val="00E820A4"/>
    <w:rsid w:val="00EB006A"/>
    <w:rsid w:val="00EB4772"/>
    <w:rsid w:val="00ED169E"/>
    <w:rsid w:val="00ED4235"/>
    <w:rsid w:val="00EE0E8D"/>
    <w:rsid w:val="00F04346"/>
    <w:rsid w:val="00F075DC"/>
    <w:rsid w:val="00F149E9"/>
    <w:rsid w:val="00F46B0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A0307"/>
  <w15:chartTrackingRefBased/>
  <w15:docId w15:val="{120C24BB-B2B7-4266-BE5B-9E1304024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B0D13"/>
    <w:pPr>
      <w:spacing w:after="240"/>
      <w:ind w:left="567" w:hanging="567"/>
    </w:pPr>
  </w:style>
  <w:style w:type="paragraph" w:customStyle="1" w:styleId="EPComma">
    <w:name w:val="EPComma"/>
    <w:basedOn w:val="Normal"/>
    <w:rsid w:val="003B0D1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3B0D13"/>
    <w:rPr>
      <w:sz w:val="24"/>
      <w:lang w:val="bg-BG"/>
    </w:rPr>
  </w:style>
  <w:style w:type="character" w:styleId="CommentReference">
    <w:name w:val="annotation reference"/>
    <w:rsid w:val="003B0D13"/>
    <w:rPr>
      <w:sz w:val="16"/>
      <w:szCs w:val="16"/>
    </w:rPr>
  </w:style>
  <w:style w:type="character" w:styleId="Hyperlink">
    <w:name w:val="Hyperlink"/>
    <w:basedOn w:val="DefaultParagraphFont"/>
    <w:unhideWhenUsed/>
    <w:rsid w:val="003B0D13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46B0C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5733/oj" TargetMode="External"/><Relationship Id="rId3" Type="http://schemas.openxmlformats.org/officeDocument/2006/relationships/hyperlink" Target="http://data.europa.eu/eli/dir/2018/1808/oj" TargetMode="External"/><Relationship Id="rId7" Type="http://schemas.openxmlformats.org/officeDocument/2006/relationships/hyperlink" Target="http://data.europa.eu/eli/C/2025/5519/oj" TargetMode="External"/><Relationship Id="rId2" Type="http://schemas.openxmlformats.org/officeDocument/2006/relationships/hyperlink" Target="http://data.europa.eu/eli/dir/2012/29/oj" TargetMode="External"/><Relationship Id="rId1" Type="http://schemas.openxmlformats.org/officeDocument/2006/relationships/hyperlink" Target="http://data.europa.eu/eli/dir/2011/93/oj" TargetMode="External"/><Relationship Id="rId6" Type="http://schemas.openxmlformats.org/officeDocument/2006/relationships/hyperlink" Target="http://data.europa.eu/eli/reg/2024/1689/oj" TargetMode="External"/><Relationship Id="rId5" Type="http://schemas.openxmlformats.org/officeDocument/2006/relationships/hyperlink" Target="http://data.europa.eu/eli/reg/2022/2065/oj" TargetMode="External"/><Relationship Id="rId4" Type="http://schemas.openxmlformats.org/officeDocument/2006/relationships/hyperlink" Target="http://data.europa.eu/eli/dir/2024/1385/oj" TargetMode="External"/><Relationship Id="rId9" Type="http://schemas.openxmlformats.org/officeDocument/2006/relationships/hyperlink" Target="http://data.europa.eu/eli/C/2026/17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2552</Words>
  <Characters>15457</Characters>
  <Application>Microsoft Office Word</Application>
  <DocSecurity>0</DocSecurity>
  <Lines>128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2026-04-30T10:45:00Z</dcterms:created>
  <dcterms:modified xsi:type="dcterms:W3CDTF">2026-04-30T10:45:00Z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B10-0206/2026</vt:lpwstr>
  </property>
  <property fmtid="{D5CDD505-2E9C-101B-9397-08002B2CF9AE}" pid="4" name="&lt;Type&gt;">
    <vt:lpwstr>RR</vt:lpwstr>
  </property>
</Properties>
</file>