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0010" w14:paraId="366EA1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9F3761" w14:textId="618D35AF" w:rsidR="00751A4A" w:rsidRPr="00E60010" w:rsidRDefault="00386EDB" w:rsidP="0010095E">
            <w:pPr>
              <w:pStyle w:val="EPName"/>
            </w:pPr>
            <w:r w:rsidRPr="00E60010">
              <w:t>Evropský parlament</w:t>
            </w:r>
          </w:p>
          <w:p w14:paraId="3A1C3C49" w14:textId="77777777" w:rsidR="00751A4A" w:rsidRPr="00E6001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0010">
              <w:t>2024</w:t>
            </w:r>
            <w:r w:rsidR="00817416" w:rsidRPr="00E60010">
              <w:t>-202</w:t>
            </w:r>
            <w:r w:rsidRPr="00E60010">
              <w:t>9</w:t>
            </w:r>
          </w:p>
        </w:tc>
        <w:tc>
          <w:tcPr>
            <w:tcW w:w="2268" w:type="dxa"/>
            <w:shd w:val="clear" w:color="auto" w:fill="auto"/>
          </w:tcPr>
          <w:p w14:paraId="68419143" w14:textId="77777777" w:rsidR="00751A4A" w:rsidRPr="00E60010" w:rsidRDefault="00187494" w:rsidP="0010095E">
            <w:pPr>
              <w:pStyle w:val="EPLogo"/>
            </w:pPr>
            <w:r w:rsidRPr="00E60010">
              <w:rPr>
                <w:noProof/>
                <w:lang w:eastAsia="ja-JP"/>
              </w:rPr>
              <w:drawing>
                <wp:inline distT="0" distB="0" distL="0" distR="0" wp14:anchorId="16F261F0" wp14:editId="6BA3F6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45668B" w14:textId="77777777" w:rsidR="00D058B8" w:rsidRPr="00E60010" w:rsidRDefault="00D058B8" w:rsidP="004C5D52">
      <w:pPr>
        <w:pStyle w:val="LineTop"/>
      </w:pPr>
    </w:p>
    <w:p w14:paraId="7A7BBD9B" w14:textId="2B61D2AD" w:rsidR="00680577" w:rsidRPr="00E60010" w:rsidRDefault="00386EDB" w:rsidP="00680577">
      <w:pPr>
        <w:pStyle w:val="EPBodyTA1"/>
      </w:pPr>
      <w:r w:rsidRPr="00E60010">
        <w:t>PŘIJATÉ TEXTY</w:t>
      </w:r>
    </w:p>
    <w:p w14:paraId="7825DEB6" w14:textId="77777777" w:rsidR="00D058B8" w:rsidRPr="00E60010" w:rsidRDefault="00D058B8" w:rsidP="00D058B8">
      <w:pPr>
        <w:pStyle w:val="LineBottom"/>
      </w:pPr>
    </w:p>
    <w:p w14:paraId="58958982" w14:textId="598F97E8" w:rsidR="00386EDB" w:rsidRPr="00E60010" w:rsidRDefault="00386EDB" w:rsidP="00386EDB">
      <w:pPr>
        <w:pStyle w:val="ATHeading1"/>
      </w:pPr>
      <w:bookmarkStart w:id="0" w:name="TANumber"/>
      <w:r w:rsidRPr="00E60010">
        <w:t>P10_TA(2026)0</w:t>
      </w:r>
      <w:r w:rsidR="006C69DC">
        <w:t>163</w:t>
      </w:r>
      <w:bookmarkEnd w:id="0"/>
    </w:p>
    <w:p w14:paraId="30C2DBD1" w14:textId="77777777" w:rsidR="00386EDB" w:rsidRPr="00E60010" w:rsidRDefault="00386EDB" w:rsidP="00386EDB">
      <w:pPr>
        <w:pStyle w:val="ATHeading2"/>
      </w:pPr>
      <w:bookmarkStart w:id="1" w:name="title"/>
      <w:r w:rsidRPr="00E60010">
        <w:t>Potřeba cílených trestněprávních ustanovení a odpovědnost platforem za účinné řešení kybernetické šikany a obtěžování na internetu</w:t>
      </w:r>
      <w:bookmarkEnd w:id="1"/>
    </w:p>
    <w:p w14:paraId="1FFA9357" w14:textId="26068323" w:rsidR="00386EDB" w:rsidRPr="00E60010" w:rsidRDefault="00386EDB" w:rsidP="00386EDB">
      <w:pPr>
        <w:rPr>
          <w:i/>
          <w:vanish/>
        </w:rPr>
      </w:pPr>
      <w:r w:rsidRPr="00E60010">
        <w:rPr>
          <w:i/>
        </w:rPr>
        <w:fldChar w:fldCharType="begin"/>
      </w:r>
      <w:r w:rsidRPr="00E60010">
        <w:rPr>
          <w:i/>
        </w:rPr>
        <w:instrText xml:space="preserve"> TC"(</w:instrText>
      </w:r>
      <w:bookmarkStart w:id="2" w:name="DocNumber"/>
      <w:r w:rsidRPr="00E60010">
        <w:rPr>
          <w:i/>
        </w:rPr>
        <w:instrText>B10-0206</w:instrText>
      </w:r>
      <w:r w:rsidR="00AE5A92">
        <w:rPr>
          <w:i/>
        </w:rPr>
        <w:instrText>, 0213 a 0235</w:instrText>
      </w:r>
      <w:r w:rsidRPr="00E60010">
        <w:rPr>
          <w:i/>
        </w:rPr>
        <w:instrText>/2026</w:instrText>
      </w:r>
      <w:bookmarkEnd w:id="2"/>
      <w:r w:rsidRPr="00E60010">
        <w:rPr>
          <w:i/>
        </w:rPr>
        <w:instrText xml:space="preserve">)"\l3 \n&gt; \* MERGEFORMAT </w:instrText>
      </w:r>
      <w:r w:rsidRPr="00E60010">
        <w:rPr>
          <w:i/>
        </w:rPr>
        <w:fldChar w:fldCharType="end"/>
      </w:r>
    </w:p>
    <w:p w14:paraId="035EFD2E" w14:textId="77777777" w:rsidR="00386EDB" w:rsidRPr="00E60010" w:rsidRDefault="00386EDB" w:rsidP="00386EDB">
      <w:pPr>
        <w:rPr>
          <w:vanish/>
        </w:rPr>
      </w:pPr>
      <w:bookmarkStart w:id="3" w:name="PE"/>
      <w:r w:rsidRPr="00E60010">
        <w:rPr>
          <w:vanish/>
        </w:rPr>
        <w:t>PE783.241</w:t>
      </w:r>
      <w:bookmarkEnd w:id="3"/>
    </w:p>
    <w:p w14:paraId="797FDE27" w14:textId="77777777" w:rsidR="00386EDB" w:rsidRPr="00E60010" w:rsidRDefault="00386EDB" w:rsidP="00386EDB">
      <w:pPr>
        <w:pStyle w:val="ATHeading3"/>
      </w:pPr>
      <w:bookmarkStart w:id="4" w:name="Sujet"/>
      <w:r w:rsidRPr="00E60010">
        <w:t>Usnesení Evropského parlamentu ze dne 30. dubna 2026 o potřebě cílených trestněprávních ustanovení a odpovědnosti platforem za účinné řešení kybernetické šikany a obtěžování na internetu</w:t>
      </w:r>
      <w:bookmarkEnd w:id="4"/>
      <w:r w:rsidRPr="00E60010">
        <w:t xml:space="preserve"> </w:t>
      </w:r>
      <w:bookmarkStart w:id="5" w:name="References"/>
      <w:r w:rsidRPr="00E60010">
        <w:t>(2026/2693(RSP))</w:t>
      </w:r>
      <w:bookmarkEnd w:id="5"/>
    </w:p>
    <w:p w14:paraId="7772D0CA" w14:textId="77777777" w:rsidR="00A70144" w:rsidRPr="00E60010" w:rsidRDefault="00A70144" w:rsidP="00A70144">
      <w:pPr>
        <w:pStyle w:val="EPComma"/>
      </w:pPr>
      <w:bookmarkStart w:id="6" w:name="TextBodyBegin"/>
      <w:bookmarkEnd w:id="6"/>
      <w:r w:rsidRPr="00E60010">
        <w:rPr>
          <w:i/>
        </w:rPr>
        <w:t>Evropský parlament</w:t>
      </w:r>
      <w:r w:rsidRPr="00E60010">
        <w:t>,</w:t>
      </w:r>
    </w:p>
    <w:p w14:paraId="0AC0CF12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t>–</w:t>
      </w:r>
      <w:r w:rsidRPr="00E60010">
        <w:tab/>
        <w:t>s ohledem na Listinu základních práv Evr</w:t>
      </w:r>
      <w:r w:rsidRPr="00E60010">
        <w:rPr>
          <w:szCs w:val="24"/>
        </w:rPr>
        <w:t>opské unie, zejména na její články o lidské důstojnosti, právu na život, svobodě projevu, právech dítěte, právech obětí, soukromí komunikace a ochraně osobních údajů,</w:t>
      </w:r>
    </w:p>
    <w:p w14:paraId="21D4986B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 ohledem na Úmluvu OSN o právech dítěte,</w:t>
      </w:r>
    </w:p>
    <w:p w14:paraId="73E80128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 ohledem na čl. 83 odst. 1 a 2 Smlouvy o fungování Evropské unie,</w:t>
      </w:r>
    </w:p>
    <w:p w14:paraId="268155E4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 ohledem na směrnici Evropského parlamentu a Rady 2011/93/EU ze dne 13. prosince 2011 o boji proti pohlavnímu zneužívání a pohlavnímu vykořisťování dětí a proti dětské pornografii, kterou se nahrazuje rámcové rozhodnutí Rady 2004/68/SVV</w:t>
      </w:r>
      <w:r w:rsidRPr="00E60010">
        <w:rPr>
          <w:rStyle w:val="FootnoteReference"/>
          <w:szCs w:val="24"/>
        </w:rPr>
        <w:footnoteReference w:id="1"/>
      </w:r>
      <w:r w:rsidRPr="00E60010">
        <w:rPr>
          <w:szCs w:val="24"/>
        </w:rPr>
        <w:t>,</w:t>
      </w:r>
    </w:p>
    <w:p w14:paraId="4AC8D721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 ohledem na směrnici Evropského parlamentu a Rady 2012/29/EU ze dne 25. října 2012, kterou se zavádí minimální pravidla pro práva, podporu a ochranu obětí trestného činu a kterou se nahrazuje rámcové rozhodnutí Rady 2001/220/SVV</w:t>
      </w:r>
      <w:r w:rsidRPr="00E60010">
        <w:rPr>
          <w:rStyle w:val="FootnoteReference"/>
          <w:szCs w:val="24"/>
        </w:rPr>
        <w:footnoteReference w:id="2"/>
      </w:r>
      <w:r w:rsidRPr="00E60010">
        <w:rPr>
          <w:szCs w:val="24"/>
        </w:rPr>
        <w:t xml:space="preserve"> (směrnice o právech obětí),</w:t>
      </w:r>
    </w:p>
    <w:p w14:paraId="15F1FBE3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 ohledem na směrnici Evropského parlamentu a Rady (EU) 2018/1808 ze dne 14. listopadu 2018, kterou se mění směrnice 2010/13/EU o koordinaci některých právních a správních předpisů členských států upravujících poskytování audiovizuálních mediálních služeb (směrnice o audiovizuálních mediálních službách) s ohledem na měnící se situaci na trhu</w:t>
      </w:r>
      <w:r w:rsidRPr="00E60010">
        <w:rPr>
          <w:rStyle w:val="FootnoteReference"/>
          <w:szCs w:val="24"/>
        </w:rPr>
        <w:footnoteReference w:id="3"/>
      </w:r>
      <w:r w:rsidRPr="00E60010">
        <w:rPr>
          <w:szCs w:val="24"/>
        </w:rPr>
        <w:t>,</w:t>
      </w:r>
    </w:p>
    <w:p w14:paraId="7F58E058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 xml:space="preserve">s ohledem na směrnici Evropského parlamentu a Rady (EU) 2024/1385 ze dne </w:t>
      </w:r>
      <w:r w:rsidRPr="00E60010">
        <w:rPr>
          <w:szCs w:val="24"/>
        </w:rPr>
        <w:lastRenderedPageBreak/>
        <w:t>14. května 2024 o potírání násilí na ženách a domácího násilí</w:t>
      </w:r>
      <w:r w:rsidRPr="00E60010">
        <w:rPr>
          <w:rStyle w:val="FootnoteReference"/>
          <w:szCs w:val="24"/>
        </w:rPr>
        <w:footnoteReference w:id="4"/>
      </w:r>
      <w:r w:rsidRPr="00E60010">
        <w:rPr>
          <w:szCs w:val="24"/>
        </w:rPr>
        <w:t>,</w:t>
      </w:r>
    </w:p>
    <w:p w14:paraId="0FA3889B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 ohledem na nařízení Evropského parlamentu a Rady (EU) 2022/2065 ze dne 19. října 2022 o jednotném trhu digitálních služeb a o změně směrnice 2000/31/ES (nařízení o digitálních službách)</w:t>
      </w:r>
      <w:r w:rsidRPr="00E60010">
        <w:rPr>
          <w:rStyle w:val="FootnoteReference"/>
          <w:szCs w:val="24"/>
        </w:rPr>
        <w:footnoteReference w:id="5"/>
      </w:r>
      <w:r w:rsidRPr="00E60010">
        <w:rPr>
          <w:szCs w:val="24"/>
        </w:rPr>
        <w:t>,</w:t>
      </w:r>
    </w:p>
    <w:p w14:paraId="0FBC66DF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 ohledem na nařízení Evropského parlamentu a Rady (EU) 2024/1689 ze dne 13. června 2024, kterým se stanoví harmonizovaná pravidla pro umělou inteligenci a mění nařízení (ES) č. 300/2008, (EU) č. 167/2013, (EU) č. 168/2013, (EU) 2018/858, (EU) 2018/1139 a (EU) 2019/2144 a směrnice 2014/90/EU, (EU) 2016/797 a (EU) 2020/1828 (akt o umělé inteligenci)</w:t>
      </w:r>
      <w:r w:rsidRPr="00E60010">
        <w:rPr>
          <w:rStyle w:val="FootnoteReference"/>
          <w:szCs w:val="24"/>
        </w:rPr>
        <w:footnoteReference w:id="6"/>
      </w:r>
      <w:r w:rsidRPr="00E60010">
        <w:rPr>
          <w:szCs w:val="24"/>
        </w:rPr>
        <w:t>,</w:t>
      </w:r>
    </w:p>
    <w:p w14:paraId="49C33434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 ohledem na pokyny Komise ze dne 10. října 2025 k opatřením pro zajištění vysoké míry soukromí, bezpečnosti a ochrany nezletilých osob na internetu podle čl. 28 odst. 4 nařízení (EU) 2022/2065</w:t>
      </w:r>
      <w:r w:rsidRPr="00E60010">
        <w:rPr>
          <w:rStyle w:val="FootnoteReference"/>
          <w:szCs w:val="24"/>
        </w:rPr>
        <w:footnoteReference w:id="7"/>
      </w:r>
      <w:r w:rsidRPr="00E60010">
        <w:rPr>
          <w:szCs w:val="24"/>
        </w:rPr>
        <w:t xml:space="preserve">; </w:t>
      </w:r>
    </w:p>
    <w:p w14:paraId="60B69BC2" w14:textId="00DD49D0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 ohledem na sdělení Komise ze dne 10. února 2026 nazvané ‚Akční plán proti kybernetické šikaně „Společně v zájmu bezpečnějšího internetu“ (COM(2026)0071),</w:t>
      </w:r>
    </w:p>
    <w:p w14:paraId="58825EC1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 ohledem na zprávu Komise ze dne 25. listopadu 2025 nazvanou „Cyberbullying: Insights from science, policy and legislation“ (Kyberšikana: poznatky z vědy, politiky a legislativy),</w:t>
      </w:r>
    </w:p>
    <w:p w14:paraId="1C7A06EE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 ohledem na sdělení Komise ze dne 11. května 2022 nazvané „Digitální dekáda pro děti a mládež: nová Evropská strategie pro lepší internet pro děti (BIK+)“ (COM(2022)0212),</w:t>
      </w:r>
    </w:p>
    <w:p w14:paraId="106892C2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 ohledem na sdělení Komise ze dne 9. prosince 2021 nazvané „Inkluzivnější a bezpečnější Evropa: rozšíření seznamu trestných činů EU o nenávistné verbální projevy a trestné činy z nenávisti“ (COM(2021)0777) a na připojený návrh rozhodnutí Rady,</w:t>
      </w:r>
    </w:p>
    <w:p w14:paraId="16D2DC18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 ohledem na své usnesení ze dne 18. ledna 2024 o rozšíření seznamu trestných činů EU o nenávistné verbální projevy a trestné činy z nenávisti</w:t>
      </w:r>
      <w:r w:rsidRPr="00E60010">
        <w:rPr>
          <w:rStyle w:val="FootnoteReference"/>
          <w:szCs w:val="24"/>
        </w:rPr>
        <w:footnoteReference w:id="8"/>
      </w:r>
      <w:r w:rsidRPr="00E60010">
        <w:rPr>
          <w:szCs w:val="24"/>
        </w:rPr>
        <w:t>,</w:t>
      </w:r>
    </w:p>
    <w:p w14:paraId="3252405D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 ohledem na vnitrostátní právní předpisy proti kyberšikaně, včetně irského zákona o obtěžování, škodlivé komunikaci a souvisejících trestných činech (známého jako „Coco's Law“),</w:t>
      </w:r>
    </w:p>
    <w:p w14:paraId="187BF9BE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 ohledem na projev Jackie Foxové, matky Coco, v Parlamentu dne 10. března 2026 u příležitosti Mezinárodního dne žen,</w:t>
      </w:r>
    </w:p>
    <w:p w14:paraId="6728AC36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 ohledem na Strategii Komise pro rovnost LGBTIQ+ osob na období 2026–2030 ze dne 8. října 2025 (COM(2025)0725),</w:t>
      </w:r>
    </w:p>
    <w:p w14:paraId="1E638AAE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 xml:space="preserve">s ohledem na své usnesení ze dne 26. listopadu 2025 o ochraně nezletilých osob na </w:t>
      </w:r>
      <w:r w:rsidRPr="00E60010">
        <w:rPr>
          <w:szCs w:val="24"/>
        </w:rPr>
        <w:lastRenderedPageBreak/>
        <w:t>internetu</w:t>
      </w:r>
      <w:r w:rsidRPr="00E60010">
        <w:rPr>
          <w:rStyle w:val="FootnoteReference"/>
          <w:szCs w:val="24"/>
        </w:rPr>
        <w:footnoteReference w:id="9"/>
      </w:r>
      <w:r w:rsidRPr="00E60010">
        <w:rPr>
          <w:szCs w:val="24"/>
        </w:rPr>
        <w:t>,</w:t>
      </w:r>
    </w:p>
    <w:p w14:paraId="6BCC00BC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–</w:t>
      </w:r>
      <w:r w:rsidRPr="00E60010">
        <w:rPr>
          <w:szCs w:val="24"/>
        </w:rPr>
        <w:tab/>
        <w:t>s ohledem na čl. 136 odst. 2 a 4 jednacího řádu,</w:t>
      </w:r>
    </w:p>
    <w:p w14:paraId="0C453019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A.</w:t>
      </w:r>
      <w:r w:rsidRPr="00E60010">
        <w:rPr>
          <w:szCs w:val="24"/>
        </w:rPr>
        <w:tab/>
        <w:t>vzhledem k tomu, že kybernetická šikana je druh chování využívající digitální technologie, jehož hlavním záměrem nebo výsledkem je opakované nebo neustálé ponižování, sociální vyloučení, zneužívání, obtěžování nebo ubližování především dětem nebo mladým lidem;</w:t>
      </w:r>
    </w:p>
    <w:p w14:paraId="5552F60A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B.</w:t>
      </w:r>
      <w:r w:rsidRPr="00E60010">
        <w:rPr>
          <w:szCs w:val="24"/>
        </w:rPr>
        <w:tab/>
        <w:t>vzhledem k tomu, že kybernetická šikana je rostoucím problémem, jak je uvedeno v příslušném akčním plánu Komise; vzhledem k tomu, že s kybernetickou šikanou prostřednictvím elektronických zpráv nebo příspěvků na sociálních sítích se setkalo 18,3 % dětí na celém světě; vzhledem k tomu, že v Evropě přibližně každé šesté dítě ve věku 11 až 15 let uvedlo, že se stalo obětí kybernetické šikany; vzhledem k tomu, že v letech 2018 až 2022 vzrostl počet mladistvých, kteří se stali obětí kybernetické šikany, o čtvrtinu u chlapců a téměř o čtvrtinu u dívek; vzhledem k tomu, že v posledních pěti letech je kybernetická šikana permanentně hlavním důvodem, proč jsou kontaktovány linky důvěry center pro bezpečnější internet;</w:t>
      </w:r>
    </w:p>
    <w:p w14:paraId="6AB5B7FE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C.</w:t>
      </w:r>
      <w:r w:rsidRPr="00E60010">
        <w:rPr>
          <w:szCs w:val="24"/>
        </w:rPr>
        <w:tab/>
        <w:t>vzhledem k tomu, že podle průzkumu Eurobarometr o digitální dekádě z roku 2025 se 92 % občanů EU domnívá, že je naléhavě nutné, aby veřejné orgány přijaly opatření na ochranu dětí na internetu před kybernetickou šikanou a obtěžováním na internetu, což dokládá, že je naléhavě nutné přijmout koordinovaná opatření k prevenci, řešení a zmírnění škodlivých účinků kybernetické šikany ve všech členských státech;</w:t>
      </w:r>
    </w:p>
    <w:p w14:paraId="58608DB9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D.</w:t>
      </w:r>
      <w:r w:rsidRPr="00E60010">
        <w:rPr>
          <w:szCs w:val="24"/>
        </w:rPr>
        <w:tab/>
        <w:t>vzhledem k tomu, že kybernetická šikana mnohem častěji postihuje osoby, které jsou zranitelné z více důvodů (např. ženy a dívky, osoby LGBTIQ+, mládež, děti se zdravotním postižením, děti náležící menšinám, přistěhovalce a rasizované mladé lidi), a vzhledem k tomu, že tyto vícenásobné důvody diskriminace umocňují utrpěnou újmu;</w:t>
      </w:r>
    </w:p>
    <w:p w14:paraId="0B29D51E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E.</w:t>
      </w:r>
      <w:r w:rsidRPr="00E60010">
        <w:rPr>
          <w:szCs w:val="24"/>
        </w:rPr>
        <w:tab/>
        <w:t>vzhledem k tomu, že kybernetická šikana a obtěžování na internetu, včetně zneužívání na základě obrazového materiálu, mají pro oběti, zejména nezletilé osoby, závažné a trvalé následky, k nimž patří mimo jiné psychická újma, sociální odcizení a v nejzazších případech smrt;</w:t>
      </w:r>
    </w:p>
    <w:p w14:paraId="5EE18A62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F.</w:t>
      </w:r>
      <w:r w:rsidRPr="00E60010">
        <w:rPr>
          <w:szCs w:val="24"/>
        </w:rPr>
        <w:tab/>
        <w:t>vzhledem k tomu, že kybernetickou šikanu je nutné v mnoha případech považovat za jednu z forem genderově podmíněného násilí a že například zahrnuje šíření intimních snímků bez souhlasu, koordinované nenávistné kampaně a útoky proti ženám ve veřejném životě; vzhledem k tomu, že umělá inteligence dává kybernetické šikaně nový, nebezpečný rozměr, přičemž je zaměřena především na ženy a děti;</w:t>
      </w:r>
    </w:p>
    <w:p w14:paraId="0D86AB12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G.</w:t>
      </w:r>
      <w:r w:rsidRPr="00E60010">
        <w:rPr>
          <w:szCs w:val="24"/>
        </w:rPr>
        <w:tab/>
        <w:t>vzhledem k tomu, že kybernetická šikana má přeshraniční rozměr, protože k ní často dochází prostřednictvím platforem sociálních médií, aplikací pro zasílání zpráv, herního prostředí a dalších online prostor; vzhledem k tomu, že se v EU stala jednou z nejvážnějších hrozeb pro bezpečnost nezletilých osob a mladých lidí na internetu a jejich duševní pohodu;</w:t>
      </w:r>
    </w:p>
    <w:p w14:paraId="025D8060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H.</w:t>
      </w:r>
      <w:r w:rsidRPr="00E60010">
        <w:rPr>
          <w:szCs w:val="24"/>
        </w:rPr>
        <w:tab/>
        <w:t xml:space="preserve">vzhledem k tomu, že na unijní ani mezinárodní úrovni neexistuje všeobecně přijímaná právní definice kybernetické šikany; vzhledem k tomu, že definice kybernetické šikany </w:t>
      </w:r>
      <w:r w:rsidRPr="00E60010">
        <w:rPr>
          <w:szCs w:val="24"/>
        </w:rPr>
        <w:lastRenderedPageBreak/>
        <w:t>a příslušné postihy jsou v právních systémech jednotlivých členských států značně roztříštěné, což vede k nerovné úrovni ochrany obětí a vytváří právní nejistotu pro donucovací orgány;</w:t>
      </w:r>
    </w:p>
    <w:p w14:paraId="58128424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I.</w:t>
      </w:r>
      <w:r w:rsidRPr="00E60010">
        <w:rPr>
          <w:szCs w:val="24"/>
        </w:rPr>
        <w:tab/>
        <w:t>vzhledem k tomu, že několik členských států zavedlo pro kybernetickou šikanu cílená trestněprávní ustanovení; vzhledem k tomu, že vnitrostátní právní předpisy, jako je irský zákon o obtěžování, škodlivé komunikaci a souvisejících trestných činech, se snaží řešit škodlivé chování na internetu, včetně šíření intimních snímků bez souhlasu a závažného obtěžování na internetu; vzhledem k tomu, že Komise dne 9. prosince 2021 navrhla doplnit „trestné činy z nenávisti“ na seznam trestných činů EU uvedených v čl. 83 odst. 1 Smlouvy o fungování EU; vzhledem k tomu, že tento návrh nezískal potřebnou jednomyslnou podporu členských států;</w:t>
      </w:r>
    </w:p>
    <w:p w14:paraId="59644BCB" w14:textId="77777777" w:rsidR="00A70144" w:rsidRPr="00E60010" w:rsidRDefault="00A70144" w:rsidP="00E60010">
      <w:pPr>
        <w:pStyle w:val="NormalHanging12a"/>
        <w:rPr>
          <w:bCs/>
          <w:szCs w:val="24"/>
        </w:rPr>
      </w:pPr>
      <w:r w:rsidRPr="00E60010">
        <w:rPr>
          <w:szCs w:val="24"/>
        </w:rPr>
        <w:t>J.</w:t>
      </w:r>
      <w:r w:rsidRPr="00E60010">
        <w:rPr>
          <w:szCs w:val="24"/>
        </w:rPr>
        <w:tab/>
        <w:t>vzhledem k tomu, že předsedkyně Komise ve svém projevu o stavu Unie v roce 2025 oznámila, že svolá skupinu odborníků, která bude poskytovat poradenství ohledně bezpečnosti dětí na internetu a případných věkových omezení pro používání sociálních médií; vzhledem k tomu, že spolupředsedové mají do léta 2026 předložit předsedkyni Komise svá zjištění a doporučení;</w:t>
      </w:r>
    </w:p>
    <w:p w14:paraId="77BC9F1B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K.</w:t>
      </w:r>
      <w:r w:rsidRPr="00E60010">
        <w:rPr>
          <w:szCs w:val="24"/>
        </w:rPr>
        <w:tab/>
        <w:t>poukazuje na to, že obchodní modely určitých online platforem motivují k šíření nenávistného obsahu, a přispívají tak k nebezpečnému prostředí na internetu, zejména pro nezletilé, ženy, osoby LGBTIQ+ a jiné menšiny; vzhledem k tomu, že Komise na základě nařízení o digitálních službách zahájila několik vyšetřování proti velmi velkým online platformám v souvislosti s kybernetickou šikanou a obtěžováním;</w:t>
      </w:r>
    </w:p>
    <w:p w14:paraId="1A30D263" w14:textId="77777777" w:rsidR="00A70144" w:rsidRPr="00E60010" w:rsidRDefault="00A70144" w:rsidP="00E60010">
      <w:pPr>
        <w:pStyle w:val="NormalHanging12a"/>
        <w:rPr>
          <w:b/>
          <w:i/>
          <w:iCs/>
          <w:szCs w:val="24"/>
        </w:rPr>
      </w:pPr>
      <w:r w:rsidRPr="00E60010">
        <w:rPr>
          <w:b/>
          <w:i/>
          <w:szCs w:val="24"/>
        </w:rPr>
        <w:t>Akční plán Komise proti kybernetické šikaně</w:t>
      </w:r>
    </w:p>
    <w:p w14:paraId="5E03D1F1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1.</w:t>
      </w:r>
      <w:r w:rsidRPr="00E60010">
        <w:rPr>
          <w:szCs w:val="24"/>
        </w:rPr>
        <w:tab/>
        <w:t>vítá Akční plán Komise proti kybernetické šikaně, který poskytuje rámec pro její potírání a který obsahuje návrh definice, která by umožnila konzistentní statistické hodnocení, výměnu osvědčených postupů, přísnější uplatňování a prosazování platných právních předpisů;</w:t>
      </w:r>
    </w:p>
    <w:p w14:paraId="5399EA4F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2.</w:t>
      </w:r>
      <w:r w:rsidRPr="00E60010">
        <w:rPr>
          <w:szCs w:val="24"/>
        </w:rPr>
        <w:tab/>
        <w:t>oceňuje, že Akční plán proti kybernetické šikaně klade důraz na prevenci a digitální gramotnost jako (na) účinné dlouhodobé nástroje; vyzývá Komisi a členské státy, aby investovaly do digitálního vzdělávání a programů mediální gramotnosti, které by měly být přiměřené věku, a zajistily, aby k nim měly přístup všechny děti bez ohledu na jejich socioekonomické zázemí;</w:t>
      </w:r>
    </w:p>
    <w:p w14:paraId="52BEB7C8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3.</w:t>
      </w:r>
      <w:r w:rsidRPr="00E60010">
        <w:rPr>
          <w:szCs w:val="24"/>
        </w:rPr>
        <w:tab/>
        <w:t>znovu vyzývá členské státy, aby zavedly komplexní vnitrostátní plány pro potírání kybernetické šikany a stanovily účinné, přiměřené a odrazující postihy za trestné činy kybernetické šikany s ohledem na jejich závažnost a zranitelnost obětí;</w:t>
      </w:r>
    </w:p>
    <w:p w14:paraId="799D60C0" w14:textId="77777777" w:rsidR="00A70144" w:rsidRPr="00E60010" w:rsidRDefault="00A70144" w:rsidP="00E60010">
      <w:pPr>
        <w:pStyle w:val="NormalHanging12a"/>
        <w:rPr>
          <w:rStyle w:val="CommentReference"/>
          <w:color w:val="000000"/>
          <w:spacing w:val="-2"/>
          <w:sz w:val="24"/>
          <w:szCs w:val="24"/>
        </w:rPr>
      </w:pPr>
      <w:r w:rsidRPr="00E60010">
        <w:rPr>
          <w:rStyle w:val="CommentReference"/>
          <w:color w:val="000000"/>
          <w:sz w:val="24"/>
          <w:szCs w:val="24"/>
        </w:rPr>
        <w:t>4.</w:t>
      </w:r>
      <w:r w:rsidRPr="00E60010">
        <w:rPr>
          <w:rStyle w:val="CommentReference"/>
          <w:color w:val="000000"/>
          <w:sz w:val="24"/>
          <w:szCs w:val="24"/>
        </w:rPr>
        <w:tab/>
      </w:r>
      <w:r w:rsidRPr="00E60010">
        <w:rPr>
          <w:szCs w:val="24"/>
        </w:rPr>
        <w:t>domnívá se, že oběti by měly mít možnost kybernetickou šikanu snadno nahlásit; konstatuje, že Akční plán proti kybernetické šikaně počítá se spuštěním internetové bezpečnostní aplikace proti kybernetické šikaně, která bude uživatelsky přívětivým celounijním mechanismem, který zajistí interoperabilitu a umožní centralizovaně podávat oznámení, koordinovaně poskytovat podporu a shromažďovat důkazy;</w:t>
      </w:r>
    </w:p>
    <w:p w14:paraId="25959193" w14:textId="77777777" w:rsidR="00A70144" w:rsidRPr="00E60010" w:rsidRDefault="00A70144" w:rsidP="00E60010">
      <w:pPr>
        <w:pStyle w:val="NormalHanging12a"/>
        <w:rPr>
          <w:b/>
          <w:i/>
          <w:iCs/>
          <w:szCs w:val="24"/>
        </w:rPr>
      </w:pPr>
      <w:r w:rsidRPr="00E60010">
        <w:rPr>
          <w:b/>
          <w:i/>
          <w:szCs w:val="24"/>
        </w:rPr>
        <w:t>Trestní právo</w:t>
      </w:r>
    </w:p>
    <w:p w14:paraId="75FE7690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5.</w:t>
      </w:r>
      <w:r w:rsidRPr="00E60010">
        <w:rPr>
          <w:szCs w:val="24"/>
        </w:rPr>
        <w:tab/>
        <w:t xml:space="preserve">je znepokojen tím, že navzdory legislativním a politickým opatřením, která byla dosud na unijní a vnitrostátní úrovni přijata, se kybernetická šikana a zneužívání </w:t>
      </w:r>
      <w:r w:rsidRPr="00E60010">
        <w:rPr>
          <w:szCs w:val="24"/>
        </w:rPr>
        <w:lastRenderedPageBreak/>
        <w:t>prostřednictvím obrazového materiálu nebo videonahrávek v EU zhoršuje, což naznačuje, že stávající nástroje, včetně povinností podle nařízení o digitálních službách a harmonizace podle směrnice o potírání násilí na ženách a domácího násilí, zřejmě nestačí pro řešení tohoto problému v celém rozsahu a závažnosti;</w:t>
      </w:r>
    </w:p>
    <w:p w14:paraId="3E175B10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6.</w:t>
      </w:r>
      <w:r w:rsidRPr="00E60010">
        <w:rPr>
          <w:szCs w:val="24"/>
        </w:rPr>
        <w:tab/>
        <w:t>konstatuje, že Akční plán proti kybernetické šikaně nestanoví trestněprávní opatření na úrovni EU;</w:t>
      </w:r>
    </w:p>
    <w:p w14:paraId="210D4C42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7.</w:t>
      </w:r>
      <w:r w:rsidRPr="00E60010">
        <w:rPr>
          <w:szCs w:val="24"/>
        </w:rPr>
        <w:tab/>
        <w:t>vyzývá Komisi, aby posoudila, zda je na úrovni EU potřeba harmonizovanějšího přístupu k definici kybernetické šikany; vyzývá Komisi, aby přezkoumala, zda by kybernetická šikana, včetně šíření intimních snímků bez souhlasu, měla být na úrovni EU uznána jako mimořádně závažná trestná činnost s přeshraničním rozměrem; opakuje, že podporuje doplnění trestných činů z nenávisti, které by mohly zahrnovat nejzávažnější formy kybernetické šikany, na seznam trestných činů EU podle čl. 83 odst. 1 Smlouvy o fungování EU;</w:t>
      </w:r>
    </w:p>
    <w:p w14:paraId="1633327B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8.</w:t>
      </w:r>
      <w:r w:rsidRPr="00E60010">
        <w:rPr>
          <w:szCs w:val="24"/>
        </w:rPr>
        <w:tab/>
        <w:t>zdůrazňuje, že donucovací orgány vybavené náležitými zdroji, včetně odpovídajícího personálu, technických znalostí a infrastruktury IT, jsou nezbytnou součástí účinného boje proti kybernetické šikaně; vyzývá Komisi a Europol, aby zvýšily vyšetřovací kapacity členských států, mimo jiné v oblasti boje proti přeshraniční kybernetické šikaně;</w:t>
      </w:r>
    </w:p>
    <w:p w14:paraId="45245C7E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9.</w:t>
      </w:r>
      <w:r w:rsidRPr="00E60010">
        <w:rPr>
          <w:szCs w:val="24"/>
        </w:rPr>
        <w:tab/>
        <w:t>vyzývá členské státy, aby sdílely své osvědčené právní přístupy; zdůrazňuje, že je třeba upřednostňovat opatření v oblasti prevence, vzdělávání a zvyšování povědomí zaměřená na děti, rodiče a pedagogy, jakož i digitální gramotnost a restorativní přístupy, zejména pokud jsou oběťmi nezletilé osoby;</w:t>
      </w:r>
    </w:p>
    <w:p w14:paraId="1EFD3660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10.</w:t>
      </w:r>
      <w:r w:rsidRPr="00E60010">
        <w:rPr>
          <w:szCs w:val="24"/>
        </w:rPr>
        <w:tab/>
        <w:t>vyzývá k urychlenému provedení revidované směrnice o právech obětí ve vnitrostátním právu a jejímu uplatňování;</w:t>
      </w:r>
    </w:p>
    <w:p w14:paraId="731BCA3A" w14:textId="77777777" w:rsidR="00A70144" w:rsidRPr="00E60010" w:rsidRDefault="00A70144" w:rsidP="00E60010">
      <w:pPr>
        <w:pStyle w:val="NormalHanging12a"/>
        <w:rPr>
          <w:b/>
          <w:i/>
          <w:iCs/>
          <w:szCs w:val="24"/>
        </w:rPr>
      </w:pPr>
      <w:r w:rsidRPr="00E60010">
        <w:rPr>
          <w:b/>
          <w:i/>
          <w:szCs w:val="24"/>
        </w:rPr>
        <w:t>Online platformy a nařízení o digitálních službách</w:t>
      </w:r>
    </w:p>
    <w:p w14:paraId="0C2A0C9C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11.</w:t>
      </w:r>
      <w:r w:rsidRPr="00E60010">
        <w:rPr>
          <w:szCs w:val="24"/>
        </w:rPr>
        <w:tab/>
        <w:t>vyzývá Komisi a členské státy, aby zajistily, aby platformy nesly odpovědnost za prevenci a potírání kybernetické šikany;</w:t>
      </w:r>
    </w:p>
    <w:p w14:paraId="443261C3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12.</w:t>
      </w:r>
      <w:r w:rsidRPr="00E60010">
        <w:rPr>
          <w:szCs w:val="24"/>
        </w:rPr>
        <w:tab/>
        <w:t>poukazuje na to, že obchodní modely určitých online platforem motivují k šíření nenávistného obsahu, a přispívají tak ke stále nebezpečnějšímu prostředí na internetu, zejména pro nezletilé, ženy, osoby LGBTIQ+ a jiné menšiny; upozorňuje na úlohu nadměrně personalizovaných doporučovacích systémů, které podporují nenávistné projevy a snižují viditelnost méně kontroverzního obsahu;</w:t>
      </w:r>
    </w:p>
    <w:p w14:paraId="5BDD4C4E" w14:textId="77777777" w:rsidR="00A70144" w:rsidRPr="00E60010" w:rsidRDefault="00A70144" w:rsidP="00E60010">
      <w:pPr>
        <w:pStyle w:val="NormalHanging12a"/>
        <w:rPr>
          <w:bCs/>
          <w:szCs w:val="24"/>
        </w:rPr>
      </w:pPr>
      <w:r w:rsidRPr="00E60010">
        <w:rPr>
          <w:szCs w:val="24"/>
        </w:rPr>
        <w:t>13.</w:t>
      </w:r>
      <w:r w:rsidRPr="00E60010">
        <w:rPr>
          <w:szCs w:val="24"/>
        </w:rPr>
        <w:tab/>
        <w:t>zdůrazňuje, že nařízení o digitálních službách se zabývá některými aspekty obtěžování a kybernetické šikany, zejména v článku 28, který již poskytovatelům ukládá povinnost zajistit vysokou úroveň soukromí, bezpečnosti a ochrany nezletilých osob; v této souvislosti upozorňuje na pokyny Komise vydané v rámci nařízení o digitálních službách, které upřesňují, jak mohou platformy zajistit bezpečnost nezletilých osob při využívání jejich služeb; konstatuje, že velmi velké online platformy tato opatření do značné míry neprovedly; vyzývá Komisi a členské státy, aby důrazněji prosazovaly článek 28 nařízení o digitálních službách a ustanovení nařízení o digitálních službách, která se týkají oznamování a přijímání opatření a mají dopad na ochranu obětí kybernetické šikany;</w:t>
      </w:r>
    </w:p>
    <w:p w14:paraId="53C53DB4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lastRenderedPageBreak/>
        <w:t>14.</w:t>
      </w:r>
      <w:r w:rsidRPr="00E60010">
        <w:rPr>
          <w:szCs w:val="24"/>
        </w:rPr>
        <w:tab/>
        <w:t>vyzývá Komisi, aby uzavřela probíhající případy prosazování, zahájila vyšetřování veškerých porušení článku 28 nařízení o digitálních službách, včetně systémových rizik, která představují doporučovací systémy, a aby důsledně prosazovala povinnost platforem oznamovat nedostatky a odstraňovat je; důrazně odmítá veškeré pokusy o opětovné přepracování nařízení o digitálních službách; poukazuje na to, že přístup výzkumných pracovníků v rámci nařízení o digitálních službách má zásadní význam pro zajištění tvorby právních předpisů na základě důkazů;</w:t>
      </w:r>
    </w:p>
    <w:p w14:paraId="50DCF569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15.</w:t>
      </w:r>
      <w:r w:rsidRPr="00E60010">
        <w:rPr>
          <w:szCs w:val="24"/>
        </w:rPr>
        <w:tab/>
        <w:t>vyzývá Komisi, aby navázala na své oznámení o vydání pokynů pro důvěryhodné oznamovatele kybernetické šikany a objasnila jejich úlohu při odstraňování nezákonného obsahu;</w:t>
      </w:r>
    </w:p>
    <w:p w14:paraId="47BFA0E0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16.</w:t>
      </w:r>
      <w:r w:rsidRPr="00E60010">
        <w:rPr>
          <w:szCs w:val="24"/>
        </w:rPr>
        <w:tab/>
        <w:t>vyjadřuje politování nad tím, že v současné době neexistuje právní rámec, který by umožňoval odhalování materiálů pohlavního zneužívání dětí na internetu, a vyzývá Komisi, aby urychleně podnikla kroky k zajištění toho, aby byly zavedeny dobrovolné mechanismy oznamování materiálů zobrazujících pohlavní zneužívání dětí; zdůrazňuje, že platformy mají povinnost zajistit pro děti bezpečný digitální prostor, který respektuje jejich základní práva a chrání soukromí a údaje všech uživatelů;</w:t>
      </w:r>
    </w:p>
    <w:p w14:paraId="1D8B8226" w14:textId="77777777" w:rsidR="00A70144" w:rsidRPr="00E60010" w:rsidRDefault="00A70144" w:rsidP="00E60010">
      <w:pPr>
        <w:pStyle w:val="NormalHanging12a"/>
        <w:rPr>
          <w:b/>
          <w:i/>
          <w:iCs/>
          <w:szCs w:val="24"/>
        </w:rPr>
      </w:pPr>
      <w:r w:rsidRPr="00E60010">
        <w:rPr>
          <w:b/>
          <w:i/>
          <w:szCs w:val="24"/>
        </w:rPr>
        <w:t>Další opatření</w:t>
      </w:r>
    </w:p>
    <w:p w14:paraId="0C0CBE4E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17.</w:t>
      </w:r>
      <w:r w:rsidRPr="00E60010">
        <w:rPr>
          <w:szCs w:val="24"/>
        </w:rPr>
        <w:tab/>
        <w:t>vyjadřuje znepokojení nad rostoucím zneužíváním umělé inteligence, včetně vytváření deepfake, klonování hlasu a vytváření intimního obsahu bez souhlasu; opakuje, že v rámci jednání o balíčku předpisů o umělé inteligenci je třeba v aktu o umělé inteligenci zakázat „svlékací aplikace“; vyzývá poskytovatele, aby neprodleně splnili požadavky článku 50 nařízení o umělé inteligenci týkající se transparentnosti a vodoznaků, a zajistili tak, aby byl obsah generovaný umělou inteligencí jasně označen, s cílem zmírnit škodlivý dopad deepfake, zejména na nezletilé osoby;</w:t>
      </w:r>
    </w:p>
    <w:p w14:paraId="5FED6949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18.</w:t>
      </w:r>
      <w:r w:rsidRPr="00E60010">
        <w:rPr>
          <w:szCs w:val="24"/>
        </w:rPr>
        <w:tab/>
        <w:t>vyzývá Komisi, aby posoudila, zda se stávající povinnosti v oblasti posuzování a zmírňování rizik stanovené právními předpisy EU náležitě vztahují na provozovatele online her, zejména na ty, kteří nabízejí funkce komunikace v reálném čase, jež mohou nezletilé osoby vystavit kybernetické šikaně;</w:t>
      </w:r>
    </w:p>
    <w:p w14:paraId="31ED0324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19.</w:t>
      </w:r>
      <w:r w:rsidRPr="00E60010">
        <w:rPr>
          <w:szCs w:val="24"/>
        </w:rPr>
        <w:tab/>
        <w:t>připomíná, že revidovaná směrnice o audiovizuálních mediálních službách ukládá povinnost chránit nezletilé osoby před nezákonným a škodlivým obsahem a všechny uživatele před obsahem podněcujícím k násilí nebo nenávisti; vyzývá Komisi, aby sledovala uplatňování této směrnice členskými státy;</w:t>
      </w:r>
    </w:p>
    <w:p w14:paraId="6C9E4BF3" w14:textId="77777777" w:rsidR="00A70144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20.</w:t>
      </w:r>
      <w:r w:rsidRPr="00E60010">
        <w:rPr>
          <w:szCs w:val="24"/>
        </w:rPr>
        <w:tab/>
        <w:t>připomíná, že je třeba posílit ochranu a podporu obětí kybernetické šikany; je znepokojen tím, že organizace na podporu obětí jsou stále více ohroženy kvůli nedostatku finančních prostředků; vyzývá, aby bylo z prostředků EU zajištěno navýšené a udržitelné financování organizací občanské společnosti, linek pomoci a služeb podpory pro oběti a aby byla do vnitrostátních strategií v oblasti duševního zdraví zahrnuta opatření v oblasti prevence kybernetické šikany a reakce na ni, a to se zvláštním důrazem na nezletilé osoby a další zranitelné skupiny;</w:t>
      </w:r>
    </w:p>
    <w:p w14:paraId="61A2CE22" w14:textId="77777777" w:rsidR="00E60010" w:rsidRDefault="00E60010" w:rsidP="00E60010">
      <w:pPr>
        <w:pStyle w:val="NormalHanging12a"/>
        <w:widowControl/>
        <w:jc w:val="center"/>
        <w:rPr>
          <w:szCs w:val="24"/>
        </w:rPr>
      </w:pPr>
      <w:r>
        <w:rPr>
          <w:szCs w:val="24"/>
        </w:rPr>
        <w:t>°</w:t>
      </w:r>
    </w:p>
    <w:p w14:paraId="6AE95CAA" w14:textId="77777777" w:rsidR="00E60010" w:rsidRDefault="00E60010" w:rsidP="00E60010">
      <w:pPr>
        <w:pStyle w:val="NormalHanging12a"/>
        <w:widowControl/>
        <w:jc w:val="center"/>
        <w:rPr>
          <w:szCs w:val="24"/>
        </w:rPr>
      </w:pPr>
      <w:r>
        <w:rPr>
          <w:szCs w:val="24"/>
        </w:rPr>
        <w:t>°     °</w:t>
      </w:r>
    </w:p>
    <w:p w14:paraId="2889D037" w14:textId="37DF4E96" w:rsidR="00E365E1" w:rsidRPr="00E60010" w:rsidRDefault="00A70144" w:rsidP="00E60010">
      <w:pPr>
        <w:pStyle w:val="NormalHanging12a"/>
        <w:rPr>
          <w:szCs w:val="24"/>
        </w:rPr>
      </w:pPr>
      <w:r w:rsidRPr="00E60010">
        <w:rPr>
          <w:szCs w:val="24"/>
        </w:rPr>
        <w:t>21.</w:t>
      </w:r>
      <w:r w:rsidRPr="00E60010">
        <w:rPr>
          <w:szCs w:val="24"/>
        </w:rPr>
        <w:tab/>
        <w:t xml:space="preserve">pověřuje svou předsedkyni, aby předala toto usnesení Radě, Komisi a vládám </w:t>
      </w:r>
      <w:r w:rsidRPr="00E60010">
        <w:rPr>
          <w:szCs w:val="24"/>
        </w:rPr>
        <w:lastRenderedPageBreak/>
        <w:t>a parlamentům členských států.</w:t>
      </w:r>
    </w:p>
    <w:sectPr w:rsidR="00E365E1" w:rsidRPr="00E60010" w:rsidSect="00CD60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C5D83" w14:textId="77777777" w:rsidR="00386EDB" w:rsidRPr="00CD6090" w:rsidRDefault="00386EDB">
      <w:r w:rsidRPr="00CD6090">
        <w:separator/>
      </w:r>
    </w:p>
  </w:endnote>
  <w:endnote w:type="continuationSeparator" w:id="0">
    <w:p w14:paraId="498ECCF1" w14:textId="77777777" w:rsidR="00386EDB" w:rsidRPr="00CD6090" w:rsidRDefault="00386EDB">
      <w:r w:rsidRPr="00CD60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0155C" w14:textId="77777777" w:rsidR="00064002" w:rsidRPr="00CD60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EA9EF" w14:textId="77777777" w:rsidR="00064002" w:rsidRPr="00CD60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CA3A3" w14:textId="77777777" w:rsidR="00064002" w:rsidRPr="00CD60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36FE2" w14:textId="77777777" w:rsidR="00386EDB" w:rsidRPr="00CD6090" w:rsidRDefault="00386EDB">
      <w:r w:rsidRPr="00CD6090">
        <w:separator/>
      </w:r>
    </w:p>
  </w:footnote>
  <w:footnote w:type="continuationSeparator" w:id="0">
    <w:p w14:paraId="35A5FC12" w14:textId="77777777" w:rsidR="00386EDB" w:rsidRPr="00CD6090" w:rsidRDefault="00386EDB">
      <w:r w:rsidRPr="00CD6090">
        <w:continuationSeparator/>
      </w:r>
    </w:p>
  </w:footnote>
  <w:footnote w:id="1">
    <w:p w14:paraId="58A9421E" w14:textId="6EB00E4D" w:rsidR="00A70144" w:rsidRPr="00CD6090" w:rsidRDefault="00A70144" w:rsidP="00CD6090">
      <w:pPr>
        <w:pStyle w:val="FootnoteText"/>
        <w:ind w:left="567" w:hanging="567"/>
        <w:rPr>
          <w:sz w:val="24"/>
          <w:lang w:val="cs-CZ"/>
        </w:rPr>
      </w:pPr>
      <w:r w:rsidRPr="00CD6090">
        <w:rPr>
          <w:rStyle w:val="FootnoteReference"/>
          <w:sz w:val="24"/>
          <w:lang w:val="cs-CZ"/>
        </w:rPr>
        <w:footnoteRef/>
      </w:r>
      <w:r w:rsidR="00CD6090" w:rsidRPr="00CD6090">
        <w:rPr>
          <w:sz w:val="24"/>
          <w:lang w:val="cs-CZ"/>
        </w:rPr>
        <w:t xml:space="preserve"> </w:t>
      </w:r>
      <w:r w:rsidR="00CD6090" w:rsidRPr="00CD6090">
        <w:rPr>
          <w:sz w:val="24"/>
          <w:lang w:val="cs-CZ"/>
        </w:rPr>
        <w:tab/>
      </w:r>
      <w:r w:rsidRPr="00CD6090">
        <w:rPr>
          <w:sz w:val="24"/>
          <w:lang w:val="cs-CZ"/>
        </w:rPr>
        <w:t>Úř. věst. L 335, 17.12.2011, s. 1, ELI: </w:t>
      </w:r>
      <w:hyperlink r:id="rId1" w:tooltip="Umožňuje přístup k tomuto dokumentu prostřednictvím jeho ELI URI." w:history="1">
        <w:r w:rsidRPr="00CD6090">
          <w:rPr>
            <w:rStyle w:val="Hyperlink"/>
            <w:sz w:val="24"/>
            <w:lang w:val="cs-CZ"/>
          </w:rPr>
          <w:t>http://data.europa.eu/eli/dir/2011/93/oj</w:t>
        </w:r>
      </w:hyperlink>
      <w:r w:rsidRPr="00CD6090">
        <w:rPr>
          <w:sz w:val="24"/>
          <w:lang w:val="cs-CZ"/>
        </w:rPr>
        <w:t>.</w:t>
      </w:r>
    </w:p>
  </w:footnote>
  <w:footnote w:id="2">
    <w:p w14:paraId="705A4CBE" w14:textId="0228B4E3" w:rsidR="00A70144" w:rsidRPr="00CD6090" w:rsidRDefault="00A70144" w:rsidP="00CD6090">
      <w:pPr>
        <w:pStyle w:val="FootnoteText"/>
        <w:ind w:left="567" w:hanging="567"/>
        <w:rPr>
          <w:sz w:val="24"/>
          <w:lang w:val="cs-CZ"/>
        </w:rPr>
      </w:pPr>
      <w:r w:rsidRPr="00CD6090">
        <w:rPr>
          <w:rStyle w:val="FootnoteReference"/>
          <w:sz w:val="24"/>
          <w:lang w:val="cs-CZ"/>
        </w:rPr>
        <w:footnoteRef/>
      </w:r>
      <w:r w:rsidR="00CD6090" w:rsidRPr="00CD6090">
        <w:rPr>
          <w:sz w:val="24"/>
          <w:lang w:val="cs-CZ"/>
        </w:rPr>
        <w:t xml:space="preserve"> </w:t>
      </w:r>
      <w:r w:rsidR="00CD6090" w:rsidRPr="00CD6090">
        <w:rPr>
          <w:sz w:val="24"/>
          <w:lang w:val="cs-CZ"/>
        </w:rPr>
        <w:tab/>
      </w:r>
      <w:r w:rsidRPr="00CD6090">
        <w:rPr>
          <w:sz w:val="24"/>
          <w:lang w:val="cs-CZ"/>
        </w:rPr>
        <w:t xml:space="preserve">Úř. věst. L 315, 14.11.2012, s. 57, ELI: </w:t>
      </w:r>
      <w:hyperlink r:id="rId2" w:history="1">
        <w:r w:rsidRPr="00CD6090">
          <w:rPr>
            <w:rStyle w:val="Hyperlink"/>
            <w:sz w:val="24"/>
            <w:lang w:val="cs-CZ"/>
          </w:rPr>
          <w:t>http://data.europa.eu/eli/dir/2012/29/oj</w:t>
        </w:r>
      </w:hyperlink>
      <w:r w:rsidRPr="00CD6090">
        <w:rPr>
          <w:sz w:val="24"/>
          <w:lang w:val="cs-CZ"/>
        </w:rPr>
        <w:t>.</w:t>
      </w:r>
    </w:p>
  </w:footnote>
  <w:footnote w:id="3">
    <w:p w14:paraId="533EF8AD" w14:textId="44656D8E" w:rsidR="00A70144" w:rsidRPr="00CD6090" w:rsidRDefault="00A70144" w:rsidP="00CD6090">
      <w:pPr>
        <w:pStyle w:val="FootnoteText"/>
        <w:ind w:left="567" w:hanging="567"/>
        <w:rPr>
          <w:sz w:val="24"/>
          <w:lang w:val="cs-CZ"/>
        </w:rPr>
      </w:pPr>
      <w:r w:rsidRPr="00CD6090">
        <w:rPr>
          <w:rStyle w:val="FootnoteReference"/>
          <w:sz w:val="24"/>
          <w:lang w:val="cs-CZ"/>
        </w:rPr>
        <w:footnoteRef/>
      </w:r>
      <w:r w:rsidR="00CD6090" w:rsidRPr="00CD6090">
        <w:rPr>
          <w:sz w:val="24"/>
          <w:lang w:val="cs-CZ"/>
        </w:rPr>
        <w:t xml:space="preserve"> </w:t>
      </w:r>
      <w:r w:rsidR="00CD6090" w:rsidRPr="00CD6090">
        <w:rPr>
          <w:sz w:val="24"/>
          <w:lang w:val="cs-CZ"/>
        </w:rPr>
        <w:tab/>
      </w:r>
      <w:r w:rsidRPr="00CD6090">
        <w:rPr>
          <w:sz w:val="24"/>
          <w:lang w:val="cs-CZ"/>
        </w:rPr>
        <w:t xml:space="preserve">Úř. věst. L 303, 28.11.2018, s. 69, ELI: </w:t>
      </w:r>
      <w:hyperlink r:id="rId3" w:history="1">
        <w:r w:rsidRPr="00CD6090">
          <w:rPr>
            <w:rStyle w:val="Hyperlink"/>
            <w:sz w:val="24"/>
            <w:lang w:val="cs-CZ"/>
          </w:rPr>
          <w:t>http://data.europa.eu/eli/dir/2018/1808/oj</w:t>
        </w:r>
      </w:hyperlink>
      <w:r w:rsidRPr="00CD6090">
        <w:rPr>
          <w:sz w:val="24"/>
          <w:lang w:val="cs-CZ"/>
        </w:rPr>
        <w:t>.</w:t>
      </w:r>
    </w:p>
  </w:footnote>
  <w:footnote w:id="4">
    <w:p w14:paraId="31D6F52B" w14:textId="137AC245" w:rsidR="00A70144" w:rsidRPr="00CD6090" w:rsidRDefault="00A70144" w:rsidP="00CD6090">
      <w:pPr>
        <w:pStyle w:val="FootnoteText"/>
        <w:ind w:left="567" w:hanging="567"/>
        <w:rPr>
          <w:sz w:val="24"/>
          <w:lang w:val="cs-CZ"/>
        </w:rPr>
      </w:pPr>
      <w:r w:rsidRPr="00CD6090">
        <w:rPr>
          <w:rStyle w:val="FootnoteReference"/>
          <w:sz w:val="24"/>
          <w:lang w:val="cs-CZ"/>
        </w:rPr>
        <w:footnoteRef/>
      </w:r>
      <w:r w:rsidR="00CD6090" w:rsidRPr="00CD6090">
        <w:rPr>
          <w:sz w:val="24"/>
          <w:lang w:val="cs-CZ"/>
        </w:rPr>
        <w:t xml:space="preserve"> </w:t>
      </w:r>
      <w:r w:rsidR="00CD6090" w:rsidRPr="00CD6090">
        <w:rPr>
          <w:sz w:val="24"/>
          <w:lang w:val="cs-CZ"/>
        </w:rPr>
        <w:tab/>
      </w:r>
      <w:r w:rsidRPr="00CD6090">
        <w:rPr>
          <w:sz w:val="24"/>
          <w:lang w:val="cs-CZ"/>
        </w:rPr>
        <w:t>Úř. věst. L</w:t>
      </w:r>
      <w:r w:rsidR="00533C3C">
        <w:rPr>
          <w:sz w:val="24"/>
          <w:lang w:val="cs-CZ"/>
        </w:rPr>
        <w:t>,</w:t>
      </w:r>
      <w:r w:rsidRPr="00CD6090">
        <w:rPr>
          <w:sz w:val="24"/>
          <w:lang w:val="cs-CZ"/>
        </w:rPr>
        <w:t xml:space="preserve"> 2024/1385, 24.5.2024, ELI: </w:t>
      </w:r>
      <w:hyperlink r:id="rId4" w:history="1">
        <w:r w:rsidRPr="00CD6090">
          <w:rPr>
            <w:rStyle w:val="Hyperlink"/>
            <w:sz w:val="24"/>
            <w:lang w:val="cs-CZ"/>
          </w:rPr>
          <w:t>http://data.europa.eu/eli/dir/2024/1385/oj</w:t>
        </w:r>
      </w:hyperlink>
      <w:r w:rsidRPr="00CD6090">
        <w:rPr>
          <w:sz w:val="24"/>
          <w:lang w:val="cs-CZ"/>
        </w:rPr>
        <w:t xml:space="preserve">. </w:t>
      </w:r>
    </w:p>
  </w:footnote>
  <w:footnote w:id="5">
    <w:p w14:paraId="1E8830D0" w14:textId="7E26E373" w:rsidR="00A70144" w:rsidRPr="00CD6090" w:rsidRDefault="00A70144" w:rsidP="00CD6090">
      <w:pPr>
        <w:pStyle w:val="FootnoteText"/>
        <w:ind w:left="567" w:hanging="567"/>
        <w:rPr>
          <w:sz w:val="24"/>
          <w:lang w:val="cs-CZ"/>
        </w:rPr>
      </w:pPr>
      <w:r w:rsidRPr="00CD6090">
        <w:rPr>
          <w:rStyle w:val="FootnoteReference"/>
          <w:sz w:val="24"/>
          <w:lang w:val="cs-CZ"/>
        </w:rPr>
        <w:footnoteRef/>
      </w:r>
      <w:r w:rsidR="00CD6090" w:rsidRPr="00CD6090">
        <w:rPr>
          <w:sz w:val="24"/>
          <w:lang w:val="cs-CZ"/>
        </w:rPr>
        <w:t xml:space="preserve"> </w:t>
      </w:r>
      <w:r w:rsidR="00CD6090" w:rsidRPr="00CD6090">
        <w:rPr>
          <w:sz w:val="24"/>
          <w:lang w:val="cs-CZ"/>
        </w:rPr>
        <w:tab/>
      </w:r>
      <w:r w:rsidRPr="00CD6090">
        <w:rPr>
          <w:sz w:val="24"/>
          <w:lang w:val="cs-CZ"/>
        </w:rPr>
        <w:t xml:space="preserve">Úř. věst. L 277, 27.10.2022, s. 1, ELI: </w:t>
      </w:r>
      <w:hyperlink r:id="rId5" w:history="1">
        <w:r w:rsidRPr="00CD6090">
          <w:rPr>
            <w:rStyle w:val="Hyperlink"/>
            <w:sz w:val="24"/>
            <w:lang w:val="cs-CZ"/>
          </w:rPr>
          <w:t>http://data.europa.eu/eli/reg/2022/2065/oj</w:t>
        </w:r>
      </w:hyperlink>
      <w:r w:rsidRPr="00CD6090">
        <w:rPr>
          <w:sz w:val="24"/>
          <w:lang w:val="cs-CZ"/>
        </w:rPr>
        <w:t xml:space="preserve">. </w:t>
      </w:r>
    </w:p>
  </w:footnote>
  <w:footnote w:id="6">
    <w:p w14:paraId="69C56C42" w14:textId="0E88561B" w:rsidR="00A70144" w:rsidRPr="00CD6090" w:rsidRDefault="00A70144" w:rsidP="00CD6090">
      <w:pPr>
        <w:pStyle w:val="FootnoteText"/>
        <w:ind w:left="567" w:hanging="567"/>
        <w:rPr>
          <w:sz w:val="24"/>
          <w:lang w:val="cs-CZ"/>
        </w:rPr>
      </w:pPr>
      <w:r w:rsidRPr="00CD6090">
        <w:rPr>
          <w:rStyle w:val="FootnoteReference"/>
          <w:sz w:val="24"/>
          <w:lang w:val="cs-CZ"/>
        </w:rPr>
        <w:footnoteRef/>
      </w:r>
      <w:r w:rsidR="00CD6090" w:rsidRPr="00CD6090">
        <w:rPr>
          <w:sz w:val="24"/>
          <w:lang w:val="cs-CZ"/>
        </w:rPr>
        <w:t xml:space="preserve"> </w:t>
      </w:r>
      <w:r w:rsidR="00CD6090" w:rsidRPr="00CD6090">
        <w:rPr>
          <w:sz w:val="24"/>
          <w:lang w:val="cs-CZ"/>
        </w:rPr>
        <w:tab/>
      </w:r>
      <w:r w:rsidRPr="00CD6090">
        <w:rPr>
          <w:sz w:val="24"/>
          <w:lang w:val="cs-CZ"/>
        </w:rPr>
        <w:t xml:space="preserve">Úř. věst. L, 2024/1689, 12.7.2024, ELI: </w:t>
      </w:r>
      <w:hyperlink r:id="rId6" w:history="1">
        <w:r w:rsidRPr="00CD6090">
          <w:rPr>
            <w:rStyle w:val="Hyperlink"/>
            <w:sz w:val="24"/>
            <w:lang w:val="cs-CZ"/>
          </w:rPr>
          <w:t>http://data.europa.eu/eli/reg/2024/1689/oj</w:t>
        </w:r>
      </w:hyperlink>
      <w:r w:rsidRPr="00CD6090">
        <w:rPr>
          <w:sz w:val="24"/>
          <w:lang w:val="cs-CZ"/>
        </w:rPr>
        <w:t xml:space="preserve">. </w:t>
      </w:r>
    </w:p>
  </w:footnote>
  <w:footnote w:id="7">
    <w:p w14:paraId="55D711DE" w14:textId="2A1028AA" w:rsidR="00A70144" w:rsidRPr="00CD6090" w:rsidRDefault="00A70144" w:rsidP="00CD6090">
      <w:pPr>
        <w:pStyle w:val="FootnoteText"/>
        <w:ind w:left="567" w:hanging="567"/>
        <w:rPr>
          <w:sz w:val="24"/>
          <w:lang w:val="cs-CZ"/>
        </w:rPr>
      </w:pPr>
      <w:r w:rsidRPr="00CD6090">
        <w:rPr>
          <w:rStyle w:val="FootnoteReference"/>
          <w:sz w:val="24"/>
          <w:lang w:val="cs-CZ"/>
        </w:rPr>
        <w:footnoteRef/>
      </w:r>
      <w:r w:rsidR="00CD6090" w:rsidRPr="00CD6090">
        <w:rPr>
          <w:sz w:val="24"/>
          <w:lang w:val="cs-CZ"/>
        </w:rPr>
        <w:t xml:space="preserve"> </w:t>
      </w:r>
      <w:r w:rsidR="00CD6090" w:rsidRPr="00CD6090">
        <w:rPr>
          <w:sz w:val="24"/>
          <w:lang w:val="cs-CZ"/>
        </w:rPr>
        <w:tab/>
      </w:r>
      <w:r w:rsidRPr="00CD6090">
        <w:rPr>
          <w:sz w:val="24"/>
          <w:lang w:val="cs-CZ"/>
        </w:rPr>
        <w:t xml:space="preserve">Úř. věst. C, C/2025/5519, 10.10.2025, ELI: </w:t>
      </w:r>
      <w:hyperlink r:id="rId7" w:history="1">
        <w:r w:rsidRPr="00CD6090">
          <w:rPr>
            <w:rStyle w:val="Hyperlink"/>
            <w:sz w:val="24"/>
            <w:lang w:val="cs-CZ"/>
          </w:rPr>
          <w:t>http://data.europa.eu/eli/C/2025/5519/oj</w:t>
        </w:r>
      </w:hyperlink>
      <w:r w:rsidRPr="00CD6090">
        <w:rPr>
          <w:sz w:val="24"/>
          <w:lang w:val="cs-CZ"/>
        </w:rPr>
        <w:t xml:space="preserve">. </w:t>
      </w:r>
    </w:p>
  </w:footnote>
  <w:footnote w:id="8">
    <w:p w14:paraId="36D54F16" w14:textId="709CDC29" w:rsidR="00A70144" w:rsidRPr="00CD6090" w:rsidRDefault="00A70144" w:rsidP="00CD6090">
      <w:pPr>
        <w:pStyle w:val="FootnoteText"/>
        <w:ind w:left="567" w:hanging="567"/>
        <w:rPr>
          <w:sz w:val="24"/>
          <w:lang w:val="cs-CZ"/>
        </w:rPr>
      </w:pPr>
      <w:r w:rsidRPr="00CD6090">
        <w:rPr>
          <w:rStyle w:val="FootnoteReference"/>
          <w:sz w:val="24"/>
          <w:lang w:val="cs-CZ"/>
        </w:rPr>
        <w:footnoteRef/>
      </w:r>
      <w:r w:rsidR="00CD6090" w:rsidRPr="00CD6090">
        <w:rPr>
          <w:sz w:val="24"/>
          <w:lang w:val="cs-CZ"/>
        </w:rPr>
        <w:t xml:space="preserve"> </w:t>
      </w:r>
      <w:r w:rsidR="00CD6090" w:rsidRPr="00CD6090">
        <w:rPr>
          <w:sz w:val="24"/>
          <w:lang w:val="cs-CZ"/>
        </w:rPr>
        <w:tab/>
      </w:r>
      <w:r w:rsidRPr="00CD6090">
        <w:rPr>
          <w:sz w:val="24"/>
          <w:lang w:val="cs-CZ"/>
        </w:rPr>
        <w:t xml:space="preserve">Úř. věst. C, C/2024/5733, 17.10.2024, ELI: </w:t>
      </w:r>
      <w:hyperlink r:id="rId8" w:history="1">
        <w:r w:rsidRPr="00CD6090">
          <w:rPr>
            <w:rStyle w:val="Hyperlink"/>
            <w:sz w:val="24"/>
            <w:lang w:val="cs-CZ"/>
          </w:rPr>
          <w:t>http://data.europa.eu/eli/C/2024/5733/oj</w:t>
        </w:r>
      </w:hyperlink>
      <w:r w:rsidRPr="00CD6090">
        <w:rPr>
          <w:sz w:val="24"/>
          <w:lang w:val="cs-CZ"/>
        </w:rPr>
        <w:t xml:space="preserve">. </w:t>
      </w:r>
    </w:p>
  </w:footnote>
  <w:footnote w:id="9">
    <w:p w14:paraId="3047C5E0" w14:textId="26CCD5C2" w:rsidR="00A70144" w:rsidRPr="00CD6090" w:rsidRDefault="00A70144" w:rsidP="00CD6090">
      <w:pPr>
        <w:pStyle w:val="FootnoteText"/>
        <w:ind w:left="567" w:hanging="567"/>
        <w:rPr>
          <w:sz w:val="24"/>
          <w:lang w:val="cs-CZ"/>
        </w:rPr>
      </w:pPr>
      <w:r w:rsidRPr="00CD6090">
        <w:rPr>
          <w:rStyle w:val="FootnoteReference"/>
          <w:sz w:val="24"/>
          <w:lang w:val="cs-CZ"/>
        </w:rPr>
        <w:footnoteRef/>
      </w:r>
      <w:r w:rsidR="00CD6090" w:rsidRPr="00CD6090">
        <w:rPr>
          <w:sz w:val="24"/>
          <w:lang w:val="cs-CZ"/>
        </w:rPr>
        <w:t xml:space="preserve"> </w:t>
      </w:r>
      <w:r w:rsidR="00CD6090" w:rsidRPr="00CD6090">
        <w:rPr>
          <w:sz w:val="24"/>
          <w:lang w:val="cs-CZ"/>
        </w:rPr>
        <w:tab/>
      </w:r>
      <w:r w:rsidRPr="00CD6090">
        <w:rPr>
          <w:sz w:val="24"/>
          <w:lang w:val="cs-CZ"/>
        </w:rPr>
        <w:t xml:space="preserve">Úř. věst. C, C/2026/1708, 24.4.2026, ELI: </w:t>
      </w:r>
      <w:hyperlink r:id="rId9" w:history="1">
        <w:r w:rsidRPr="00CD6090">
          <w:rPr>
            <w:rStyle w:val="Hyperlink"/>
            <w:sz w:val="24"/>
            <w:lang w:val="cs-CZ"/>
          </w:rPr>
          <w:t>http://data.europa.eu/eli/C/2026/1708/oj</w:t>
        </w:r>
      </w:hyperlink>
      <w:r w:rsidRPr="00CD6090">
        <w:rPr>
          <w:sz w:val="24"/>
          <w:lang w:val="cs-CZ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0BE5F" w14:textId="77777777" w:rsidR="00064002" w:rsidRPr="00CD60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79009" w14:textId="77777777" w:rsidR="00064002" w:rsidRPr="00CD60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EA270" w14:textId="77777777" w:rsidR="00064002" w:rsidRPr="00CD60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7272627">
    <w:abstractNumId w:val="9"/>
  </w:num>
  <w:num w:numId="2" w16cid:durableId="775636231">
    <w:abstractNumId w:val="9"/>
  </w:num>
  <w:num w:numId="3" w16cid:durableId="116686016">
    <w:abstractNumId w:val="7"/>
  </w:num>
  <w:num w:numId="4" w16cid:durableId="97801018">
    <w:abstractNumId w:val="7"/>
  </w:num>
  <w:num w:numId="5" w16cid:durableId="643971264">
    <w:abstractNumId w:val="6"/>
  </w:num>
  <w:num w:numId="6" w16cid:durableId="529223756">
    <w:abstractNumId w:val="6"/>
  </w:num>
  <w:num w:numId="7" w16cid:durableId="641737492">
    <w:abstractNumId w:val="5"/>
  </w:num>
  <w:num w:numId="8" w16cid:durableId="439885348">
    <w:abstractNumId w:val="5"/>
  </w:num>
  <w:num w:numId="9" w16cid:durableId="1075780413">
    <w:abstractNumId w:val="4"/>
  </w:num>
  <w:num w:numId="10" w16cid:durableId="417137815">
    <w:abstractNumId w:val="4"/>
  </w:num>
  <w:num w:numId="11" w16cid:durableId="2002002869">
    <w:abstractNumId w:val="8"/>
  </w:num>
  <w:num w:numId="12" w16cid:durableId="402024517">
    <w:abstractNumId w:val="8"/>
  </w:num>
  <w:num w:numId="13" w16cid:durableId="1688287863">
    <w:abstractNumId w:val="3"/>
  </w:num>
  <w:num w:numId="14" w16cid:durableId="153684186">
    <w:abstractNumId w:val="3"/>
  </w:num>
  <w:num w:numId="15" w16cid:durableId="1295866444">
    <w:abstractNumId w:val="2"/>
  </w:num>
  <w:num w:numId="16" w16cid:durableId="1418331383">
    <w:abstractNumId w:val="2"/>
  </w:num>
  <w:num w:numId="17" w16cid:durableId="692729272">
    <w:abstractNumId w:val="1"/>
  </w:num>
  <w:num w:numId="18" w16cid:durableId="2025400136">
    <w:abstractNumId w:val="1"/>
  </w:num>
  <w:num w:numId="19" w16cid:durableId="985738090">
    <w:abstractNumId w:val="0"/>
  </w:num>
  <w:num w:numId="20" w16cid:durableId="839200916">
    <w:abstractNumId w:val="0"/>
  </w:num>
  <w:num w:numId="21" w16cid:durableId="1022440653">
    <w:abstractNumId w:val="9"/>
  </w:num>
  <w:num w:numId="22" w16cid:durableId="1113288397">
    <w:abstractNumId w:val="7"/>
  </w:num>
  <w:num w:numId="23" w16cid:durableId="1163592506">
    <w:abstractNumId w:val="6"/>
  </w:num>
  <w:num w:numId="24" w16cid:durableId="900865095">
    <w:abstractNumId w:val="5"/>
  </w:num>
  <w:num w:numId="25" w16cid:durableId="1111900894">
    <w:abstractNumId w:val="4"/>
  </w:num>
  <w:num w:numId="26" w16cid:durableId="2058122541">
    <w:abstractNumId w:val="8"/>
  </w:num>
  <w:num w:numId="27" w16cid:durableId="1972635113">
    <w:abstractNumId w:val="3"/>
  </w:num>
  <w:num w:numId="28" w16cid:durableId="1404184391">
    <w:abstractNumId w:val="2"/>
  </w:num>
  <w:num w:numId="29" w16cid:durableId="1502621060">
    <w:abstractNumId w:val="1"/>
  </w:num>
  <w:num w:numId="30" w16cid:durableId="1077287288">
    <w:abstractNumId w:val="0"/>
  </w:num>
  <w:num w:numId="31" w16cid:durableId="391464403">
    <w:abstractNumId w:val="9"/>
  </w:num>
  <w:num w:numId="32" w16cid:durableId="1153525440">
    <w:abstractNumId w:val="7"/>
  </w:num>
  <w:num w:numId="33" w16cid:durableId="1039938185">
    <w:abstractNumId w:val="6"/>
  </w:num>
  <w:num w:numId="34" w16cid:durableId="103231964">
    <w:abstractNumId w:val="5"/>
  </w:num>
  <w:num w:numId="35" w16cid:durableId="1417940479">
    <w:abstractNumId w:val="4"/>
  </w:num>
  <w:num w:numId="36" w16cid:durableId="1216963738">
    <w:abstractNumId w:val="8"/>
  </w:num>
  <w:num w:numId="37" w16cid:durableId="27949356">
    <w:abstractNumId w:val="3"/>
  </w:num>
  <w:num w:numId="38" w16cid:durableId="1250654084">
    <w:abstractNumId w:val="2"/>
  </w:num>
  <w:num w:numId="39" w16cid:durableId="2026250880">
    <w:abstractNumId w:val="1"/>
  </w:num>
  <w:num w:numId="40" w16cid:durableId="1095514310">
    <w:abstractNumId w:val="0"/>
  </w:num>
  <w:num w:numId="41" w16cid:durableId="348139696">
    <w:abstractNumId w:val="10"/>
  </w:num>
  <w:num w:numId="42" w16cid:durableId="124930053">
    <w:abstractNumId w:val="10"/>
  </w:num>
  <w:num w:numId="43" w16cid:durableId="1793205876">
    <w:abstractNumId w:val="10"/>
  </w:num>
  <w:num w:numId="44" w16cid:durableId="727481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6/2026"/>
    <w:docVar w:name="dvlangue" w:val="CS"/>
    <w:docVar w:name="dvnumam" w:val="0"/>
    <w:docVar w:name="dvpe" w:val="783.241"/>
    <w:docVar w:name="dvtitre" w:val="Usnesení Evropského parlamentu ze dne 30. dubna 2026 o potřebě cílených trestněprávních ustanovení a odpovědnosti platforem za účinné řešení kybernetické šikany a obtěžování na internetu(2026/2693(RSP))"/>
  </w:docVars>
  <w:rsids>
    <w:rsidRoot w:val="00386ED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6EDB"/>
    <w:rsid w:val="00395FA1"/>
    <w:rsid w:val="003E15D4"/>
    <w:rsid w:val="00411CCE"/>
    <w:rsid w:val="0041666E"/>
    <w:rsid w:val="00421060"/>
    <w:rsid w:val="00471C19"/>
    <w:rsid w:val="004867E3"/>
    <w:rsid w:val="00494995"/>
    <w:rsid w:val="00494A28"/>
    <w:rsid w:val="004C0004"/>
    <w:rsid w:val="004C5D52"/>
    <w:rsid w:val="0050519A"/>
    <w:rsid w:val="005072A1"/>
    <w:rsid w:val="00514517"/>
    <w:rsid w:val="00533C3C"/>
    <w:rsid w:val="00545827"/>
    <w:rsid w:val="00560270"/>
    <w:rsid w:val="005C2568"/>
    <w:rsid w:val="005F1B17"/>
    <w:rsid w:val="006037C0"/>
    <w:rsid w:val="006631B6"/>
    <w:rsid w:val="00680577"/>
    <w:rsid w:val="006C69DC"/>
    <w:rsid w:val="006F74FA"/>
    <w:rsid w:val="00731ADD"/>
    <w:rsid w:val="00734777"/>
    <w:rsid w:val="00747932"/>
    <w:rsid w:val="00751A4A"/>
    <w:rsid w:val="00756632"/>
    <w:rsid w:val="00762C74"/>
    <w:rsid w:val="00786EC0"/>
    <w:rsid w:val="0079734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0144"/>
    <w:rsid w:val="00A778C7"/>
    <w:rsid w:val="00AB441E"/>
    <w:rsid w:val="00AB6293"/>
    <w:rsid w:val="00AE0928"/>
    <w:rsid w:val="00AE5A92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090"/>
    <w:rsid w:val="00CF071A"/>
    <w:rsid w:val="00D058B8"/>
    <w:rsid w:val="00D56C11"/>
    <w:rsid w:val="00D834A0"/>
    <w:rsid w:val="00D872DF"/>
    <w:rsid w:val="00D91E21"/>
    <w:rsid w:val="00DA7FCD"/>
    <w:rsid w:val="00E365E1"/>
    <w:rsid w:val="00E6001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E6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F9845E"/>
  <w15:chartTrackingRefBased/>
  <w15:docId w15:val="{1E1453FF-3BE9-416A-8972-B1360872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70144"/>
    <w:pPr>
      <w:spacing w:after="240"/>
      <w:ind w:left="567" w:hanging="567"/>
    </w:pPr>
  </w:style>
  <w:style w:type="paragraph" w:customStyle="1" w:styleId="EPComma">
    <w:name w:val="EPComma"/>
    <w:basedOn w:val="Normal"/>
    <w:rsid w:val="00A7014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A70144"/>
    <w:rPr>
      <w:sz w:val="24"/>
      <w:lang w:val="cs-CZ"/>
    </w:rPr>
  </w:style>
  <w:style w:type="character" w:styleId="Hyperlink">
    <w:name w:val="Hyperlink"/>
    <w:basedOn w:val="DefaultParagraphFont"/>
    <w:unhideWhenUsed/>
    <w:rsid w:val="00A70144"/>
    <w:rPr>
      <w:color w:val="0563C1" w:themeColor="hyperlink"/>
      <w:u w:val="single"/>
    </w:rPr>
  </w:style>
  <w:style w:type="character" w:styleId="CommentReference">
    <w:name w:val="annotation reference"/>
    <w:rsid w:val="00A70144"/>
    <w:rPr>
      <w:sz w:val="16"/>
      <w:szCs w:val="16"/>
    </w:rPr>
  </w:style>
  <w:style w:type="paragraph" w:styleId="Revision">
    <w:name w:val="Revision"/>
    <w:hidden/>
    <w:uiPriority w:val="99"/>
    <w:semiHidden/>
    <w:rsid w:val="00533C3C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5733/oj" TargetMode="External"/><Relationship Id="rId3" Type="http://schemas.openxmlformats.org/officeDocument/2006/relationships/hyperlink" Target="http://data.europa.eu/eli/dir/2018/1808/oj" TargetMode="External"/><Relationship Id="rId7" Type="http://schemas.openxmlformats.org/officeDocument/2006/relationships/hyperlink" Target="http://data.europa.eu/eli/C/2025/5519/oj" TargetMode="External"/><Relationship Id="rId2" Type="http://schemas.openxmlformats.org/officeDocument/2006/relationships/hyperlink" Target="http://data.europa.eu/eli/dir/2012/29/oj" TargetMode="External"/><Relationship Id="rId1" Type="http://schemas.openxmlformats.org/officeDocument/2006/relationships/hyperlink" Target="http://data.europa.eu/eli/dir/2011/93/oj" TargetMode="External"/><Relationship Id="rId6" Type="http://schemas.openxmlformats.org/officeDocument/2006/relationships/hyperlink" Target="http://data.europa.eu/eli/reg/2024/1689/oj" TargetMode="External"/><Relationship Id="rId5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dir/2024/1385/oj" TargetMode="External"/><Relationship Id="rId9" Type="http://schemas.openxmlformats.org/officeDocument/2006/relationships/hyperlink" Target="http://data.europa.eu/eli/C/2026/17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2414</Words>
  <Characters>13763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2026-04-30T11:25:00Z</dcterms:created>
  <dcterms:modified xsi:type="dcterms:W3CDTF">2026-04-30T11:25:00Z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B10-0206/2026</vt:lpwstr>
  </property>
  <property fmtid="{D5CDD505-2E9C-101B-9397-08002B2CF9AE}" pid="4" name="&lt;Type&gt;">
    <vt:lpwstr>RR</vt:lpwstr>
  </property>
</Properties>
</file>