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75C6488" w14:textId="77777777" w:rsidTr="0010095E">
        <w:tblPrEx>
          <w:tblW w:w="9072" w:type="dxa"/>
          <w:tblLook w:val="01E0"/>
        </w:tblPrEx>
        <w:trPr>
          <w:trHeight w:hRule="exact" w:val="1418"/>
        </w:trPr>
        <w:tc>
          <w:tcPr>
            <w:tcW w:w="6804" w:type="dxa"/>
            <w:shd w:val="clear" w:color="auto" w:fill="auto"/>
            <w:vAlign w:val="center"/>
          </w:tcPr>
          <w:p w:rsidR="00751A4A" w:rsidRPr="00B7703E" w:rsidP="0010095E" w14:paraId="499CCE40" w14:textId="77777777">
            <w:pPr>
              <w:pStyle w:val="EPName"/>
            </w:pPr>
            <w:r w:rsidRPr="00B7703E">
              <w:t>Ευρωπαϊκό Κοινοβούλιο</w:t>
            </w:r>
          </w:p>
          <w:p w:rsidR="00751A4A" w:rsidRPr="00B7703E" w:rsidP="005F1B17" w14:paraId="1FA15255" w14:textId="77777777">
            <w:pPr>
              <w:pStyle w:val="EPTerm"/>
              <w:rPr>
                <w:rStyle w:val="HideTWBExt"/>
                <w:noProof w:val="0"/>
                <w:vanish w:val="0"/>
                <w:color w:val="auto"/>
              </w:rPr>
            </w:pPr>
            <w:r w:rsidRPr="00B7703E">
              <w:t>2024</w:t>
            </w:r>
            <w:r w:rsidRPr="00B7703E" w:rsidR="00817416">
              <w:t>-202</w:t>
            </w:r>
            <w:r w:rsidRPr="00B7703E">
              <w:t>9</w:t>
            </w:r>
          </w:p>
        </w:tc>
        <w:tc>
          <w:tcPr>
            <w:tcW w:w="2268" w:type="dxa"/>
            <w:shd w:val="clear" w:color="auto" w:fill="auto"/>
          </w:tcPr>
          <w:p w:rsidR="00751A4A" w:rsidRPr="00B7703E" w:rsidP="0010095E" w14:paraId="0AE03BA2" w14:textId="77777777">
            <w:pPr>
              <w:pStyle w:val="EPLogo"/>
            </w:pPr>
            <w:r w:rsidRPr="00B7703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7703E" w:rsidP="004C5D52" w14:paraId="0E899578" w14:textId="77777777">
      <w:pPr>
        <w:pStyle w:val="LineTop"/>
      </w:pPr>
    </w:p>
    <w:p w:rsidR="00680577" w:rsidRPr="00B7703E" w:rsidP="00680577" w14:paraId="4F37CAD3" w14:textId="77777777">
      <w:pPr>
        <w:pStyle w:val="EPBodyTA1"/>
      </w:pPr>
      <w:r w:rsidRPr="00B7703E">
        <w:t>ΚΕΙΜΕΝΑ ΠΟΥ ΕΓΚΡΙΘΗΚΑΝ</w:t>
      </w:r>
    </w:p>
    <w:p w:rsidR="00D058B8" w:rsidRPr="00B7703E" w:rsidP="00D058B8" w14:paraId="2A6CDD44" w14:textId="77777777">
      <w:pPr>
        <w:pStyle w:val="LineBottom"/>
      </w:pPr>
    </w:p>
    <w:p w:rsidR="00930024" w:rsidRPr="002D7D62" w:rsidP="00930024" w14:paraId="2D7140A9" w14:textId="32463FAE">
      <w:pPr>
        <w:pStyle w:val="ATHeading1"/>
      </w:pPr>
      <w:bookmarkStart w:id="0" w:name="TANumber"/>
      <w:r w:rsidRPr="00B7703E">
        <w:t>P10_TA(2026)0</w:t>
      </w:r>
      <w:r w:rsidRPr="00554938" w:rsidR="002D7D62">
        <w:t>163</w:t>
      </w:r>
      <w:bookmarkEnd w:id="0"/>
    </w:p>
    <w:p w:rsidR="00930024" w:rsidRPr="00B7703E" w:rsidP="00930024" w14:paraId="6CCA6DC1" w14:textId="77777777">
      <w:pPr>
        <w:pStyle w:val="ATHeading2"/>
      </w:pPr>
      <w:bookmarkStart w:id="1" w:name="title"/>
      <w:r w:rsidRPr="00B7703E">
        <w:t xml:space="preserve">Η ανάγκη για </w:t>
      </w:r>
      <w:r w:rsidRPr="00B7703E">
        <w:t>στοχευμένες</w:t>
      </w:r>
      <w:r w:rsidRPr="00B7703E">
        <w:t xml:space="preserve"> ποινικές διατάξεις και η ευθύνη των πλατφορμών για την αποτελεσματική αντιμετώπιση του κυβερνοεκφοβισμού και της διαδικτυακής παρενόχλησης</w:t>
      </w:r>
      <w:bookmarkEnd w:id="1"/>
    </w:p>
    <w:p w:rsidR="00930024" w:rsidRPr="00B7703E" w:rsidP="00930024" w14:paraId="2CE18791" w14:textId="087B4F04">
      <w:pPr>
        <w:rPr>
          <w:i/>
          <w:vanish/>
        </w:rPr>
      </w:pPr>
      <w:r>
        <w:rPr>
          <w:i/>
        </w:rPr>
        <w:fldChar w:fldCharType="begin"/>
      </w:r>
      <w:r w:rsidRPr="00B7703E">
        <w:rPr>
          <w:i/>
        </w:rPr>
        <w:instrText xml:space="preserve"> TC"(</w:instrText>
      </w:r>
      <w:bookmarkStart w:id="2" w:name="DocNumber"/>
      <w:r w:rsidRPr="00B7703E">
        <w:rPr>
          <w:i/>
        </w:rPr>
        <w:instrText>B10-0206</w:instrText>
      </w:r>
      <w:r w:rsidR="00A064D1">
        <w:rPr>
          <w:i/>
        </w:rPr>
        <w:instrText>, 0213 και 0235</w:instrText>
      </w:r>
      <w:r w:rsidRPr="00B7703E">
        <w:rPr>
          <w:i/>
        </w:rPr>
        <w:instrText>/2026</w:instrText>
      </w:r>
      <w:bookmarkEnd w:id="2"/>
      <w:r w:rsidRPr="00B7703E">
        <w:rPr>
          <w:i/>
        </w:rPr>
        <w:instrText xml:space="preserve">)"\l3 \n&gt; \* MERGEFORMAT </w:instrText>
      </w:r>
      <w:r>
        <w:rPr>
          <w:i/>
        </w:rPr>
        <w:fldChar w:fldCharType="end"/>
      </w:r>
    </w:p>
    <w:p w:rsidR="00930024" w:rsidRPr="00B7703E" w:rsidP="00930024" w14:paraId="631A824A" w14:textId="77777777">
      <w:pPr>
        <w:rPr>
          <w:vanish/>
        </w:rPr>
      </w:pPr>
      <w:bookmarkStart w:id="3" w:name="PE"/>
      <w:r w:rsidRPr="00B7703E">
        <w:rPr>
          <w:vanish/>
        </w:rPr>
        <w:t>PE783.241</w:t>
      </w:r>
      <w:bookmarkEnd w:id="3"/>
    </w:p>
    <w:p w:rsidR="00930024" w:rsidRPr="00B7703E" w:rsidP="00930024" w14:paraId="0B054F11" w14:textId="6D1CBCB0">
      <w:pPr>
        <w:pStyle w:val="ATHeading3"/>
      </w:pPr>
      <w:bookmarkStart w:id="4" w:name="Sujet"/>
      <w:r w:rsidRPr="00B7703E">
        <w:t xml:space="preserve">Ψήφισμα του Ευρωπαϊκού Κοινοβουλίου της </w:t>
      </w:r>
      <w:r w:rsidR="00A064D1">
        <w:t>30ής Απριλίου</w:t>
      </w:r>
      <w:r w:rsidRPr="00B7703E">
        <w:t xml:space="preserve"> 2026 σχετικά με την ανάγκη για στοχευμένες ποινικές διατάξεις και την ευθύνη των πλατφορμών για την αποτελεσματική αντιμετώπιση του κυβερνοεκφοβισμού και της διαδικτυακής παρενόχλησης</w:t>
      </w:r>
      <w:bookmarkEnd w:id="4"/>
      <w:r w:rsidRPr="00B7703E">
        <w:t xml:space="preserve"> </w:t>
      </w:r>
      <w:bookmarkStart w:id="5" w:name="References"/>
      <w:r w:rsidRPr="00B7703E">
        <w:t>(2026/2693(RSP))</w:t>
      </w:r>
      <w:bookmarkEnd w:id="5"/>
    </w:p>
    <w:p w:rsidR="008B22D4" w:rsidRPr="00B7703E" w:rsidP="008B22D4" w14:paraId="19929D62" w14:textId="77777777">
      <w:pPr>
        <w:pStyle w:val="EPComma"/>
      </w:pPr>
      <w:bookmarkStart w:id="6" w:name="TextBodyBegin"/>
      <w:bookmarkEnd w:id="6"/>
      <w:r w:rsidRPr="00B7703E">
        <w:rPr>
          <w:i/>
        </w:rPr>
        <w:t>Το Ευρωπαϊκό Κοινοβούλιο</w:t>
      </w:r>
      <w:r w:rsidRPr="00B7703E">
        <w:t>,</w:t>
      </w:r>
    </w:p>
    <w:p w:rsidR="008B22D4" w:rsidRPr="00B7703E" w:rsidP="008B22D4" w14:paraId="28AC7871" w14:textId="77777777">
      <w:pPr>
        <w:pStyle w:val="NormalHanging12a"/>
      </w:pPr>
      <w:bookmarkStart w:id="7" w:name="_Hlk228352863"/>
      <w:r w:rsidRPr="00B7703E">
        <w:t>–</w:t>
      </w:r>
      <w:r w:rsidRPr="00B7703E">
        <w:tab/>
        <w:t>έχοντας υπόψη τον Χάρτη των Θεμελιωδών Δικαιωμάτων της Ευρωπαϊκής Ένωσης, ιδίως τα άρθρα του σχετικά με την ανθρώπινη αξιοπρέπεια, το δικαίωμα στη ζωή, την ελευθερία της έκφρασης, τα δικαιώματα του παιδιού, τα δικαιώματα των θυμάτων, το απόρρητο των επικοινωνιών και την προστασία των προσωπικών δεδομένων,</w:t>
      </w:r>
    </w:p>
    <w:p w:rsidR="008B22D4" w:rsidRPr="00B7703E" w:rsidP="008B22D4" w14:paraId="7B955798" w14:textId="77777777">
      <w:pPr>
        <w:pStyle w:val="NormalHanging12a"/>
      </w:pPr>
      <w:r w:rsidRPr="00B7703E">
        <w:t>–</w:t>
      </w:r>
      <w:r w:rsidRPr="00B7703E">
        <w:tab/>
        <w:t>έχοντας υπόψη τη Σύμβαση των Ηνωμένων Εθνών για τα δικαιώματα του παιδιού,</w:t>
      </w:r>
    </w:p>
    <w:p w:rsidR="008B22D4" w:rsidRPr="00B7703E" w:rsidP="008B22D4" w14:paraId="2B4E6C8A" w14:textId="77777777">
      <w:pPr>
        <w:pStyle w:val="NormalHanging12a"/>
      </w:pPr>
      <w:r w:rsidRPr="00B7703E">
        <w:t>–</w:t>
      </w:r>
      <w:r w:rsidRPr="00B7703E">
        <w:tab/>
        <w:t>έχοντας υπόψη το άρθρο 83 παράγραφοι 1 και 2 της Συνθήκης για τη λειτουργία της Ευρωπαϊκής Ένωσης (ΣΛΕΕ),</w:t>
      </w:r>
    </w:p>
    <w:p w:rsidR="008B22D4" w:rsidRPr="00B7703E" w:rsidP="008B22D4" w14:paraId="7AA6A998" w14:textId="77777777">
      <w:pPr>
        <w:pStyle w:val="NormalHanging12a"/>
      </w:pPr>
      <w:r w:rsidRPr="00B7703E">
        <w:t>–</w:t>
      </w:r>
      <w:r w:rsidRPr="00B7703E">
        <w:tab/>
        <w:t>έχοντας υπόψη την οδηγία 2011/93/ΕΕ του Ευρωπαϊκού Κοινοβουλίου και του Συμβουλίου, της 13ης Δεκεμβρίου 2011, σχετικά με την καταπολέμηση της σεξουαλικής κακοποίησης, της σεξουαλικής εκμετάλλευσης παιδιών και της παιδικής πορνογραφίας και την αντικατάσταση της απόφασης-πλαίσιο 2004/68/ΔΕΥ του Συμβουλίου</w:t>
      </w:r>
      <w:r>
        <w:rPr>
          <w:rStyle w:val="FootnoteReference"/>
        </w:rPr>
        <w:footnoteReference w:id="2"/>
      </w:r>
      <w:r w:rsidRPr="00B7703E">
        <w:t>,</w:t>
      </w:r>
    </w:p>
    <w:p w:rsidR="008B22D4" w:rsidRPr="00B7703E" w:rsidP="008B22D4" w14:paraId="66C526A6" w14:textId="320E0B16">
      <w:pPr>
        <w:pStyle w:val="NormalHanging12a"/>
      </w:pPr>
      <w:r w:rsidRPr="00B7703E">
        <w:t>–</w:t>
      </w:r>
      <w:r w:rsidRPr="00B7703E">
        <w:tab/>
        <w:t>έχοντας υπόψη την οδηγία 2012/29/ΕΕ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 2001/220/ΔΕΥ</w:t>
      </w:r>
      <w:r w:rsidRPr="00B7703E" w:rsidR="00BB53B3">
        <w:t xml:space="preserve"> του Συμβουλίου</w:t>
      </w:r>
      <w:r>
        <w:rPr>
          <w:rStyle w:val="FootnoteReference"/>
        </w:rPr>
        <w:footnoteReference w:id="3"/>
      </w:r>
      <w:r w:rsidR="00BB53B3">
        <w:t xml:space="preserve"> </w:t>
      </w:r>
      <w:r w:rsidRPr="00B7703E">
        <w:t>(οδηγία για τα δικαιώματα των θυμάτων),</w:t>
      </w:r>
    </w:p>
    <w:p w:rsidR="008B22D4" w:rsidRPr="00B7703E" w:rsidP="008B22D4" w14:paraId="3468A704" w14:textId="77777777">
      <w:pPr>
        <w:pStyle w:val="NormalHanging12a"/>
      </w:pPr>
      <w:r w:rsidRPr="00B7703E">
        <w:t>–</w:t>
      </w:r>
      <w:r w:rsidRPr="00B7703E">
        <w:tab/>
        <w:t xml:space="preserve">έχοντας υπόψη την οδηγία (EE) 2018/1808 του Ευρωπαϊκού Κοινοβουλίου και του </w:t>
      </w:r>
      <w:r w:rsidRPr="00B7703E">
        <w:t>Συμβουλίου, της 14ης Νοεμβρίου 2018, για την τροποποίηση της οδηγίας 2010/13/ΕΕ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ενόψει των μεταβαλλόμενων συνθηκών της αγοράς</w:t>
      </w:r>
      <w:r>
        <w:rPr>
          <w:rStyle w:val="FootnoteReference"/>
        </w:rPr>
        <w:footnoteReference w:id="4"/>
      </w:r>
      <w:r w:rsidRPr="00B7703E">
        <w:t>,</w:t>
      </w:r>
    </w:p>
    <w:p w:rsidR="008B22D4" w:rsidRPr="00B7703E" w:rsidP="008B22D4" w14:paraId="2DDC0FD5" w14:textId="77777777">
      <w:pPr>
        <w:pStyle w:val="NormalHanging12a"/>
      </w:pPr>
      <w:r w:rsidRPr="00B7703E">
        <w:t>–</w:t>
      </w:r>
      <w:r w:rsidRPr="00B7703E">
        <w:tab/>
        <w:t>έχοντας υπόψη την οδηγία (ΕΕ) 2024/1385 του Ευρωπαϊκού Κοινοβουλίου και του Συμβουλίου, της 14ης Μαΐου 2024, για την καταπολέμηση της βίας κατά των γυναικών και της εξ οικείων βίας</w:t>
      </w:r>
      <w:r>
        <w:rPr>
          <w:rStyle w:val="FootnoteReference"/>
        </w:rPr>
        <w:footnoteReference w:id="5"/>
      </w:r>
      <w:r w:rsidRPr="00B7703E">
        <w:t>,</w:t>
      </w:r>
    </w:p>
    <w:p w:rsidR="008B22D4" w:rsidRPr="00B7703E" w:rsidP="008B22D4" w14:paraId="6E582DE0" w14:textId="77777777">
      <w:pPr>
        <w:pStyle w:val="NormalHanging12a"/>
      </w:pPr>
      <w:r w:rsidRPr="00B7703E">
        <w:t>–</w:t>
      </w:r>
      <w:r w:rsidRPr="00B7703E">
        <w:tab/>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Pr>
          <w:rStyle w:val="FootnoteReference"/>
        </w:rPr>
        <w:footnoteReference w:id="6"/>
      </w:r>
      <w:r w:rsidRPr="00B7703E">
        <w:t>,</w:t>
      </w:r>
    </w:p>
    <w:p w:rsidR="008B22D4" w:rsidRPr="00B7703E" w:rsidP="008B22D4" w14:paraId="47E4DFDD" w14:textId="77777777">
      <w:pPr>
        <w:pStyle w:val="NormalHanging12a"/>
      </w:pPr>
      <w:r w:rsidRPr="00B7703E">
        <w:t>–</w:t>
      </w:r>
      <w:r w:rsidRPr="00B7703E">
        <w:tab/>
        <w:t>έχοντας υπόψη τον κανονισμό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w:t>
      </w:r>
      <w:r>
        <w:rPr>
          <w:rStyle w:val="FootnoteReference"/>
        </w:rPr>
        <w:footnoteReference w:id="7"/>
      </w:r>
      <w:r w:rsidRPr="00B7703E">
        <w:t>,</w:t>
      </w:r>
    </w:p>
    <w:p w:rsidR="008B22D4" w:rsidRPr="00B7703E" w:rsidP="008B22D4" w14:paraId="326CF3EF" w14:textId="77777777">
      <w:pPr>
        <w:pStyle w:val="NormalHanging12a"/>
      </w:pPr>
      <w:r w:rsidRPr="00B7703E">
        <w:t>–</w:t>
      </w:r>
      <w:r w:rsidRPr="00B7703E">
        <w:tab/>
        <w:t>έχοντας υπόψη τις κατευθυντήριες γραμμές της Επιτροπής, της 10ης Οκτωβρίου 2025, σχετικά με τη λήψη μέτρων για τη διασφάλιση υψηλού επιπέδου ιδιωτικότητας, ασφάλειας και προστασίας των ανηλίκων στο διαδίκτυο, σύμφωνα με το άρθρο 28 παράγραφος 4 του κανονισμού (ΕΕ) 2022/2065</w:t>
      </w:r>
      <w:r>
        <w:rPr>
          <w:rStyle w:val="FootnoteReference"/>
        </w:rPr>
        <w:footnoteReference w:id="8"/>
      </w:r>
      <w:r w:rsidRPr="00B7703E">
        <w:t>,</w:t>
      </w:r>
    </w:p>
    <w:p w:rsidR="008B22D4" w:rsidRPr="00B7703E" w:rsidP="008B22D4" w14:paraId="18D6D8B7" w14:textId="48982346">
      <w:pPr>
        <w:pStyle w:val="NormalHanging12a"/>
      </w:pPr>
      <w:r w:rsidRPr="00B7703E">
        <w:t>–</w:t>
      </w:r>
      <w:r w:rsidRPr="00B7703E">
        <w:tab/>
        <w:t>έχοντας υπόψη την ανακοίνωση της Επιτροπής, της 10ης Φεβρουαρίου 2026, με τίτλο «Σχέδιο δράσης κατά του κυβερνοεκφοβισμού — Πιο ασφαλείς στο διαδίκτυο, πιο δυνατοί μαζί» (CΟΜ(202</w:t>
      </w:r>
      <w:r w:rsidR="00554938">
        <w:t>6</w:t>
      </w:r>
      <w:r w:rsidRPr="00B7703E">
        <w:t>)0071),</w:t>
      </w:r>
    </w:p>
    <w:p w:rsidR="008B22D4" w:rsidRPr="00B7703E" w:rsidP="008B22D4" w14:paraId="0544A380" w14:textId="35C4D004">
      <w:pPr>
        <w:pStyle w:val="NormalHanging12a"/>
      </w:pPr>
      <w:r w:rsidRPr="00B7703E">
        <w:t>–</w:t>
      </w:r>
      <w:r w:rsidRPr="00B7703E">
        <w:tab/>
        <w:t>έχοντας υπόψη την έκθεση της Επιτροπής, της 25ης Νοεμβρίου 2025, με τίτλο «</w:t>
      </w:r>
      <w:r w:rsidRPr="00B7703E">
        <w:t>Cyberbullying</w:t>
      </w:r>
      <w:r w:rsidRPr="00B7703E">
        <w:t xml:space="preserve"> – </w:t>
      </w:r>
      <w:r w:rsidRPr="00B7703E">
        <w:t>Insights</w:t>
      </w:r>
      <w:r w:rsidRPr="00B7703E">
        <w:t xml:space="preserve"> </w:t>
      </w:r>
      <w:r w:rsidRPr="00B7703E">
        <w:t>from</w:t>
      </w:r>
      <w:r w:rsidRPr="00B7703E">
        <w:t xml:space="preserve"> </w:t>
      </w:r>
      <w:r w:rsidRPr="00B7703E">
        <w:t>science</w:t>
      </w:r>
      <w:r w:rsidRPr="00B7703E">
        <w:t xml:space="preserve">, </w:t>
      </w:r>
      <w:r w:rsidRPr="00B7703E">
        <w:t>policy</w:t>
      </w:r>
      <w:r w:rsidRPr="00B7703E">
        <w:t xml:space="preserve"> and </w:t>
      </w:r>
      <w:r w:rsidRPr="00B7703E">
        <w:t>legislation</w:t>
      </w:r>
      <w:r w:rsidRPr="00B7703E">
        <w:t xml:space="preserve">» </w:t>
      </w:r>
      <w:r w:rsidR="00BB53B3">
        <w:t>(</w:t>
      </w:r>
      <w:r w:rsidRPr="00B7703E">
        <w:t>Κυβερνοεκφοβισμός</w:t>
      </w:r>
      <w:r w:rsidRPr="00B7703E">
        <w:t xml:space="preserve"> – Διαπιστώσεις που αντλούνται από την επιστήμη, την πολιτική και τη νομοθεσία</w:t>
      </w:r>
      <w:r w:rsidR="00BB53B3">
        <w:t>)</w:t>
      </w:r>
      <w:r w:rsidRPr="00B7703E">
        <w:t>,</w:t>
      </w:r>
    </w:p>
    <w:p w:rsidR="008B22D4" w:rsidRPr="00B7703E" w:rsidP="008B22D4" w14:paraId="35410FC3" w14:textId="77777777">
      <w:pPr>
        <w:pStyle w:val="NormalHanging12a"/>
      </w:pPr>
      <w:r w:rsidRPr="00B7703E">
        <w:t>–</w:t>
      </w:r>
      <w:r w:rsidRPr="00B7703E">
        <w:tab/>
        <w:t>έχοντας υπόψη την ανακοίνωση της Επιτροπής, της 11ης Μαΐου 2022, με τίτλο «Μια ψηφιακή δεκαετία για τα παιδιά και τις νέες/τους νέους: η νέα ευρωπαϊκή στρατηγική για ένα καλύτερο διαδίκτυο για τα παιδιά (BIK+)» (COM(2022)0212),</w:t>
      </w:r>
    </w:p>
    <w:p w:rsidR="008B22D4" w:rsidRPr="00B7703E" w:rsidP="008B22D4" w14:paraId="1C067067" w14:textId="77777777">
      <w:pPr>
        <w:pStyle w:val="NormalHanging12a"/>
      </w:pPr>
      <w:r w:rsidRPr="00B7703E">
        <w:t>–</w:t>
      </w:r>
      <w:r w:rsidRPr="00B7703E">
        <w:tab/>
        <w:t>έχοντας υπόψη την ανακοίνωση της Επιτροπής, της 9ης Δεκεμβρίου 2021, με τίτλο «Μια πιο συμπεριληπτική και προστατευτική Ευρώπη: επέκταση του καταλόγου των εγκλημάτων της ΕΕ ώστε να περιλαμβάνει τη ρητορική μίσους και τα εγκλήματα μίσους» (COM(2021)0777) και την επισυναπτόμενη σε αυτήν πρόταση απόφασης του Συμβουλίου,</w:t>
      </w:r>
    </w:p>
    <w:p w:rsidR="008B22D4" w:rsidRPr="00B7703E" w:rsidP="008B22D4" w14:paraId="3E12DA9D" w14:textId="77777777">
      <w:pPr>
        <w:pStyle w:val="NormalHanging12a"/>
      </w:pPr>
      <w:r w:rsidRPr="00B7703E">
        <w:t>–</w:t>
      </w:r>
      <w:r w:rsidRPr="00B7703E">
        <w:tab/>
        <w:t xml:space="preserve">έχοντας υπόψη το ψήφισμά του της 18ης Ιανουαρίου 2024 σχετικά με την επέκταση του </w:t>
      </w:r>
      <w:r w:rsidRPr="00B7703E">
        <w:t>καταλόγου των εγκλημάτων της ΕΕ ώστε να περιλαμβάνει τη ρητορική μίσους και τα εγκλήματα μίσους</w:t>
      </w:r>
      <w:r>
        <w:rPr>
          <w:rStyle w:val="FootnoteReference"/>
        </w:rPr>
        <w:footnoteReference w:id="9"/>
      </w:r>
      <w:r w:rsidRPr="00B7703E">
        <w:t>,</w:t>
      </w:r>
    </w:p>
    <w:p w:rsidR="008B22D4" w:rsidRPr="00B7703E" w:rsidP="008B22D4" w14:paraId="74597F8A" w14:textId="77777777">
      <w:pPr>
        <w:pStyle w:val="NormalHanging12a"/>
      </w:pPr>
      <w:r w:rsidRPr="00B7703E">
        <w:t>–</w:t>
      </w:r>
      <w:r w:rsidRPr="00B7703E">
        <w:tab/>
        <w:t xml:space="preserve">έχοντας υπόψη την εθνική νομοθεσία κατά του κυβερνοεκφοβισμού, συμπεριλαμβανομένου του «νόμου </w:t>
      </w:r>
      <w:r w:rsidRPr="00B7703E">
        <w:t>Coco</w:t>
      </w:r>
      <w:r w:rsidRPr="00B7703E">
        <w:t>» της Ιρλανδίας,</w:t>
      </w:r>
    </w:p>
    <w:p w:rsidR="008B22D4" w:rsidRPr="00B7703E" w:rsidP="008B22D4" w14:paraId="287ECE6A" w14:textId="77777777">
      <w:pPr>
        <w:pStyle w:val="NormalHanging12a"/>
      </w:pPr>
      <w:r w:rsidRPr="00B7703E">
        <w:t>–</w:t>
      </w:r>
      <w:r w:rsidRPr="00B7703E">
        <w:tab/>
        <w:t xml:space="preserve">έχοντας υπόψη την ομιλία της </w:t>
      </w:r>
      <w:r w:rsidRPr="00B7703E">
        <w:t>Jackie</w:t>
      </w:r>
      <w:r w:rsidRPr="00B7703E">
        <w:t xml:space="preserve"> </w:t>
      </w:r>
      <w:r w:rsidRPr="00B7703E">
        <w:t>Fox</w:t>
      </w:r>
      <w:r w:rsidRPr="00B7703E">
        <w:t xml:space="preserve">, μητέρας της </w:t>
      </w:r>
      <w:r w:rsidRPr="00B7703E">
        <w:t>Coco</w:t>
      </w:r>
      <w:r w:rsidRPr="00B7703E">
        <w:t>, στο Ευρωπαϊκό Κοινοβούλιο στις 10 Μαρτίου 2026 με την ευκαιρία της Παγκόσμιας Ημέρας της Γυναίκας,</w:t>
      </w:r>
    </w:p>
    <w:p w:rsidR="008B22D4" w:rsidRPr="00B7703E" w:rsidP="008B22D4" w14:paraId="23C186F6" w14:textId="77777777">
      <w:pPr>
        <w:pStyle w:val="NormalHanging12a"/>
      </w:pPr>
      <w:r w:rsidRPr="00B7703E">
        <w:t>–</w:t>
      </w:r>
      <w:r w:rsidRPr="00B7703E">
        <w:tab/>
        <w:t>έχοντας υπόψη τη στρατηγική της Επιτροπής για την ισότητα των ΛΟΑΤΚΙ+ για την περίοδο 2026-2030, της 8ης Οκτωβρίου 2025 (COM(2025)0725),</w:t>
      </w:r>
    </w:p>
    <w:p w:rsidR="008B22D4" w:rsidRPr="00B7703E" w:rsidP="008B22D4" w14:paraId="526345A9" w14:textId="77777777">
      <w:pPr>
        <w:pStyle w:val="NormalHanging12a"/>
      </w:pPr>
      <w:r w:rsidRPr="00B7703E">
        <w:t>–</w:t>
      </w:r>
      <w:r w:rsidRPr="00B7703E">
        <w:tab/>
        <w:t>έχοντας υπόψη το ψήφισμά του της 26ης Νοεμβρίου 2025 σχετικά με την προστασία των ανηλίκων στο διαδίκτυο</w:t>
      </w:r>
      <w:r>
        <w:rPr>
          <w:rStyle w:val="FootnoteReference"/>
        </w:rPr>
        <w:footnoteReference w:id="10"/>
      </w:r>
      <w:r w:rsidRPr="00B7703E">
        <w:t>,</w:t>
      </w:r>
    </w:p>
    <w:p w:rsidR="008B22D4" w:rsidRPr="00B7703E" w:rsidP="008B22D4" w14:paraId="45744A5F" w14:textId="77777777">
      <w:pPr>
        <w:pStyle w:val="NormalHanging12a"/>
      </w:pPr>
      <w:r w:rsidRPr="00B7703E">
        <w:t>–</w:t>
      </w:r>
      <w:r w:rsidRPr="00B7703E">
        <w:tab/>
        <w:t>έχοντας υπόψη το άρθρο 136 παράγραφοι 2 και 4 του Κανονισμού του,</w:t>
      </w:r>
    </w:p>
    <w:p w:rsidR="008B22D4" w:rsidRPr="00B7703E" w:rsidP="008B22D4" w14:paraId="19560085" w14:textId="77777777">
      <w:pPr>
        <w:pStyle w:val="NormalHanging12a"/>
      </w:pPr>
      <w:r w:rsidRPr="00B7703E">
        <w:t>Α.</w:t>
      </w:r>
      <w:r w:rsidRPr="00B7703E">
        <w:tab/>
        <w:t>λαμβάνοντας υπόψη ότι ο κυβερνοεκφοβισμός αναφέρεται σε συμπεριφορές που εκδηλώνονται μέσω ψηφιακών τεχνολογιών με πρωταρχική πρόθεση ή αποτέλεσμα τον επαναλαμβανόμενο ή συνεχή εξευτελισμό, τον κοινωνικό αποκλεισμό, την κακοποίηση, την παρενόχληση ή τη βλάβη ατόμων, ιδίως παιδιών ή νέων·</w:t>
      </w:r>
    </w:p>
    <w:p w:rsidR="008B22D4" w:rsidRPr="00B7703E" w:rsidP="008B22D4" w14:paraId="135EB846" w14:textId="77777777">
      <w:pPr>
        <w:pStyle w:val="NormalHanging12a"/>
      </w:pPr>
      <w:r w:rsidRPr="00B7703E">
        <w:t>Β.</w:t>
      </w:r>
      <w:r w:rsidRPr="00B7703E">
        <w:tab/>
        <w:t>λαμβάνοντας υπόψη ότι ο κυβερνοεκφοβισμός αποτελεί διογκούμενο πρόβλημα, όπως αναγνωρίζεται στο σχέδιο δράσης της Επιτροπής κατά του κυβερνοεκφοβισμού· λαμβάνοντας υπόψη ότι το 18,3 % των παιδιών παγκοσμίως έχουν υποστεί κυβερνοεκφοβισμό μέσω ηλεκτρονικών μηνυμάτων ή αναρτήσεων στα μέσα κοινωνικής δικτύωσης· λαμβάνοντας υπόψη ότι στην Ευρώπη περίπου 1 στα 6 παιδιά ηλικίας μεταξύ 11 και 15 ετών αναφέρει ότι έχει πέσει θύμα κυβερνοεκφοβισμού· λαμβάνοντας υπόψη ότι, μεταξύ του 2018 και του 2022, ο αριθμός των εφήβων που υπέστησαν κυβερνοεκφοβισμό αυξήθηκε κατά ένα τέταρτο για τα αγόρια και σχεδόν κατά ένα τέταρτο για τα κορίτσια· λαμβάνοντας υπόψη ότι, κατά την τελευταία πενταετία, ο κυβερνοεκφοβισμός αποτελεί σταθερά τον κύριο λόγο επικοινωνίας με τις γραμμές βοήθειας των Κέντρων Ασφαλούς Διαδικτύου·</w:t>
      </w:r>
    </w:p>
    <w:p w:rsidR="008B22D4" w:rsidRPr="00B7703E" w:rsidP="008B22D4" w14:paraId="33D0139F" w14:textId="77777777">
      <w:pPr>
        <w:pStyle w:val="NormalHanging12a"/>
      </w:pPr>
      <w:r w:rsidRPr="00B7703E">
        <w:t>Γ.</w:t>
      </w:r>
      <w:r w:rsidRPr="00B7703E">
        <w:tab/>
        <w:t>λαμβάνοντας υπόψη ότι το Ευρωβαρόμετρο του 2025 για την Ψηφιακή Δεκαετία διαπίστωσε ότι το 92 % των πολιτών της ΕΕ θεωρεί ότι υπάρχει επείγουσα ανάγκη να αναλάβουν δράση οι δημόσιες αρχές για την προστασία των παιδιών στο διαδίκτυο από τον κυβερνοεκφοβισμό και τη διαδικτυακή παρενόχληση, υπογραμμίζοντας την επιτακτική ανάγκη για συντονισμένη δράση με σκοπό την πρόληψη, την αντιμετώπιση και τον μετριασμό των επιβλαβών επιπτώσεων του κυβερνοεκφοβισμού σε όλα τα κράτη μέλη·</w:t>
      </w:r>
    </w:p>
    <w:p w:rsidR="008B22D4" w:rsidRPr="00B7703E" w:rsidP="008B22D4" w14:paraId="508D8B75" w14:textId="77777777">
      <w:pPr>
        <w:pStyle w:val="NormalHanging12a"/>
      </w:pPr>
      <w:r w:rsidRPr="00B7703E">
        <w:t>Δ.</w:t>
      </w:r>
      <w:r w:rsidRPr="00B7703E">
        <w:tab/>
        <w:t xml:space="preserve">λαμβάνοντας υπόψη ότι ο κυβερνοεκφοβισμός επηρεάζει δυσανάλογα τα άτομα που βρίσκονται σε ευάλωτη κατάσταση από πολλαπλές απόψεις, μεταξύ των οποίων γυναίκες και κορίτσια, άτομα ΛΟΑΤΚΙ+, νέους και νέες, παιδιά με αναπηρία, άτομα με μειονοτική καταγωγή, μετανάστες και </w:t>
      </w:r>
      <w:r w:rsidRPr="00B7703E">
        <w:t>φυλετικοποιημένους</w:t>
      </w:r>
      <w:r w:rsidRPr="00B7703E">
        <w:t xml:space="preserve"> νέους και νέες, και ότι αυτοί οι αλληλεπικαλυπτόμενοι λόγοι διάκρισης επιτείνουν τη βλάβη που υφίστανται </w:t>
      </w:r>
      <w:r w:rsidRPr="00B7703E">
        <w:t>αυτά τα άτομα·</w:t>
      </w:r>
    </w:p>
    <w:p w:rsidR="008B22D4" w:rsidRPr="00B7703E" w:rsidP="008B22D4" w14:paraId="612BF965" w14:textId="77777777">
      <w:pPr>
        <w:pStyle w:val="NormalHanging12a"/>
      </w:pPr>
      <w:r w:rsidRPr="00B7703E">
        <w:t>Ε.</w:t>
      </w:r>
      <w:r w:rsidRPr="00B7703E">
        <w:tab/>
        <w:t>λαμβάνοντας υπόψη ότι ο κυβερνοεκφοβισμός και η διαδικτυακή παρενόχληση, συμπεριλαμβανομένης της κακοποίησης μέσω εικόνων, έχουν σοβαρές και μακροχρόνιες συνέπειες για τα θύματα, ιδίως για τους ανηλίκους, μεταξύ των οποίων η ψυχολογική βλάβη, η κοινωνική αποξένωση και, σε ακραίες περιπτώσεις, η απώλεια ζωής·</w:t>
      </w:r>
    </w:p>
    <w:p w:rsidR="008B22D4" w:rsidRPr="00B7703E" w:rsidP="008B22D4" w14:paraId="6F0B7520" w14:textId="77777777">
      <w:pPr>
        <w:pStyle w:val="NormalHanging12a"/>
      </w:pPr>
      <w:r w:rsidRPr="00B7703E">
        <w:t>ΣΤ.</w:t>
      </w:r>
      <w:r w:rsidRPr="00B7703E">
        <w:tab/>
        <w:t>λαμβάνοντας υπόψη ότι ο κυβερνοεκφοβισμός πρέπει, σε πολλές περιπτώσεις, να γίνεται αντιληπτός ως μια μορφή έμφυλης βίας, συμπεριλαμβανομένων της μη συναινετικής διάδοσης προσωπικών εικόνων, των συντονισμένων εκστρατειών μίσους και των επιθέσεων κατά των γυναικών στον δημόσιο βίο· λαμβάνοντας υπόψη ότι η τεχνητή νοημοσύνη προσδίδει στον κυβερνοεκφοβισμό μια νέα, επικίνδυνη διάσταση, με πρωταρχικούς στόχους γυναίκες και παιδιά·</w:t>
      </w:r>
    </w:p>
    <w:p w:rsidR="008B22D4" w:rsidRPr="00B7703E" w:rsidP="008B22D4" w14:paraId="259939DF" w14:textId="77777777">
      <w:pPr>
        <w:pStyle w:val="NormalHanging12a"/>
      </w:pPr>
      <w:r w:rsidRPr="00B7703E">
        <w:t>Ζ.</w:t>
      </w:r>
      <w:r w:rsidRPr="00B7703E">
        <w:tab/>
        <w:t>λαμβάνοντας υπόψη ότι ο κυβερνοεκφοβισμός έχει μια διασυνοριακή διάσταση, καθώς εκδηλώνεται συχνά σε πλατφόρμες μέσων κοινωνικής δικτύωσης, εφαρμογές ανταλλαγής μηνυμάτων, περιβάλλοντα παιχνιδιών και άλλους χώρους στο διαδίκτυο· λαμβάνοντας υπόψη ότι έχει εξελιχθεί σε μία από τις σοβαρότερες απειλές για την ασφάλεια και την ευημερία των ανηλίκων και των νέων της ΕΕ στο διαδίκτυο·</w:t>
      </w:r>
    </w:p>
    <w:p w:rsidR="008B22D4" w:rsidRPr="00B7703E" w:rsidP="008B22D4" w14:paraId="024DF390" w14:textId="77777777">
      <w:pPr>
        <w:pStyle w:val="NormalHanging12a"/>
      </w:pPr>
      <w:r w:rsidRPr="00B7703E">
        <w:t>Η.</w:t>
      </w:r>
      <w:r w:rsidRPr="00B7703E">
        <w:tab/>
        <w:t>λαμβάνοντας υπόψη ότι δεν υπάρχει κοινώς αποδεκτός νομικός ορισμός του κυβερνοεκφοβισμού σε ενωσιακό ή διεθνές επίπεδο· λαμβάνοντας υπόψη ότι εξακολουθεί να υφίσταται σημαντικός νομικός κατακερματισμός μεταξύ των κρατών μελών όσον αφορά τον ορισμό και τις κυρώσεις για τον κυβερνοεκφοβισμό, με αποτέλεσμα άνισα επίπεδα προστασίας των θυμάτων και ανασφάλεια δικαίου για τις αρχές επιβολής του νόμου·</w:t>
      </w:r>
    </w:p>
    <w:p w:rsidR="008B22D4" w:rsidRPr="00B7703E" w:rsidP="008B22D4" w14:paraId="03857CBC" w14:textId="77777777">
      <w:pPr>
        <w:pStyle w:val="NormalHanging12a"/>
      </w:pPr>
      <w:r w:rsidRPr="00B7703E">
        <w:t>Θ.</w:t>
      </w:r>
      <w:r w:rsidRPr="00B7703E">
        <w:tab/>
        <w:t xml:space="preserve">λαμβάνοντας υπόψη ότι αρκετά κράτη μέλη έχουν θεσπίσει στοχευμένες ποινικές διατάξεις για την αντιμετώπιση του κυβερνοεκφοβισμού· λαμβάνοντας υπόψη ότι οι εθνικές νομοθεσίες, όπως ο ιρλανδικός «νόμος </w:t>
      </w:r>
      <w:r w:rsidRPr="00B7703E">
        <w:t>Coco</w:t>
      </w:r>
      <w:r w:rsidRPr="00B7703E">
        <w:t>», προσπαθούν να αντιμετωπίσουν την επιβλαβή συμπεριφορά στο διαδίκτυο, συμπεριλαμβανομένων της μη συναινετικής διάδοσης προσωπικών εικόνων και της σοβαρής διαδικτυακής παρενόχλησης· λαμβάνοντας υπόψη ότι στις 9 Δεκεμβρίου 2021 η Επιτροπή πρότεινε την προσθήκη των «εγκλημάτων μίσους» στον ενωσιακό κατάλογο εγκλημάτων σύμφωνα με το άρθρο 83 παράγραφος 1 ΣΛΕΕ· λαμβάνοντας υπόψη ότι η πρόταση δεν έτυχε της απαιτούμενης ομόφωνης υποστήριξης των κρατών μελών·</w:t>
      </w:r>
    </w:p>
    <w:p w:rsidR="008B22D4" w:rsidRPr="00B7703E" w:rsidP="008B22D4" w14:paraId="330EEC3A" w14:textId="77777777">
      <w:pPr>
        <w:pStyle w:val="NormalHanging12a"/>
        <w:rPr>
          <w:bCs/>
        </w:rPr>
      </w:pPr>
      <w:r w:rsidRPr="00B7703E">
        <w:t>Ι.</w:t>
      </w:r>
      <w:r w:rsidRPr="00B7703E">
        <w:tab/>
        <w:t>λαμβάνοντας υπόψη ότι η Πρόεδρος της Επιτροπής ανακοίνωσε στην ομιλία της για την κατάσταση της Ένωσης το 2025 ότι θα συγκαλέσει ομάδα ειδικών που θα γνωμοδοτήσει σχετικά με την ασφάλεια των παιδιών στο διαδίκτυο και τους πιθανούς ηλικιακούς περιορισμούς στην πρόσβαση στα μέσα κοινωνικής δικτύωσης· λαμβάνοντας υπόψη ότι οι επικεφαλής της ομάδας αναμένεται να υποβάλουν τα πορίσματα και τις συστάσεις τους στην Πρόεδρο της Επιτροπής έως το καλοκαίρι του 2026·</w:t>
      </w:r>
    </w:p>
    <w:p w:rsidR="008B22D4" w:rsidRPr="00B7703E" w:rsidP="008B22D4" w14:paraId="5E8932D1" w14:textId="5A6D083C">
      <w:pPr>
        <w:pStyle w:val="NormalHanging12a"/>
      </w:pPr>
      <w:r w:rsidRPr="00B7703E">
        <w:t>ΙΑ.</w:t>
      </w:r>
      <w:r w:rsidRPr="00B7703E">
        <w:tab/>
        <w:t xml:space="preserve">λαμβάνοντας υπόψη ότι ορισμένες επιγραμμικές πλατφόρμες ακολουθούν ένα επιχειρηματικό μοντέλο το οποίο παρέχει κίνητρα για τη διάδοση περιεχομένου μίσους, συντελώντας στη δημιουργία ενός διαδικτυακού περιβάλλοντος που δεν είναι ασφαλές για τους ανηλίκους, τις γυναίκες, τα άτομα ΛΟΑΤΚΙ+ και άλλες μειονότητες· λαμβάνοντας υπόψη ότι η Επιτροπή έχει κινήσει, βάσει της πράξης για τις ψηφιακές </w:t>
      </w:r>
      <w:r w:rsidRPr="00B7703E">
        <w:t>υπηρεσίες, σειρά ερευνών σε σχέση με τον κυβερνοεκφοβισμό και την παρενόχληση, οι οποίες στρέφονται κατά πολύ μεγάλων παρόχων διαδικτυακών υπηρεσιών·</w:t>
      </w:r>
    </w:p>
    <w:p w:rsidR="008B22D4" w:rsidRPr="00B7703E" w:rsidP="008B22D4" w14:paraId="506F7100" w14:textId="77777777">
      <w:pPr>
        <w:pStyle w:val="NormalHanging12a"/>
        <w:rPr>
          <w:b/>
          <w:i/>
          <w:iCs/>
          <w:szCs w:val="24"/>
        </w:rPr>
      </w:pPr>
      <w:r w:rsidRPr="00B7703E">
        <w:rPr>
          <w:b/>
          <w:i/>
        </w:rPr>
        <w:t>Σχέδιο δράσης της Επιτροπής κατά του κυβερνοεκφοβισμού</w:t>
      </w:r>
    </w:p>
    <w:p w:rsidR="008B22D4" w:rsidRPr="00B7703E" w:rsidP="002D7D62" w14:paraId="5E4EF2E7" w14:textId="0A978C03">
      <w:pPr>
        <w:pStyle w:val="NormalHanging12a"/>
        <w:ind w:hanging="570"/>
      </w:pPr>
      <w:r w:rsidRPr="00B7703E">
        <w:t>1.</w:t>
      </w:r>
      <w:r w:rsidRPr="00B7703E">
        <w:tab/>
      </w:r>
      <w:r w:rsidRPr="00B7703E">
        <w:t>επικροτεί το σχέδιο δράσης της Επιτροπής κατά του κυβερνοεκφοβισμού ως πλαίσιο για την αντιμετώπιση αυτού του φαινομένου, συμπεριλαμβανομένου του προτεινόμενου ορισμού του, ο οποίος καθιστά δυνατή τη συνεκτική στατιστική αξιολόγηση και την ανταλλαγή βέλτιστων πρακτικών, καθώς και την αυστηρότερη εφαρμογή και επιβολή της ισχύουσας νομοθεσίας·</w:t>
      </w:r>
    </w:p>
    <w:p w:rsidR="008B22D4" w:rsidRPr="00B7703E" w:rsidP="002D7D62" w14:paraId="15C962F5" w14:textId="015A91C9">
      <w:pPr>
        <w:pStyle w:val="NormalHanging12a"/>
        <w:ind w:hanging="570"/>
      </w:pPr>
      <w:r w:rsidRPr="00B7703E">
        <w:t>2.</w:t>
      </w:r>
      <w:r w:rsidRPr="00B7703E">
        <w:tab/>
      </w:r>
      <w:r w:rsidRPr="00B7703E">
        <w:t>εκφράζει την ικανοποίησή του για το ότι το σχέδιο δράσης κατά του κυβερνοεκφοβισμού επικεντρώνεται στην πρόληψη και στον ψηφιακό γραμματισμό ως αποτελεσματικά μακροπρόθεσμα εργαλεία· καλεί την Επιτροπή και τα κράτη μέλη να επενδύσουν σε ψηφιακή εκπαίδευση και γραμματισμό στα μέσα επικοινωνίας με γνώμονα την ηλικία, προκειμένου να διασφαλίσουν ότι οι πόροι αυτοί φτάνουν στα παιδιά σε όλα τα κοινωνικοοικονομικά πλαίσια·</w:t>
      </w:r>
    </w:p>
    <w:p w:rsidR="008B22D4" w:rsidRPr="00B7703E" w:rsidP="002D7D62" w14:paraId="69E61F14" w14:textId="3734D84B">
      <w:pPr>
        <w:pStyle w:val="NormalHanging12a"/>
        <w:ind w:hanging="570"/>
        <w:rPr>
          <w:bCs/>
        </w:rPr>
      </w:pPr>
      <w:r w:rsidRPr="00B7703E">
        <w:rPr>
          <w:bCs/>
        </w:rPr>
        <w:t>3.</w:t>
      </w:r>
      <w:r w:rsidRPr="00B7703E">
        <w:rPr>
          <w:bCs/>
        </w:rPr>
        <w:tab/>
      </w:r>
      <w:r w:rsidRPr="00B7703E">
        <w:t>επαναλαμβάνει την έκκλησή του προς τα κράτη μέλη να θεσπίσουν ολοκληρωμένα εθνικά σχέδια κατά του κυβερνοεκφοβισμού και να προβλέψουν αποτελεσματικές, αναλογικές και αποτρεπτικές ποινές για αδικήματα κυβερνοεκφοβισμού, λαμβάνοντας υπόψη τη σοβαρότητα της συμπεριφοράς και την ευάλωτη θέση του θύματος·</w:t>
      </w:r>
    </w:p>
    <w:p w:rsidR="008B22D4" w:rsidRPr="002D7D62" w:rsidP="002D7D62" w14:paraId="3C432672" w14:textId="23A62060">
      <w:pPr>
        <w:pStyle w:val="NormalHanging12a"/>
        <w:ind w:hanging="570"/>
        <w:rPr>
          <w:rStyle w:val="CommentReference"/>
          <w:color w:val="000000"/>
          <w:spacing w:val="-2"/>
          <w:sz w:val="24"/>
          <w:szCs w:val="24"/>
        </w:rPr>
      </w:pPr>
      <w:r w:rsidRPr="002D7D62">
        <w:rPr>
          <w:rStyle w:val="CommentReference"/>
          <w:color w:val="000000"/>
          <w:spacing w:val="-2"/>
          <w:sz w:val="24"/>
          <w:szCs w:val="24"/>
        </w:rPr>
        <w:t>4.</w:t>
      </w:r>
      <w:r w:rsidRPr="002D7D62">
        <w:rPr>
          <w:rStyle w:val="CommentReference"/>
          <w:color w:val="000000"/>
          <w:spacing w:val="-2"/>
          <w:sz w:val="24"/>
          <w:szCs w:val="24"/>
        </w:rPr>
        <w:tab/>
      </w:r>
      <w:r w:rsidRPr="00B7703E">
        <w:t>πιστεύει ότι τα θύματα θα πρέπει να μπορούν να καταγγέλλουν εύκολα περιπτώσεις κυβερνοεκφοβισμού· σημειώνει ότι το σχέδιο δράσης κατά του κυβερνοεκφοβισμού προβλέπει μια διαδικτυακή εφαρμογή για την ασφάλεια κατά του κυβερνοεκφοβισμού, ως εύχρηστο και διαλειτουργικό μηχανισμό υποβολής καταγγελιών σε επίπεδο ΕΕ, με σκοπό τη συγκέντρωση καταγγελιών, τον συντονισμό της υποστήριξης και τη συλλογή αποδεικτικών στοιχείων σε ένα κεντρικό επίπεδο·</w:t>
      </w:r>
    </w:p>
    <w:p w:rsidR="008B22D4" w:rsidRPr="00B7703E" w:rsidP="008B22D4" w14:paraId="7726B7A1" w14:textId="77777777">
      <w:pPr>
        <w:pStyle w:val="NormalHanging12a"/>
        <w:rPr>
          <w:b/>
          <w:i/>
          <w:iCs/>
          <w:szCs w:val="24"/>
        </w:rPr>
      </w:pPr>
      <w:r w:rsidRPr="00B7703E">
        <w:rPr>
          <w:b/>
          <w:i/>
        </w:rPr>
        <w:t>Ποινικό δίκαιο</w:t>
      </w:r>
    </w:p>
    <w:p w:rsidR="008B22D4" w:rsidRPr="00B7703E" w:rsidP="002D7D62" w14:paraId="235FA1FD" w14:textId="542ED4CA">
      <w:pPr>
        <w:pStyle w:val="NormalHanging12a"/>
        <w:ind w:hanging="570"/>
      </w:pPr>
      <w:r w:rsidRPr="00B7703E">
        <w:t>5.</w:t>
      </w:r>
      <w:r w:rsidRPr="00B7703E">
        <w:tab/>
      </w:r>
      <w:r w:rsidRPr="00B7703E">
        <w:t>εκφράζει την ανησυχία του για το ότι, παρά τα νομοθετικά μέτρα και τα μέτρα πολιτικής που έχουν ληφθεί σε ενωσιακό και εθνικό επίπεδο, ο κυβερνοεκφοβισμός και η κακοποίηση μέσω εικόνων ή βίντεο εξακολουθούν να αυξάνονται σε ολόκληρη την ΕΕ, γεγονός που υποδεικνύει ότι τα υφιστάμενα μέσα, συμπεριλαμβανομένων των υποχρεώσεων στο πλαίσιο της πράξης για τις ψηφιακές υπηρεσίες και της εναρμόνισης βάσει της οδηγίας για την καταπολέμηση της βίας κατά των γυναικών και της εξ οικείων βίας, ενδέχεται να μην επαρκούν για την αντιμετώπιση της πλήρους κλίμακας και της σοβαρότητας του προβλήματος·</w:t>
      </w:r>
    </w:p>
    <w:p w:rsidR="008B22D4" w:rsidRPr="00B7703E" w:rsidP="002D7D62" w14:paraId="26D61C30" w14:textId="7933D2E7">
      <w:pPr>
        <w:pStyle w:val="NormalHanging12a"/>
        <w:ind w:hanging="570"/>
      </w:pPr>
      <w:r w:rsidRPr="00B7703E">
        <w:t>6.</w:t>
      </w:r>
      <w:r w:rsidRPr="00B7703E">
        <w:tab/>
      </w:r>
      <w:r w:rsidRPr="00B7703E">
        <w:t>σημειώνει ότι το σχέδιο δράσης κατά του κυβερνοεκφοβισμού δεν προβλέπει μέτρα στον τομέα του ποινικού δικαίου σε ενωσιακό επίπεδο·</w:t>
      </w:r>
    </w:p>
    <w:p w:rsidR="008B22D4" w:rsidRPr="00B7703E" w:rsidP="002D7D62" w14:paraId="7F041688" w14:textId="33D7CF2D">
      <w:pPr>
        <w:pStyle w:val="NormalHanging12a"/>
        <w:ind w:hanging="570"/>
      </w:pPr>
      <w:r w:rsidRPr="00B7703E">
        <w:t>7.</w:t>
      </w:r>
      <w:r w:rsidRPr="00B7703E">
        <w:tab/>
      </w:r>
      <w:r w:rsidRPr="00B7703E">
        <w:t xml:space="preserve">καλεί την Επιτροπή να αξιολογήσει την ανάγκη για μια πιο εναρμονισμένη προσέγγιση σε επίπεδο ΕΕ προκειμένου να διαμορφωθεί ένας ορισμός του κυβερνοεκφοβισμού· καλεί την Επιτροπή να εξετάσει αν ο κυβερνοεκφοβισμός, συμπεριλαμβανομένης της μη συναινετικής διάδοσης υλικού προσωπικής φύσης, θα πρέπει να αναγνωριστεί ως ιδιαίτερα σοβαρό έγκλημα με διασυνοριακή διάσταση σε επίπεδο ΕΕ· επαναλαμβάνει την υποστήριξή του για την προσθήκη των εγκλημάτων μίσους, τα οποία θα μπορούσαν να καλύπτουν τις σοβαρότερες μορφές κυβερνοεκφοβισμού, στον ενωσιακό κατάλογο </w:t>
      </w:r>
      <w:r w:rsidRPr="00B7703E">
        <w:t>εγκλημάτων σύμφωνα με το άρθρο 83 παράγραφος 1 ΣΛΕΕ·</w:t>
      </w:r>
    </w:p>
    <w:p w:rsidR="008B22D4" w:rsidRPr="00B7703E" w:rsidP="002D7D62" w14:paraId="5AE148FB" w14:textId="11598F36">
      <w:pPr>
        <w:pStyle w:val="NormalHanging12a"/>
        <w:ind w:hanging="570"/>
      </w:pPr>
      <w:r w:rsidRPr="00B7703E">
        <w:t>8.</w:t>
      </w:r>
      <w:r w:rsidRPr="00B7703E">
        <w:tab/>
      </w:r>
      <w:r w:rsidRPr="00B7703E">
        <w:t>τονίζει ότι απαραίτητο στοιχείο για την αποτελεσματική καταπολέμηση του κυβερνοεκφοβισμού είναι οι αρχές επιβολής του νόμου να διαθέτουν επαρκείς πόρους, συμπεριλαμβανομένων της κατάλληλης στελέχωσης, της τεχνικής εμπειρογνωσίας και των υποδομών ΤΠ· καλεί την Επιτροπή και την Ευρωπόλ να αυξήσουν τις ερευνητικές ικανότητες των κρατών μελών, μεταξύ άλλων για την καταπολέμηση του διασυνοριακού κυβερνοεκφοβισμού·</w:t>
      </w:r>
    </w:p>
    <w:p w:rsidR="008B22D4" w:rsidRPr="00B7703E" w:rsidP="002D7D62" w14:paraId="0FB99C7A" w14:textId="1BCFE38E">
      <w:pPr>
        <w:pStyle w:val="NormalHanging12a"/>
        <w:ind w:hanging="570"/>
      </w:pPr>
      <w:r w:rsidRPr="00B7703E">
        <w:t>9.</w:t>
      </w:r>
      <w:r w:rsidRPr="00B7703E">
        <w:tab/>
      </w:r>
      <w:r w:rsidRPr="00B7703E">
        <w:t>καλεί τα κράτη μέλη να ανταλλάξουν βέλτιστες πρακτικές όσον αφορά τις νομικές τους προσεγγίσεις· τονίζει ότι οι προσπάθειες θα πρέπει να δίνουν προτεραιότητα σε μέτρα πρόληψης, εκπαίδευσης και ευαισθητοποίησης που απευθύνονται σε παιδιά, γονείς και εκπαιδευτικούς, καθώς και σε προσεγγίσεις ψηφιακού γραμματισμού και επανόρθωσης, ιδίως όταν εμπλέκονται ανήλικοι·</w:t>
      </w:r>
    </w:p>
    <w:p w:rsidR="008B22D4" w:rsidRPr="00B7703E" w:rsidP="002D7D62" w14:paraId="5EB4BF3F" w14:textId="0C971A12">
      <w:pPr>
        <w:pStyle w:val="NormalHanging12a"/>
        <w:ind w:hanging="570"/>
      </w:pPr>
      <w:r w:rsidRPr="00B7703E">
        <w:t>10.</w:t>
      </w:r>
      <w:r w:rsidRPr="00B7703E">
        <w:tab/>
      </w:r>
      <w:r w:rsidRPr="00B7703E">
        <w:t>ζητεί την ταχεία εφαρμογή και μεταφορά στο εθνικό δίκαιο της αναθεωρημένης οδηγίας για τα δικαιώματα των θυμάτων·</w:t>
      </w:r>
    </w:p>
    <w:p w:rsidR="008B22D4" w:rsidRPr="00B7703E" w:rsidP="008B22D4" w14:paraId="5719C64D" w14:textId="77777777">
      <w:pPr>
        <w:pStyle w:val="NormalHanging12a"/>
        <w:rPr>
          <w:b/>
          <w:i/>
          <w:iCs/>
          <w:szCs w:val="24"/>
        </w:rPr>
      </w:pPr>
      <w:r w:rsidRPr="00B7703E">
        <w:rPr>
          <w:b/>
          <w:i/>
        </w:rPr>
        <w:t>Επιγραμμικές πλατφόρμες και πράξη για τις ψηφιακές υπηρεσίες</w:t>
      </w:r>
    </w:p>
    <w:p w:rsidR="008B22D4" w:rsidRPr="00B7703E" w:rsidP="002D7D62" w14:paraId="12D95FD4" w14:textId="63D20F05">
      <w:pPr>
        <w:pStyle w:val="NormalHanging12a"/>
        <w:ind w:hanging="570"/>
      </w:pPr>
      <w:r w:rsidRPr="00B7703E">
        <w:t>11.</w:t>
      </w:r>
      <w:r w:rsidRPr="00B7703E">
        <w:tab/>
      </w:r>
      <w:r w:rsidRPr="00B7703E">
        <w:t>καλεί την Επιτροπή και τα κράτη μέλη να διασφαλίσουν ότι οι πλατφόρμες λογοδοτούν για την πρόληψη και την αντιμετώπιση του κυβερνοεκφοβισμού·</w:t>
      </w:r>
    </w:p>
    <w:p w:rsidR="008B22D4" w:rsidRPr="00B7703E" w:rsidP="002D7D62" w14:paraId="383DF20D" w14:textId="1A41A7E0">
      <w:pPr>
        <w:pStyle w:val="NormalHanging12a"/>
        <w:ind w:hanging="570"/>
      </w:pPr>
      <w:r w:rsidRPr="00B7703E">
        <w:t>12.</w:t>
      </w:r>
      <w:r w:rsidRPr="00B7703E">
        <w:tab/>
      </w:r>
      <w:r w:rsidRPr="00B7703E">
        <w:t xml:space="preserve">επισημαίνει ότι ορισμένες </w:t>
      </w:r>
      <w:r w:rsidRPr="00B7703E">
        <w:t>επιγραμμικές</w:t>
      </w:r>
      <w:r w:rsidRPr="00B7703E">
        <w:t xml:space="preserve"> πλατφόρμες ακολουθούν ένα επιχειρηματικό μοντέλο το οποίο παρέχει κίνητρα για τη διάδοση περιεχομένου μίσους και, ως εκ τούτου, συντελεί στη δημιουργία ενός διαδικτυακού περιβάλλοντος το οποίο γίνεται ολοένα και λιγότερο ασφαλές, ιδίως για τους ανηλίκους, τις γυναίκες και τα μέλη της ΛΟΑΤΚΙ+ κοινότητας ή άλλες μειονότητες· υπογραμμίζει τον ρόλο των </w:t>
      </w:r>
      <w:r w:rsidRPr="00B7703E">
        <w:t>υπερεξατομικευμένων</w:t>
      </w:r>
      <w:r w:rsidRPr="00B7703E">
        <w:t xml:space="preserve"> συστημάτων συστάσεων που προωθούν τη ρητορική μίσους και υποβαθμίζουν αλγοριθμικά το περιεχόμενο που είναι λιγότερο διχαστικό·</w:t>
      </w:r>
    </w:p>
    <w:p w:rsidR="008B22D4" w:rsidRPr="00B7703E" w:rsidP="002D7D62" w14:paraId="3B7BB2BE" w14:textId="1D712FC0">
      <w:pPr>
        <w:pStyle w:val="NormalHanging12a"/>
        <w:ind w:hanging="570"/>
        <w:rPr>
          <w:bCs/>
        </w:rPr>
      </w:pPr>
      <w:r w:rsidRPr="00B7703E">
        <w:rPr>
          <w:bCs/>
        </w:rPr>
        <w:t>13.</w:t>
      </w:r>
      <w:r w:rsidRPr="00B7703E">
        <w:rPr>
          <w:bCs/>
        </w:rPr>
        <w:tab/>
      </w:r>
      <w:r w:rsidRPr="00B7703E">
        <w:t>υπογραμμίζει ότι η πράξη για τις ψηφιακές υπηρεσίες καλύπτει ορισμένες πτυχές της παρενόχλησης και του κυβερνοεκφοβισμού, ιδίως στο άρθρο 28, το οποίο υποχρεώνει ήδη τους παρόχους να διασφαλίζουν υψηλό επίπεδο ιδιωτικότητας, ασφάλειας και προστασίας των ανηλίκων· επισημαίνει, στο πλαίσιο αυτό, τις κατευθυντήριες γραμμές της Επιτροπής στο πλαίσιο της πράξης για τις ψηφιακές υπηρεσίες, οι οποίες προσδιορίζουν τον τρόπο με τον οποίο οι πλατφόρμες μπορούν να διασφαλίζουν ότι οι ανήλικοι είναι ασφαλείς όταν χρησιμοποιούν τις υπηρεσίες τους· σημειώνει ότι οι πολύ μεγάλες επιγραμμικές πλατφόρμες απέτυχαν, σε μεγάλο βαθμό, να εφαρμόσουν τα μέτρα αυτά· καλεί την Επιτροπή και τα κράτη μέλη να επιταχύνουν την επιβολή του άρθρου 28 και της διάταξης για τους μηχανισμούς ειδοποίησης και δράσης της πράξης για τις ψηφιακές υπηρεσίες, η οποία επηρεάζει την προστασία των θυμάτων κυβερνοεκφοβισμού·</w:t>
      </w:r>
    </w:p>
    <w:p w:rsidR="008B22D4" w:rsidRPr="00B7703E" w:rsidP="002D7D62" w14:paraId="1384EA95" w14:textId="49675D40">
      <w:pPr>
        <w:pStyle w:val="NormalHanging12a"/>
        <w:ind w:hanging="570"/>
      </w:pPr>
      <w:r w:rsidRPr="00B7703E">
        <w:t>14.</w:t>
      </w:r>
      <w:r w:rsidRPr="00B7703E">
        <w:tab/>
      </w:r>
      <w:r w:rsidRPr="00B7703E">
        <w:t xml:space="preserve">καλεί την Επιτροπή να περατώσει τις εκκρεμείς υποθέσεις επιβολής, να κινήσει έρευνες για τυχόν παραβιάσεις του άρθρου 28 της πράξης για τις ψηφιακές υπηρεσίες, συμπεριλαμβανομένων των συστημικών κινδύνων που εγκυμονούν τα συστήματα συστάσεων, και να επιβάλει αυστηρά την υποχρέωση των πλατφορμών για ειδοποίηση και απόσυρση περιεχομένου· απορρίπτει κατηγορηματικά κάθε προσπάθεια επανεξέτασης της πράξης για τις ψηφιακές υπηρεσίες· επισημαίνει ότι η πρόσβαση των ερευνητών που προβλέπεται στο πλαίσιο της πράξης για τις ψηφιακές υπηρεσίες είναι </w:t>
      </w:r>
      <w:r w:rsidRPr="00B7703E">
        <w:t>ζωτικής σημασίας για τη διασφάλιση τεκμηριωμένης νομοθέτησης·</w:t>
      </w:r>
    </w:p>
    <w:p w:rsidR="008B22D4" w:rsidRPr="00B7703E" w:rsidP="002D7D62" w14:paraId="6D281B83" w14:textId="6B702C7B">
      <w:pPr>
        <w:pStyle w:val="NormalHanging12a"/>
        <w:ind w:hanging="570"/>
      </w:pPr>
      <w:r w:rsidRPr="00B7703E">
        <w:t>15.</w:t>
      </w:r>
      <w:r w:rsidRPr="00B7703E">
        <w:tab/>
      </w:r>
      <w:r w:rsidRPr="00B7703E">
        <w:t>καλεί την Επιτροπή να δώσει συνέχεια στις κατευθυντήριες γραμμές που ανακοίνωσε για αξιόπιστες πηγές επισήμανσης παράνομου περιεχομένου σχετικά με τον κυβερνοεκφοβισμό, προκειμένου να αποσαφηνιστεί ο ρόλος τους στην αντιμετώπιση του παράνομου περιεχομένου·</w:t>
      </w:r>
    </w:p>
    <w:p w:rsidR="008B22D4" w:rsidRPr="00B7703E" w:rsidP="002D7D62" w14:paraId="36B45213" w14:textId="4875D4C4">
      <w:pPr>
        <w:pStyle w:val="NormalHanging12a"/>
        <w:ind w:hanging="570"/>
      </w:pPr>
      <w:r w:rsidRPr="00B7703E">
        <w:t>16.</w:t>
      </w:r>
      <w:r w:rsidRPr="00B7703E">
        <w:tab/>
      </w:r>
      <w:r w:rsidRPr="00B7703E">
        <w:t>εκφράζει τη λύπη του για την τρέχουσα απουσία νομικού πλαισίου που να επιτρέπει τον εντοπισμό υλικού σεξουαλικής κακοποίησης παιδιών στο διαδίκτυο και καλεί την Επιτροπή να αναλάβει ταχεία δράση για να διασφαλίσει την εφαρμογή μηχανισμών εθελοντικής καταγγελίας υλικού σεξουαλικής κακοποίησης παιδιών· υπογραμμίζει τις υποχρεώσεις των πλατφορμών να εξασφαλίζουν για τα παιδιά έναν ασφαλή ψηφιακό χώρο που σέβεται τα θεμελιώδη δικαιώματά τους και την ιδιωτικότητα των δεδομένων κάθε χρήστη·</w:t>
      </w:r>
    </w:p>
    <w:p w:rsidR="008B22D4" w:rsidRPr="00B7703E" w:rsidP="008B22D4" w14:paraId="3EBD6284" w14:textId="77777777">
      <w:pPr>
        <w:pStyle w:val="NormalHanging12a"/>
        <w:rPr>
          <w:b/>
          <w:i/>
          <w:iCs/>
          <w:szCs w:val="24"/>
        </w:rPr>
      </w:pPr>
      <w:r w:rsidRPr="00B7703E">
        <w:rPr>
          <w:b/>
          <w:i/>
        </w:rPr>
        <w:t>Άλλα μέτρα</w:t>
      </w:r>
    </w:p>
    <w:p w:rsidR="008B22D4" w:rsidRPr="00B7703E" w:rsidP="002D7D62" w14:paraId="027943F7" w14:textId="150A5544">
      <w:pPr>
        <w:pStyle w:val="NormalHanging12a"/>
        <w:ind w:hanging="570"/>
      </w:pPr>
      <w:r w:rsidRPr="00B7703E">
        <w:t>17.</w:t>
      </w:r>
      <w:r w:rsidRPr="00B7703E">
        <w:tab/>
      </w:r>
      <w:r w:rsidRPr="00B7703E">
        <w:t xml:space="preserve">εκφράζει την ανησυχία του για την αυξανόμενη χρήση της τεχνητής νοημοσύνης (ΤΝ) με σκοπό την κακοποίηση, συμπεριλαμβανομένης της παραγωγής προϊόντων βαθυπαραποίησης, της κλωνοποίησης φωνής και της δημιουργίας μη συναινετικού προσωπικού περιεχομένου· επαναλαμβάνει την ανάγκη να απαγορευτούν βάσει του κανονισμού για την ΤΝ οι εφαρμογές αφαίρεσης ρούχων στο πλαίσιο των διαπραγματεύσεων για τη δέσμη </w:t>
      </w:r>
      <w:r w:rsidRPr="00B7703E">
        <w:t>Omnibus</w:t>
      </w:r>
      <w:r w:rsidRPr="00B7703E">
        <w:t xml:space="preserve"> για την ΤΝ· καλεί τους παρόχους να συμμορφωθούν χωρίς καθυστέρηση με το άρθρο 50 του κανονισμού για την ΤΝ όσον αφορά τη διαφάνεια και την </w:t>
      </w:r>
      <w:r w:rsidRPr="00B7703E">
        <w:t>υδατοσήμανση</w:t>
      </w:r>
      <w:r w:rsidRPr="00B7703E">
        <w:t>, ώστε να διασφαλιστεί ότι το περιεχόμενο που έχει παραχθεί από ΤΝ επισημαίνεται σαφώς, προκειμένου να μετριαστούν οι επιβλαβείς επιπτώσεις των προϊόντων βαθυπαραποίησης, ιδίως στους ανηλίκους·</w:t>
      </w:r>
    </w:p>
    <w:p w:rsidR="008B22D4" w:rsidRPr="00B7703E" w:rsidP="002D7D62" w14:paraId="0130FE53" w14:textId="1BFEB249">
      <w:pPr>
        <w:pStyle w:val="NormalHanging12a"/>
        <w:ind w:hanging="570"/>
      </w:pPr>
      <w:r w:rsidRPr="00B7703E">
        <w:t>18.</w:t>
      </w:r>
      <w:r w:rsidRPr="00B7703E">
        <w:tab/>
      </w:r>
      <w:r w:rsidRPr="00B7703E">
        <w:t>καλεί την Επιτροπή να αξιολογήσει αν οι υφιστάμενες υποχρεώσεις εκτίμησης και μετριασμού του κινδύνου βάσει του δικαίου της ΕΕ καλύπτουν επαρκώς τους φορείς εκμετάλλευσης διαδικτυακών τυχερών παιχνιδιών, ιδίως εκείνους που προσφέρουν δυνατότητες επικοινωνίας σε πραγματικό χρόνο, οι οποίες ενδέχεται να εκθέτουν ανηλίκους σε κυβερνοεκφοβισμό·</w:t>
      </w:r>
    </w:p>
    <w:p w:rsidR="008B22D4" w:rsidRPr="00B7703E" w:rsidP="002D7D62" w14:paraId="4F997458" w14:textId="595E9172">
      <w:pPr>
        <w:pStyle w:val="NormalHanging12a"/>
        <w:ind w:hanging="570"/>
      </w:pPr>
      <w:r w:rsidRPr="00B7703E">
        <w:t>19.</w:t>
      </w:r>
      <w:r w:rsidRPr="00B7703E">
        <w:tab/>
      </w:r>
      <w:r w:rsidRPr="00B7703E">
        <w:t>υπενθυμίζει τις υποχρεώσεις που απορρέουν από την αναθεωρημένη οδηγία για τις υπηρεσίες οπτικοακουστικών μέσων όσον αφορά την προστασία των ανηλίκων από παράνομο και επιβλαβές περιεχόμενο και όλων των χρηστών από περιεχόμενο που υποκινεί βία ή μίσος· καλεί την Επιτροπή να παρακολουθεί την εφαρμογή αυτής της οδηγίας από τα κράτη μέλη·</w:t>
      </w:r>
    </w:p>
    <w:p w:rsidR="008B22D4" w:rsidRPr="00B7703E" w:rsidP="002D7D62" w14:paraId="4D113BAA" w14:textId="2AF6CE8C">
      <w:pPr>
        <w:pStyle w:val="NormalHanging12a"/>
        <w:ind w:hanging="570"/>
      </w:pPr>
      <w:r w:rsidRPr="00B7703E">
        <w:t>20.</w:t>
      </w:r>
      <w:r w:rsidRPr="00B7703E">
        <w:tab/>
      </w:r>
      <w:r w:rsidRPr="00B7703E">
        <w:t>υπενθυμίζει την ανάγκη να ενισχυθούν η προστασία και η υποστήριξη των θυμάτων κυβερνοεκφοβισμού· εκφράζει την ανησυχία του για το γεγονός ότι η βιωσιμότητα των οργανώσεων θυμάτων απειλείται ολοένα περισσότερο εξαιτίας της έλλειψης χρηματοδότησης· ζητεί αυξημένη και βιώσιμη χρηματοδότηση της ΕΕ για οργανώσεις της κοινωνίας των πολιτών, γραμμές βοήθειας και υπηρεσίες υποστήριξης θυμάτων, καθώς και την ενσωμάτωση μέτρων πρόληψης και αντιμετώπισης του κυβερνοεκφοβισμού στις εθνικές στρατηγικές για την ψυχική υγεία, με ιδιαίτερη έμφαση στους ανηλίκους και σε άλλες ευάλωτες ομάδες·</w:t>
      </w:r>
    </w:p>
    <w:p w:rsidR="008B22D4" w:rsidRPr="00B7703E" w:rsidP="008B22D4" w14:paraId="292ABE7A" w14:textId="77777777">
      <w:pPr>
        <w:pStyle w:val="NormalHanging12a"/>
        <w:jc w:val="center"/>
      </w:pPr>
      <w:r w:rsidRPr="00B7703E">
        <w:t>°</w:t>
      </w:r>
    </w:p>
    <w:p w:rsidR="008B22D4" w:rsidRPr="00B7703E" w:rsidP="008B22D4" w14:paraId="67DA205D" w14:textId="77777777">
      <w:pPr>
        <w:pStyle w:val="NormalHanging12a"/>
        <w:jc w:val="center"/>
      </w:pPr>
      <w:r w:rsidRPr="00B7703E">
        <w:t>°</w:t>
      </w:r>
      <w:r w:rsidRPr="00B7703E">
        <w:tab/>
        <w:t>°</w:t>
      </w:r>
    </w:p>
    <w:p w:rsidR="00B7703E" w:rsidRPr="00B7703E" w:rsidP="002D7D62" w14:paraId="36188C04" w14:textId="23E1DD62">
      <w:pPr>
        <w:pStyle w:val="NormalHanging12a"/>
        <w:ind w:hanging="570"/>
      </w:pPr>
      <w:r w:rsidRPr="00B7703E">
        <w:t>21.</w:t>
      </w:r>
      <w:r w:rsidRPr="00B7703E">
        <w:tab/>
      </w:r>
      <w:r w:rsidRPr="00B7703E" w:rsidR="008B22D4">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bookmarkEnd w:id="7"/>
    </w:p>
    <w:p w:rsidR="00E365E1" w:rsidRPr="00B7703E" w:rsidP="00930024" w14:paraId="38B68B8E" w14:textId="01344582"/>
    <w:sectPr w:rsidSect="00B7703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03E" w14:paraId="052CE48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03E" w14:paraId="089F3A5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03E" w14:paraId="78D9F84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30024" w:rsidRPr="00B7703E" w14:paraId="7171A852" w14:textId="77777777">
      <w:r w:rsidRPr="00B7703E">
        <w:separator/>
      </w:r>
    </w:p>
  </w:footnote>
  <w:footnote w:type="continuationSeparator" w:id="1">
    <w:p w:rsidR="00930024" w:rsidRPr="00B7703E" w14:paraId="062A1E49" w14:textId="77777777">
      <w:r w:rsidRPr="00B7703E">
        <w:continuationSeparator/>
      </w:r>
    </w:p>
  </w:footnote>
  <w:footnote w:id="2">
    <w:p w:rsidR="008B22D4" w:rsidRPr="00B7703E" w:rsidP="00B7703E" w14:paraId="19A41422" w14:textId="4D3F46FF">
      <w:pPr>
        <w:pStyle w:val="FootnoteText"/>
        <w:ind w:left="567" w:hanging="567"/>
        <w:rPr>
          <w:sz w:val="24"/>
          <w:lang w:val="el-GR"/>
        </w:rPr>
      </w:pPr>
      <w:r w:rsidRPr="00B7703E">
        <w:rPr>
          <w:rStyle w:val="FootnoteReference"/>
          <w:sz w:val="24"/>
          <w:lang w:val="el-GR"/>
        </w:rPr>
        <w:footnoteRef/>
      </w:r>
      <w:r w:rsidRPr="00B7703E" w:rsidR="00B7703E">
        <w:rPr>
          <w:sz w:val="24"/>
          <w:lang w:val="el-GR"/>
        </w:rPr>
        <w:t xml:space="preserve"> </w:t>
      </w:r>
      <w:r w:rsidRPr="00B7703E" w:rsidR="00B7703E">
        <w:rPr>
          <w:sz w:val="24"/>
          <w:lang w:val="el-GR"/>
        </w:rPr>
        <w:tab/>
      </w:r>
      <w:r w:rsidRPr="00B7703E">
        <w:rPr>
          <w:sz w:val="24"/>
          <w:lang w:val="el-GR"/>
        </w:rPr>
        <w:t>ΕΕ L 335 της 17</w:t>
      </w:r>
      <w:r w:rsidR="008516B7">
        <w:rPr>
          <w:sz w:val="24"/>
          <w:lang w:val="lv-LV"/>
        </w:rPr>
        <w:t>.12</w:t>
      </w:r>
      <w:r w:rsidRPr="00B7703E">
        <w:rPr>
          <w:sz w:val="24"/>
          <w:lang w:val="el-GR"/>
        </w:rPr>
        <w:t>.2011, σ. 1, ELI: </w:t>
      </w:r>
      <w:hyperlink r:id="rId1" w:tooltip="Πρόσβαση στο έγγραφο μέσω URI τύπου ELI." w:history="1">
        <w:r w:rsidRPr="00B7703E">
          <w:rPr>
            <w:rStyle w:val="Hyperlink"/>
            <w:sz w:val="24"/>
            <w:lang w:val="el-GR"/>
          </w:rPr>
          <w:t>http://data.europa.eu/eli/dir/2011/93/oj</w:t>
        </w:r>
      </w:hyperlink>
      <w:r w:rsidRPr="00B7703E">
        <w:rPr>
          <w:sz w:val="24"/>
          <w:lang w:val="el-GR"/>
        </w:rPr>
        <w:t xml:space="preserve">. </w:t>
      </w:r>
    </w:p>
  </w:footnote>
  <w:footnote w:id="3">
    <w:p w:rsidR="008B22D4" w:rsidRPr="00B7703E" w:rsidP="00B7703E" w14:paraId="46A52988" w14:textId="1CB3B9C4">
      <w:pPr>
        <w:pStyle w:val="FootnoteText"/>
        <w:ind w:left="567" w:hanging="567"/>
        <w:rPr>
          <w:sz w:val="24"/>
          <w:lang w:val="el-GR"/>
        </w:rPr>
      </w:pPr>
      <w:r w:rsidRPr="00B7703E">
        <w:rPr>
          <w:rStyle w:val="FootnoteReference"/>
          <w:sz w:val="24"/>
          <w:lang w:val="el-GR"/>
        </w:rPr>
        <w:footnoteRef/>
      </w:r>
      <w:r w:rsidRPr="00B7703E" w:rsidR="00B7703E">
        <w:rPr>
          <w:sz w:val="24"/>
          <w:lang w:val="el-GR"/>
        </w:rPr>
        <w:t xml:space="preserve"> </w:t>
      </w:r>
      <w:r w:rsidRPr="00B7703E" w:rsidR="00B7703E">
        <w:rPr>
          <w:sz w:val="24"/>
          <w:lang w:val="el-GR"/>
        </w:rPr>
        <w:tab/>
      </w:r>
      <w:r w:rsidRPr="00B7703E">
        <w:rPr>
          <w:sz w:val="24"/>
          <w:lang w:val="el-GR"/>
        </w:rPr>
        <w:t xml:space="preserve">ΕΕ L 315 της 14.11.2012, σ. </w:t>
      </w:r>
      <w:r w:rsidRPr="00B7703E">
        <w:rPr>
          <w:sz w:val="24"/>
          <w:lang w:val="el-GR"/>
        </w:rPr>
        <w:t xml:space="preserve">57, ELI: </w:t>
      </w:r>
      <w:hyperlink r:id="rId2" w:history="1">
        <w:r w:rsidRPr="00B7703E">
          <w:rPr>
            <w:rStyle w:val="Hyperlink"/>
            <w:sz w:val="24"/>
            <w:lang w:val="el-GR"/>
          </w:rPr>
          <w:t>http://data.europa.eu/eli/dir/2012/29/oj</w:t>
        </w:r>
      </w:hyperlink>
      <w:r w:rsidRPr="00B7703E">
        <w:rPr>
          <w:sz w:val="24"/>
          <w:lang w:val="el-GR"/>
        </w:rPr>
        <w:t xml:space="preserve">. </w:t>
      </w:r>
    </w:p>
  </w:footnote>
  <w:footnote w:id="4">
    <w:p w:rsidR="008B22D4" w:rsidRPr="00B7703E" w:rsidP="00B7703E" w14:paraId="49371455" w14:textId="7BE020EF">
      <w:pPr>
        <w:pStyle w:val="FootnoteText"/>
        <w:ind w:left="567" w:hanging="567"/>
        <w:rPr>
          <w:sz w:val="24"/>
          <w:lang w:val="el-GR"/>
        </w:rPr>
      </w:pPr>
      <w:r w:rsidRPr="00B7703E">
        <w:rPr>
          <w:rStyle w:val="FootnoteReference"/>
          <w:sz w:val="24"/>
          <w:lang w:val="el-GR"/>
        </w:rPr>
        <w:footnoteRef/>
      </w:r>
      <w:r w:rsidRPr="00B7703E" w:rsidR="00B7703E">
        <w:rPr>
          <w:sz w:val="24"/>
          <w:lang w:val="el-GR"/>
        </w:rPr>
        <w:t xml:space="preserve"> </w:t>
      </w:r>
      <w:r w:rsidRPr="00B7703E" w:rsidR="00B7703E">
        <w:rPr>
          <w:sz w:val="24"/>
          <w:lang w:val="el-GR"/>
        </w:rPr>
        <w:tab/>
      </w:r>
      <w:r w:rsidRPr="00B7703E">
        <w:rPr>
          <w:sz w:val="24"/>
          <w:lang w:val="el-GR"/>
        </w:rPr>
        <w:t xml:space="preserve">ΕΕ L 303 της 28.11.2018, σ. </w:t>
      </w:r>
      <w:r w:rsidRPr="00B7703E">
        <w:rPr>
          <w:sz w:val="24"/>
          <w:lang w:val="el-GR"/>
        </w:rPr>
        <w:t xml:space="preserve">69, ELI: </w:t>
      </w:r>
      <w:hyperlink r:id="rId3" w:history="1">
        <w:r w:rsidRPr="00B7703E">
          <w:rPr>
            <w:rStyle w:val="Hyperlink"/>
            <w:sz w:val="24"/>
            <w:lang w:val="el-GR"/>
          </w:rPr>
          <w:t>http://data.europa.eu/eli/dir/2018/1808/oj</w:t>
        </w:r>
      </w:hyperlink>
      <w:r w:rsidRPr="00B7703E">
        <w:rPr>
          <w:sz w:val="24"/>
          <w:lang w:val="el-GR"/>
        </w:rPr>
        <w:t xml:space="preserve">. </w:t>
      </w:r>
    </w:p>
  </w:footnote>
  <w:footnote w:id="5">
    <w:p w:rsidR="008B22D4" w:rsidRPr="002D7D62" w:rsidP="00B7703E" w14:paraId="6113D71F" w14:textId="55604B9A">
      <w:pPr>
        <w:pStyle w:val="FootnoteText"/>
        <w:ind w:left="567" w:hanging="567"/>
        <w:rPr>
          <w:sz w:val="24"/>
          <w:lang w:val="fi-FI"/>
        </w:rPr>
      </w:pPr>
      <w:r w:rsidRPr="00B7703E">
        <w:rPr>
          <w:rStyle w:val="FootnoteReference"/>
          <w:sz w:val="24"/>
          <w:lang w:val="el-GR"/>
        </w:rPr>
        <w:footnoteRef/>
      </w:r>
      <w:r w:rsidRPr="002D7D62" w:rsidR="00B7703E">
        <w:rPr>
          <w:sz w:val="24"/>
          <w:lang w:val="fi-FI"/>
        </w:rPr>
        <w:t xml:space="preserve"> </w:t>
      </w:r>
      <w:r w:rsidRPr="002D7D62" w:rsidR="00B7703E">
        <w:rPr>
          <w:sz w:val="24"/>
          <w:lang w:val="fi-FI"/>
        </w:rPr>
        <w:tab/>
      </w:r>
      <w:r w:rsidRPr="002D7D62">
        <w:rPr>
          <w:sz w:val="24"/>
          <w:lang w:val="fi-FI"/>
        </w:rPr>
        <w:t xml:space="preserve">EE L, 2024/1385, 24.5.2024, ELI: </w:t>
      </w:r>
      <w:hyperlink r:id="rId4" w:history="1">
        <w:r w:rsidRPr="002D7D62">
          <w:rPr>
            <w:rStyle w:val="Hyperlink"/>
            <w:sz w:val="24"/>
            <w:lang w:val="fi-FI"/>
          </w:rPr>
          <w:t>http://data.europa.eu/eli/dir/2024/1385/oj</w:t>
        </w:r>
      </w:hyperlink>
      <w:r w:rsidRPr="002D7D62">
        <w:rPr>
          <w:sz w:val="24"/>
          <w:lang w:val="fi-FI"/>
        </w:rPr>
        <w:t xml:space="preserve">. </w:t>
      </w:r>
    </w:p>
  </w:footnote>
  <w:footnote w:id="6">
    <w:p w:rsidR="008B22D4" w:rsidRPr="00B7703E" w:rsidP="00B7703E" w14:paraId="51309CB9" w14:textId="6328F820">
      <w:pPr>
        <w:pStyle w:val="FootnoteText"/>
        <w:ind w:left="567" w:hanging="567"/>
        <w:rPr>
          <w:sz w:val="24"/>
          <w:lang w:val="el-GR"/>
        </w:rPr>
      </w:pPr>
      <w:r w:rsidRPr="00B7703E">
        <w:rPr>
          <w:rStyle w:val="FootnoteReference"/>
          <w:sz w:val="24"/>
          <w:lang w:val="el-GR"/>
        </w:rPr>
        <w:footnoteRef/>
      </w:r>
      <w:r w:rsidRPr="00B7703E" w:rsidR="00B7703E">
        <w:rPr>
          <w:sz w:val="24"/>
          <w:lang w:val="el-GR"/>
        </w:rPr>
        <w:t xml:space="preserve"> </w:t>
      </w:r>
      <w:r w:rsidRPr="00B7703E" w:rsidR="00B7703E">
        <w:rPr>
          <w:sz w:val="24"/>
          <w:lang w:val="el-GR"/>
        </w:rPr>
        <w:tab/>
      </w:r>
      <w:r w:rsidRPr="00B7703E">
        <w:rPr>
          <w:sz w:val="24"/>
          <w:lang w:val="el-GR"/>
        </w:rPr>
        <w:t xml:space="preserve">ΕΕ L 277 της 27.10.2022, σ. </w:t>
      </w:r>
      <w:r w:rsidRPr="00B7703E">
        <w:rPr>
          <w:sz w:val="24"/>
          <w:lang w:val="el-GR"/>
        </w:rPr>
        <w:t xml:space="preserve">1, ELI: </w:t>
      </w:r>
      <w:hyperlink r:id="rId5" w:history="1">
        <w:r w:rsidRPr="00B7703E">
          <w:rPr>
            <w:rStyle w:val="Hyperlink"/>
            <w:sz w:val="24"/>
            <w:lang w:val="el-GR"/>
          </w:rPr>
          <w:t>http://data.europa.eu/eli/reg/2022/2065/oj</w:t>
        </w:r>
      </w:hyperlink>
      <w:r w:rsidRPr="00B7703E">
        <w:rPr>
          <w:sz w:val="24"/>
          <w:lang w:val="el-GR"/>
        </w:rPr>
        <w:t xml:space="preserve">. </w:t>
      </w:r>
    </w:p>
  </w:footnote>
  <w:footnote w:id="7">
    <w:p w:rsidR="008B22D4" w:rsidRPr="002D7D62" w:rsidP="00B7703E" w14:paraId="50F94497" w14:textId="3680F3C4">
      <w:pPr>
        <w:pStyle w:val="FootnoteText"/>
        <w:ind w:left="567" w:hanging="567"/>
        <w:rPr>
          <w:sz w:val="24"/>
          <w:lang w:val="fi-FI"/>
        </w:rPr>
      </w:pPr>
      <w:r w:rsidRPr="00B7703E">
        <w:rPr>
          <w:rStyle w:val="FootnoteReference"/>
          <w:sz w:val="24"/>
          <w:lang w:val="el-GR"/>
        </w:rPr>
        <w:footnoteRef/>
      </w:r>
      <w:r w:rsidRPr="002D7D62" w:rsidR="00B7703E">
        <w:rPr>
          <w:sz w:val="24"/>
          <w:lang w:val="fi-FI"/>
        </w:rPr>
        <w:t xml:space="preserve"> </w:t>
      </w:r>
      <w:r w:rsidRPr="002D7D62" w:rsidR="00B7703E">
        <w:rPr>
          <w:sz w:val="24"/>
          <w:lang w:val="fi-FI"/>
        </w:rPr>
        <w:tab/>
      </w:r>
      <w:r w:rsidRPr="00B7703E">
        <w:rPr>
          <w:sz w:val="24"/>
          <w:lang w:val="el-GR"/>
        </w:rPr>
        <w:t>ΕΕ</w:t>
      </w:r>
      <w:r w:rsidRPr="002D7D62">
        <w:rPr>
          <w:sz w:val="24"/>
          <w:lang w:val="fi-FI"/>
        </w:rPr>
        <w:t xml:space="preserve"> L, 2024/1689, 12.7.2024, ELI: </w:t>
      </w:r>
      <w:hyperlink r:id="rId6" w:history="1">
        <w:r w:rsidRPr="002D7D62">
          <w:rPr>
            <w:rStyle w:val="Hyperlink"/>
            <w:sz w:val="24"/>
            <w:lang w:val="fi-FI"/>
          </w:rPr>
          <w:t>http://data.europa.eu/eli/reg/2024/1689/oj</w:t>
        </w:r>
      </w:hyperlink>
      <w:r w:rsidRPr="002D7D62">
        <w:rPr>
          <w:sz w:val="24"/>
          <w:lang w:val="fi-FI"/>
        </w:rPr>
        <w:t xml:space="preserve">. </w:t>
      </w:r>
    </w:p>
  </w:footnote>
  <w:footnote w:id="8">
    <w:p w:rsidR="008B22D4" w:rsidRPr="002D7D62" w:rsidP="00B7703E" w14:paraId="05C93777" w14:textId="09B79537">
      <w:pPr>
        <w:pStyle w:val="FootnoteText"/>
        <w:ind w:left="567" w:hanging="567"/>
        <w:rPr>
          <w:sz w:val="24"/>
          <w:lang w:val="fi-FI"/>
        </w:rPr>
      </w:pPr>
      <w:r w:rsidRPr="00B7703E">
        <w:rPr>
          <w:rStyle w:val="FootnoteReference"/>
          <w:sz w:val="24"/>
          <w:lang w:val="el-GR"/>
        </w:rPr>
        <w:footnoteRef/>
      </w:r>
      <w:r w:rsidRPr="002D7D62" w:rsidR="00B7703E">
        <w:rPr>
          <w:sz w:val="24"/>
          <w:lang w:val="fi-FI"/>
        </w:rPr>
        <w:t xml:space="preserve"> </w:t>
      </w:r>
      <w:r w:rsidRPr="002D7D62" w:rsidR="00B7703E">
        <w:rPr>
          <w:sz w:val="24"/>
          <w:lang w:val="fi-FI"/>
        </w:rPr>
        <w:tab/>
      </w:r>
      <w:r w:rsidRPr="00B7703E">
        <w:rPr>
          <w:sz w:val="24"/>
          <w:lang w:val="el-GR"/>
        </w:rPr>
        <w:t>ΕΕ</w:t>
      </w:r>
      <w:r w:rsidRPr="002D7D62">
        <w:rPr>
          <w:sz w:val="24"/>
          <w:lang w:val="fi-FI"/>
        </w:rPr>
        <w:t xml:space="preserve"> C, C/2025/5519, 10.10.2025, ELI: </w:t>
      </w:r>
      <w:hyperlink r:id="rId7" w:history="1">
        <w:r w:rsidRPr="002D7D62">
          <w:rPr>
            <w:rStyle w:val="Hyperlink"/>
            <w:sz w:val="24"/>
            <w:lang w:val="fi-FI"/>
          </w:rPr>
          <w:t>http://data.europa.eu/eli/C/2025/5519/oj</w:t>
        </w:r>
      </w:hyperlink>
      <w:r w:rsidRPr="002D7D62">
        <w:rPr>
          <w:sz w:val="24"/>
          <w:lang w:val="fi-FI"/>
        </w:rPr>
        <w:t xml:space="preserve">. </w:t>
      </w:r>
    </w:p>
  </w:footnote>
  <w:footnote w:id="9">
    <w:p w:rsidR="008B22D4" w:rsidRPr="002D7D62" w:rsidP="00B7703E" w14:paraId="13618535" w14:textId="625747AA">
      <w:pPr>
        <w:pStyle w:val="FootnoteText"/>
        <w:ind w:left="567" w:hanging="567"/>
        <w:rPr>
          <w:sz w:val="24"/>
          <w:lang w:val="fi-FI"/>
        </w:rPr>
      </w:pPr>
      <w:r w:rsidRPr="00B7703E">
        <w:rPr>
          <w:rStyle w:val="FootnoteReference"/>
          <w:sz w:val="24"/>
          <w:lang w:val="el-GR"/>
        </w:rPr>
        <w:footnoteRef/>
      </w:r>
      <w:r w:rsidRPr="002D7D62" w:rsidR="00B7703E">
        <w:rPr>
          <w:sz w:val="24"/>
          <w:lang w:val="fi-FI"/>
        </w:rPr>
        <w:t xml:space="preserve"> </w:t>
      </w:r>
      <w:r w:rsidRPr="002D7D62" w:rsidR="00B7703E">
        <w:rPr>
          <w:sz w:val="24"/>
          <w:lang w:val="fi-FI"/>
        </w:rPr>
        <w:tab/>
      </w:r>
      <w:r w:rsidRPr="00B7703E">
        <w:rPr>
          <w:sz w:val="24"/>
          <w:lang w:val="el-GR"/>
        </w:rPr>
        <w:t>ΕΕ</w:t>
      </w:r>
      <w:r w:rsidRPr="002D7D62">
        <w:rPr>
          <w:sz w:val="24"/>
          <w:lang w:val="fi-FI"/>
        </w:rPr>
        <w:t xml:space="preserve"> C, C/2024/5733, 17.10.2024, ELI: </w:t>
      </w:r>
      <w:hyperlink r:id="rId8" w:history="1">
        <w:r w:rsidRPr="002D7D62">
          <w:rPr>
            <w:rStyle w:val="Hyperlink"/>
            <w:sz w:val="24"/>
            <w:lang w:val="fi-FI"/>
          </w:rPr>
          <w:t>http://data.europa.eu/eli/C/2024/5733/oj</w:t>
        </w:r>
      </w:hyperlink>
      <w:r w:rsidRPr="002D7D62">
        <w:rPr>
          <w:sz w:val="24"/>
          <w:lang w:val="fi-FI"/>
        </w:rPr>
        <w:t xml:space="preserve">. </w:t>
      </w:r>
    </w:p>
  </w:footnote>
  <w:footnote w:id="10">
    <w:p w:rsidR="008B22D4" w:rsidRPr="002D7D62" w:rsidP="00B7703E" w14:paraId="1F4005D7" w14:textId="4C6F8A69">
      <w:pPr>
        <w:pStyle w:val="FootnoteText"/>
        <w:ind w:left="567" w:hanging="567"/>
        <w:rPr>
          <w:sz w:val="24"/>
          <w:lang w:val="fi-FI"/>
        </w:rPr>
      </w:pPr>
      <w:r w:rsidRPr="00B7703E">
        <w:rPr>
          <w:rStyle w:val="FootnoteReference"/>
          <w:sz w:val="24"/>
          <w:lang w:val="el-GR"/>
        </w:rPr>
        <w:footnoteRef/>
      </w:r>
      <w:r w:rsidRPr="002D7D62" w:rsidR="00B7703E">
        <w:rPr>
          <w:sz w:val="24"/>
          <w:lang w:val="fi-FI"/>
        </w:rPr>
        <w:t xml:space="preserve"> </w:t>
      </w:r>
      <w:r w:rsidRPr="002D7D62" w:rsidR="00B7703E">
        <w:rPr>
          <w:sz w:val="24"/>
          <w:lang w:val="fi-FI"/>
        </w:rPr>
        <w:tab/>
      </w:r>
      <w:r w:rsidRPr="00B7703E">
        <w:rPr>
          <w:sz w:val="24"/>
          <w:lang w:val="el-GR"/>
        </w:rPr>
        <w:t>ΕΕ</w:t>
      </w:r>
      <w:r w:rsidRPr="002D7D62">
        <w:rPr>
          <w:sz w:val="24"/>
          <w:lang w:val="fi-FI"/>
        </w:rPr>
        <w:t xml:space="preserve"> C, C/2026/1708, 24.4.2026, ELI: </w:t>
      </w:r>
      <w:hyperlink r:id="rId9" w:history="1">
        <w:r w:rsidRPr="002D7D62">
          <w:rPr>
            <w:rStyle w:val="Hyperlink"/>
            <w:sz w:val="24"/>
            <w:lang w:val="fi-FI"/>
          </w:rPr>
          <w:t>http://data.europa.eu/eli/C/2026/1708/oj</w:t>
        </w:r>
      </w:hyperlink>
      <w:r w:rsidRPr="002D7D62">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03E" w14:paraId="15EE547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03E" w14:paraId="62F2D36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03E" w14:paraId="6B37D59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3306C0F"/>
    <w:multiLevelType w:val="hybridMultilevel"/>
    <w:tmpl w:val="B01A8A5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7B85512"/>
    <w:multiLevelType w:val="hybridMultilevel"/>
    <w:tmpl w:val="EF869C88"/>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989988028">
    <w:abstractNumId w:val="9"/>
  </w:num>
  <w:num w:numId="2" w16cid:durableId="1896159033">
    <w:abstractNumId w:val="9"/>
  </w:num>
  <w:num w:numId="3" w16cid:durableId="2070642419">
    <w:abstractNumId w:val="7"/>
  </w:num>
  <w:num w:numId="4" w16cid:durableId="206915307">
    <w:abstractNumId w:val="7"/>
  </w:num>
  <w:num w:numId="5" w16cid:durableId="1565528730">
    <w:abstractNumId w:val="6"/>
  </w:num>
  <w:num w:numId="6" w16cid:durableId="1337924306">
    <w:abstractNumId w:val="6"/>
  </w:num>
  <w:num w:numId="7" w16cid:durableId="989016379">
    <w:abstractNumId w:val="5"/>
  </w:num>
  <w:num w:numId="8" w16cid:durableId="1364329162">
    <w:abstractNumId w:val="5"/>
  </w:num>
  <w:num w:numId="9" w16cid:durableId="1360547479">
    <w:abstractNumId w:val="4"/>
  </w:num>
  <w:num w:numId="10" w16cid:durableId="1663267574">
    <w:abstractNumId w:val="4"/>
  </w:num>
  <w:num w:numId="11" w16cid:durableId="1719621853">
    <w:abstractNumId w:val="8"/>
  </w:num>
  <w:num w:numId="12" w16cid:durableId="468517535">
    <w:abstractNumId w:val="8"/>
  </w:num>
  <w:num w:numId="13" w16cid:durableId="1857650221">
    <w:abstractNumId w:val="3"/>
  </w:num>
  <w:num w:numId="14" w16cid:durableId="807478272">
    <w:abstractNumId w:val="3"/>
  </w:num>
  <w:num w:numId="15" w16cid:durableId="321011488">
    <w:abstractNumId w:val="2"/>
  </w:num>
  <w:num w:numId="16" w16cid:durableId="1414814057">
    <w:abstractNumId w:val="2"/>
  </w:num>
  <w:num w:numId="17" w16cid:durableId="324744646">
    <w:abstractNumId w:val="1"/>
  </w:num>
  <w:num w:numId="18" w16cid:durableId="1402024079">
    <w:abstractNumId w:val="1"/>
  </w:num>
  <w:num w:numId="19" w16cid:durableId="672076992">
    <w:abstractNumId w:val="0"/>
  </w:num>
  <w:num w:numId="20" w16cid:durableId="888490651">
    <w:abstractNumId w:val="0"/>
  </w:num>
  <w:num w:numId="21" w16cid:durableId="1497959493">
    <w:abstractNumId w:val="9"/>
  </w:num>
  <w:num w:numId="22" w16cid:durableId="1239943331">
    <w:abstractNumId w:val="7"/>
  </w:num>
  <w:num w:numId="23" w16cid:durableId="1287657748">
    <w:abstractNumId w:val="6"/>
  </w:num>
  <w:num w:numId="24" w16cid:durableId="1944533732">
    <w:abstractNumId w:val="5"/>
  </w:num>
  <w:num w:numId="25" w16cid:durableId="773476741">
    <w:abstractNumId w:val="4"/>
  </w:num>
  <w:num w:numId="26" w16cid:durableId="1105269825">
    <w:abstractNumId w:val="8"/>
  </w:num>
  <w:num w:numId="27" w16cid:durableId="7369571">
    <w:abstractNumId w:val="3"/>
  </w:num>
  <w:num w:numId="28" w16cid:durableId="333074685">
    <w:abstractNumId w:val="2"/>
  </w:num>
  <w:num w:numId="29" w16cid:durableId="296647440">
    <w:abstractNumId w:val="1"/>
  </w:num>
  <w:num w:numId="30" w16cid:durableId="462692730">
    <w:abstractNumId w:val="0"/>
  </w:num>
  <w:num w:numId="31" w16cid:durableId="1313875736">
    <w:abstractNumId w:val="9"/>
  </w:num>
  <w:num w:numId="32" w16cid:durableId="2039355177">
    <w:abstractNumId w:val="7"/>
  </w:num>
  <w:num w:numId="33" w16cid:durableId="520750001">
    <w:abstractNumId w:val="6"/>
  </w:num>
  <w:num w:numId="34" w16cid:durableId="242836040">
    <w:abstractNumId w:val="5"/>
  </w:num>
  <w:num w:numId="35" w16cid:durableId="1265768606">
    <w:abstractNumId w:val="4"/>
  </w:num>
  <w:num w:numId="36" w16cid:durableId="1293556678">
    <w:abstractNumId w:val="8"/>
  </w:num>
  <w:num w:numId="37" w16cid:durableId="1671444664">
    <w:abstractNumId w:val="3"/>
  </w:num>
  <w:num w:numId="38" w16cid:durableId="1185906199">
    <w:abstractNumId w:val="2"/>
  </w:num>
  <w:num w:numId="39" w16cid:durableId="693388232">
    <w:abstractNumId w:val="1"/>
  </w:num>
  <w:num w:numId="40" w16cid:durableId="947393112">
    <w:abstractNumId w:val="0"/>
  </w:num>
  <w:num w:numId="41" w16cid:durableId="1300840951">
    <w:abstractNumId w:val="10"/>
  </w:num>
  <w:num w:numId="42" w16cid:durableId="1809742940">
    <w:abstractNumId w:val="10"/>
  </w:num>
  <w:num w:numId="43" w16cid:durableId="753161912">
    <w:abstractNumId w:val="10"/>
  </w:num>
  <w:num w:numId="44" w16cid:durableId="437797840">
    <w:abstractNumId w:val="12"/>
  </w:num>
  <w:num w:numId="45" w16cid:durableId="1422294005">
    <w:abstractNumId w:val="11"/>
  </w:num>
  <w:num w:numId="46" w16cid:durableId="1625548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024"/>
    <w:rsid w:val="00002272"/>
    <w:rsid w:val="00043E5F"/>
    <w:rsid w:val="00064002"/>
    <w:rsid w:val="000677B9"/>
    <w:rsid w:val="000831BA"/>
    <w:rsid w:val="000A42CC"/>
    <w:rsid w:val="000E7DD9"/>
    <w:rsid w:val="0010095E"/>
    <w:rsid w:val="00125B37"/>
    <w:rsid w:val="00182E0D"/>
    <w:rsid w:val="00187494"/>
    <w:rsid w:val="001F32AE"/>
    <w:rsid w:val="002767FF"/>
    <w:rsid w:val="002B18FE"/>
    <w:rsid w:val="002B5493"/>
    <w:rsid w:val="002D7D62"/>
    <w:rsid w:val="00343214"/>
    <w:rsid w:val="00361C00"/>
    <w:rsid w:val="00395D2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938"/>
    <w:rsid w:val="00560270"/>
    <w:rsid w:val="005C2568"/>
    <w:rsid w:val="005E48D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6B7"/>
    <w:rsid w:val="00865F67"/>
    <w:rsid w:val="00881A7B"/>
    <w:rsid w:val="008840E5"/>
    <w:rsid w:val="00887B3E"/>
    <w:rsid w:val="008B22D4"/>
    <w:rsid w:val="008C2AC6"/>
    <w:rsid w:val="00930024"/>
    <w:rsid w:val="00930C23"/>
    <w:rsid w:val="0093193B"/>
    <w:rsid w:val="009509D8"/>
    <w:rsid w:val="00950B64"/>
    <w:rsid w:val="00981893"/>
    <w:rsid w:val="00A064D1"/>
    <w:rsid w:val="00A1687D"/>
    <w:rsid w:val="00A43E52"/>
    <w:rsid w:val="00A4678D"/>
    <w:rsid w:val="00A778C7"/>
    <w:rsid w:val="00AB441E"/>
    <w:rsid w:val="00AB6293"/>
    <w:rsid w:val="00AE0928"/>
    <w:rsid w:val="00AF3B82"/>
    <w:rsid w:val="00B12E95"/>
    <w:rsid w:val="00B22876"/>
    <w:rsid w:val="00B558F0"/>
    <w:rsid w:val="00B7703E"/>
    <w:rsid w:val="00BB53B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82D"/>
    <w:rsid w:val="00F5134D"/>
    <w:rsid w:val="00F74202"/>
    <w:rsid w:val="00F87713"/>
    <w:rsid w:val="00FB4360"/>
    <w:rsid w:val="00FD0C70"/>
  </w:rsids>
  <w:docVars>
    <w:docVar w:name="dvdocse" w:val="B10-0206/2026"/>
    <w:docVar w:name="dvlangue" w:val="EL"/>
    <w:docVar w:name="dvnumam" w:val="0"/>
    <w:docVar w:name="dvpe" w:val="783.241"/>
    <w:docVar w:name="dvtitre" w:val="Ψήφισμα του Ευρωπαϊκού Κοινοβουλίου της ... 2026 σχετικά με την ανάγκη για στοχευμένες ποινικές διατάξεις και την ευθύνη των πλατφορμών για την αποτελεσματική αντιμετώπιση του κυβερνοεκφοβισμού και της διαδικτυακής παρενόχλησης(2026/2693(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68FE785"/>
  <w15:chartTrackingRefBased/>
  <w15:docId w15:val="{642932ED-DFAE-42C3-A7FA-BAAE28732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B22D4"/>
    <w:pPr>
      <w:spacing w:after="240"/>
      <w:ind w:left="567" w:hanging="567"/>
    </w:pPr>
  </w:style>
  <w:style w:type="paragraph" w:customStyle="1" w:styleId="EPComma">
    <w:name w:val="EPComma"/>
    <w:basedOn w:val="Normal"/>
    <w:rsid w:val="008B22D4"/>
    <w:pPr>
      <w:spacing w:before="480" w:after="240"/>
    </w:pPr>
  </w:style>
  <w:style w:type="character" w:customStyle="1" w:styleId="NormalHanging12aChar">
    <w:name w:val="NormalHanging12a Char"/>
    <w:basedOn w:val="DefaultParagraphFont"/>
    <w:link w:val="NormalHanging12a"/>
    <w:rsid w:val="008B22D4"/>
    <w:rPr>
      <w:sz w:val="24"/>
      <w:lang w:val="el-GR"/>
    </w:rPr>
  </w:style>
  <w:style w:type="character" w:styleId="CommentReference">
    <w:name w:val="annotation reference"/>
    <w:rsid w:val="008B22D4"/>
    <w:rPr>
      <w:sz w:val="16"/>
      <w:szCs w:val="16"/>
    </w:rPr>
  </w:style>
  <w:style w:type="character" w:styleId="Hyperlink">
    <w:name w:val="Hyperlink"/>
    <w:basedOn w:val="DefaultParagraphFont"/>
    <w:unhideWhenUsed/>
    <w:rsid w:val="008B22D4"/>
    <w:rPr>
      <w:color w:val="0563C1" w:themeColor="hyperlink"/>
      <w:u w:val="single"/>
    </w:rPr>
  </w:style>
  <w:style w:type="paragraph" w:styleId="Revision">
    <w:name w:val="Revision"/>
    <w:hidden/>
    <w:uiPriority w:val="99"/>
    <w:semiHidden/>
    <w:rsid w:val="00A064D1"/>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1/93/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8/1808/oj" TargetMode="External" /><Relationship Id="rId4" Type="http://schemas.openxmlformats.org/officeDocument/2006/relationships/hyperlink" Target="http://data.europa.eu/eli/dir/2024/1385/oj" TargetMode="External" /><Relationship Id="rId5" Type="http://schemas.openxmlformats.org/officeDocument/2006/relationships/hyperlink" Target="http://data.europa.eu/eli/reg/2022/2065/oj" TargetMode="External" /><Relationship Id="rId6" Type="http://schemas.openxmlformats.org/officeDocument/2006/relationships/hyperlink" Target="http://data.europa.eu/eli/reg/2024/1689/oj" TargetMode="External" /><Relationship Id="rId7" Type="http://schemas.openxmlformats.org/officeDocument/2006/relationships/hyperlink" Target="http://data.europa.eu/eli/C/2025/5519/oj" TargetMode="External" /><Relationship Id="rId8" Type="http://schemas.openxmlformats.org/officeDocument/2006/relationships/hyperlink" Target="http://data.europa.eu/eli/C/2024/5733/oj" TargetMode="External" /><Relationship Id="rId9" Type="http://schemas.openxmlformats.org/officeDocument/2006/relationships/hyperlink" Target="http://data.europa.eu/eli/C/2026/170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2691</Words>
  <Characters>16619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2026-06-04T12:51:00Z</dcterms:created>
  <dcterms:modified xsi:type="dcterms:W3CDTF">2026-09-21T13:18:00Z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B10-0206/2026</vt:lpwstr>
  </property>
  <property fmtid="{D5CDD505-2E9C-101B-9397-08002B2CF9AE}" pid="4" name="&lt;Type&gt;">
    <vt:lpwstr>RR</vt:lpwstr>
  </property>
</Properties>
</file>