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E453E" w14:paraId="138FF467" w14:textId="77777777" w:rsidTr="0010095E">
        <w:trPr>
          <w:trHeight w:hRule="exact" w:val="1418"/>
        </w:trPr>
        <w:tc>
          <w:tcPr>
            <w:tcW w:w="6804" w:type="dxa"/>
            <w:shd w:val="clear" w:color="auto" w:fill="auto"/>
            <w:vAlign w:val="center"/>
          </w:tcPr>
          <w:p w14:paraId="57A9CF46" w14:textId="77777777" w:rsidR="00751A4A" w:rsidRPr="00EE453E" w:rsidRDefault="00B36E8F" w:rsidP="0010095E">
            <w:pPr>
              <w:pStyle w:val="EPName"/>
            </w:pPr>
            <w:r w:rsidRPr="00EE453E">
              <w:t>Parlamentul European</w:t>
            </w:r>
          </w:p>
          <w:p w14:paraId="2881991B" w14:textId="77777777" w:rsidR="00751A4A" w:rsidRPr="00EE453E" w:rsidRDefault="005F1B17" w:rsidP="005F1B17">
            <w:pPr>
              <w:pStyle w:val="EPTerm"/>
              <w:rPr>
                <w:rStyle w:val="HideTWBExt"/>
                <w:noProof w:val="0"/>
                <w:vanish w:val="0"/>
                <w:color w:val="auto"/>
              </w:rPr>
            </w:pPr>
            <w:r w:rsidRPr="00EE453E">
              <w:t>2024</w:t>
            </w:r>
            <w:r w:rsidR="00817416" w:rsidRPr="00EE453E">
              <w:t>-202</w:t>
            </w:r>
            <w:r w:rsidRPr="00EE453E">
              <w:t>9</w:t>
            </w:r>
          </w:p>
        </w:tc>
        <w:tc>
          <w:tcPr>
            <w:tcW w:w="2268" w:type="dxa"/>
            <w:shd w:val="clear" w:color="auto" w:fill="auto"/>
          </w:tcPr>
          <w:p w14:paraId="0EDB7123" w14:textId="77777777" w:rsidR="00751A4A" w:rsidRPr="00EE453E" w:rsidRDefault="00187494" w:rsidP="0010095E">
            <w:pPr>
              <w:pStyle w:val="EPLogo"/>
            </w:pPr>
            <w:r w:rsidRPr="00EE453E">
              <w:rPr>
                <w:noProof/>
                <w:lang w:eastAsia="ja-JP"/>
              </w:rPr>
              <w:drawing>
                <wp:inline distT="0" distB="0" distL="0" distR="0" wp14:anchorId="7B5FEA3B" wp14:editId="29A9DD0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9FDF19" w14:textId="77777777" w:rsidR="00D058B8" w:rsidRPr="00EE453E" w:rsidRDefault="00D058B8" w:rsidP="004C5D52">
      <w:pPr>
        <w:pStyle w:val="LineTop"/>
      </w:pPr>
    </w:p>
    <w:p w14:paraId="543E8717" w14:textId="77777777" w:rsidR="00680577" w:rsidRPr="00EE453E" w:rsidRDefault="00B36E8F" w:rsidP="00680577">
      <w:pPr>
        <w:pStyle w:val="EPBodyTA1"/>
      </w:pPr>
      <w:r w:rsidRPr="00EE453E">
        <w:t>TEXTE ADOPTATE</w:t>
      </w:r>
    </w:p>
    <w:p w14:paraId="7DD1625B" w14:textId="77777777" w:rsidR="00D058B8" w:rsidRPr="00EE453E" w:rsidRDefault="00D058B8" w:rsidP="00D058B8">
      <w:pPr>
        <w:pStyle w:val="LineBottom"/>
      </w:pPr>
    </w:p>
    <w:p w14:paraId="64B73790" w14:textId="1EFA44D7" w:rsidR="00B36E8F" w:rsidRPr="00EE453E" w:rsidRDefault="00B36E8F" w:rsidP="00B36E8F">
      <w:pPr>
        <w:pStyle w:val="ATHeading1"/>
      </w:pPr>
      <w:bookmarkStart w:id="0" w:name="TANumber"/>
      <w:r w:rsidRPr="00EE453E">
        <w:t>P10_TA(2026)0</w:t>
      </w:r>
      <w:bookmarkEnd w:id="0"/>
      <w:r w:rsidR="00EE453E" w:rsidRPr="00EE453E">
        <w:t>163</w:t>
      </w:r>
    </w:p>
    <w:p w14:paraId="63DB8EEA" w14:textId="77777777" w:rsidR="00B36E8F" w:rsidRPr="00EE453E" w:rsidRDefault="00B36E8F" w:rsidP="00B36E8F">
      <w:pPr>
        <w:pStyle w:val="ATHeading2"/>
      </w:pPr>
      <w:bookmarkStart w:id="1" w:name="title"/>
      <w:r w:rsidRPr="00EE453E">
        <w:t>Necesitatea unor dispoziții penale specifice și responsabilitatea platformelor de a trata în mod eficace hărțuirea cibernetică și hărțuirea online</w:t>
      </w:r>
      <w:bookmarkEnd w:id="1"/>
    </w:p>
    <w:p w14:paraId="79068DA8" w14:textId="2FF64063" w:rsidR="00B36E8F" w:rsidRPr="00EE453E" w:rsidRDefault="00B36E8F" w:rsidP="00B36E8F">
      <w:pPr>
        <w:rPr>
          <w:i/>
          <w:vanish/>
        </w:rPr>
      </w:pPr>
      <w:r w:rsidRPr="00EE453E">
        <w:rPr>
          <w:i/>
        </w:rPr>
        <w:fldChar w:fldCharType="begin"/>
      </w:r>
      <w:r w:rsidRPr="00EE453E">
        <w:rPr>
          <w:i/>
        </w:rPr>
        <w:instrText xml:space="preserve"> TC"(</w:instrText>
      </w:r>
      <w:bookmarkStart w:id="2" w:name="DocNumber"/>
      <w:r w:rsidRPr="00EE453E">
        <w:rPr>
          <w:i/>
        </w:rPr>
        <w:instrText>B10-0206</w:instrText>
      </w:r>
      <w:r w:rsidR="006302B9" w:rsidRPr="00EE453E">
        <w:rPr>
          <w:i/>
        </w:rPr>
        <w:instrText>, 0213 și 0235</w:instrText>
      </w:r>
      <w:r w:rsidRPr="00EE453E">
        <w:rPr>
          <w:i/>
        </w:rPr>
        <w:instrText>/2026</w:instrText>
      </w:r>
      <w:bookmarkEnd w:id="2"/>
      <w:r w:rsidRPr="00EE453E">
        <w:rPr>
          <w:i/>
        </w:rPr>
        <w:instrText xml:space="preserve">)"\l3 \n&gt; \* MERGEFORMAT </w:instrText>
      </w:r>
      <w:r w:rsidRPr="00EE453E">
        <w:rPr>
          <w:i/>
        </w:rPr>
        <w:fldChar w:fldCharType="end"/>
      </w:r>
    </w:p>
    <w:p w14:paraId="0B756065" w14:textId="77777777" w:rsidR="00B36E8F" w:rsidRPr="00EE453E" w:rsidRDefault="00B36E8F" w:rsidP="00B36E8F">
      <w:pPr>
        <w:rPr>
          <w:vanish/>
        </w:rPr>
      </w:pPr>
      <w:bookmarkStart w:id="3" w:name="PE"/>
      <w:r w:rsidRPr="00EE453E">
        <w:rPr>
          <w:vanish/>
        </w:rPr>
        <w:t>PE783.241</w:t>
      </w:r>
      <w:bookmarkEnd w:id="3"/>
    </w:p>
    <w:p w14:paraId="30FFA7A2" w14:textId="77777777" w:rsidR="00B36E8F" w:rsidRPr="00EE453E" w:rsidRDefault="00B36E8F" w:rsidP="00B36E8F">
      <w:pPr>
        <w:pStyle w:val="ATHeading3"/>
      </w:pPr>
      <w:bookmarkStart w:id="4" w:name="Sujet"/>
      <w:r w:rsidRPr="00EE453E">
        <w:t>Rezoluția Parlamentului European din 30 aprilie 2026 referitoare la necesitatea unor dispoziții penale specifice și responsabilitatea platformelor de a trata în mod eficace hărțuirea cibernetică și hărțuirea online</w:t>
      </w:r>
      <w:bookmarkEnd w:id="4"/>
      <w:r w:rsidRPr="00EE453E">
        <w:t xml:space="preserve"> </w:t>
      </w:r>
      <w:bookmarkStart w:id="5" w:name="References"/>
      <w:r w:rsidRPr="00EE453E">
        <w:t>(2026/2693(RSP))</w:t>
      </w:r>
      <w:bookmarkEnd w:id="5"/>
    </w:p>
    <w:p w14:paraId="55FC0DB8" w14:textId="77777777" w:rsidR="009156B5" w:rsidRPr="00EE453E" w:rsidRDefault="009156B5" w:rsidP="009156B5">
      <w:pPr>
        <w:pStyle w:val="EPComma"/>
      </w:pPr>
      <w:bookmarkStart w:id="6" w:name="TextBodyBegin"/>
      <w:bookmarkEnd w:id="6"/>
      <w:r w:rsidRPr="00EE453E">
        <w:rPr>
          <w:i/>
        </w:rPr>
        <w:t>Parlamentul European</w:t>
      </w:r>
      <w:r w:rsidRPr="00EE453E">
        <w:t>,</w:t>
      </w:r>
    </w:p>
    <w:p w14:paraId="41A7378E" w14:textId="77777777" w:rsidR="009156B5" w:rsidRPr="00EE453E" w:rsidRDefault="009156B5" w:rsidP="009156B5">
      <w:pPr>
        <w:pStyle w:val="NormalHanging12a"/>
      </w:pPr>
      <w:bookmarkStart w:id="7" w:name="_Hlk228352863"/>
      <w:r w:rsidRPr="00EE453E">
        <w:t>–</w:t>
      </w:r>
      <w:r w:rsidRPr="00EE453E">
        <w:tab/>
        <w:t>având în vedere Carta drepturilor fundamentale a Uniunii Europene, în special articolele privind demnitatea umană, dreptul la viață, libertatea de exprimare, drepturile copilului, drepturile victimelor, confidențialitatea comunicațiilor și protecția datelor cu caracter personal,</w:t>
      </w:r>
    </w:p>
    <w:p w14:paraId="470B0D5D" w14:textId="77777777" w:rsidR="009156B5" w:rsidRPr="00EE453E" w:rsidRDefault="009156B5" w:rsidP="009156B5">
      <w:pPr>
        <w:pStyle w:val="NormalHanging12a"/>
      </w:pPr>
      <w:r w:rsidRPr="00EE453E">
        <w:t>–</w:t>
      </w:r>
      <w:r w:rsidRPr="00EE453E">
        <w:tab/>
        <w:t>având în vedere Convenția Organizației Națiunilor Unite cu privire la drepturile copilului,</w:t>
      </w:r>
    </w:p>
    <w:p w14:paraId="0E0C8D44" w14:textId="77777777" w:rsidR="009156B5" w:rsidRPr="00EE453E" w:rsidRDefault="009156B5" w:rsidP="009156B5">
      <w:pPr>
        <w:pStyle w:val="NormalHanging12a"/>
      </w:pPr>
      <w:r w:rsidRPr="00EE453E">
        <w:t>–</w:t>
      </w:r>
      <w:r w:rsidRPr="00EE453E">
        <w:tab/>
        <w:t>având în vedere articolul 83 alineatele (1) și (2) din Tratatul privind funcționarea Uniunii Europene (TFUE),</w:t>
      </w:r>
    </w:p>
    <w:p w14:paraId="12943370" w14:textId="77777777" w:rsidR="009156B5" w:rsidRPr="00EE453E" w:rsidRDefault="009156B5" w:rsidP="009156B5">
      <w:pPr>
        <w:pStyle w:val="NormalHanging12a"/>
      </w:pPr>
      <w:r w:rsidRPr="00EE453E">
        <w:t>–</w:t>
      </w:r>
      <w:r w:rsidRPr="00EE453E">
        <w:tab/>
        <w:t>având în vedere Directiva 2011/93/UE a Parlamentului European și a Consiliului din 13 decembrie 2011 privind combaterea abuzului sexual asupra copiilor, a exploatării sexuale a copiilor și a pornografiei infantile și de înlocuire a Deciziei-cadru 2004/68/JAI a Consiliului</w:t>
      </w:r>
      <w:r w:rsidRPr="00EE453E">
        <w:rPr>
          <w:rStyle w:val="FootnoteReference"/>
        </w:rPr>
        <w:footnoteReference w:id="1"/>
      </w:r>
      <w:r w:rsidRPr="00EE453E">
        <w:t>,</w:t>
      </w:r>
    </w:p>
    <w:p w14:paraId="5A85F8F9" w14:textId="77777777" w:rsidR="009156B5" w:rsidRPr="00EE453E" w:rsidRDefault="009156B5" w:rsidP="009156B5">
      <w:pPr>
        <w:pStyle w:val="NormalHanging12a"/>
      </w:pPr>
      <w:r w:rsidRPr="00EE453E">
        <w:t>–</w:t>
      </w:r>
      <w:r w:rsidRPr="00EE453E">
        <w:tab/>
        <w:t>având în vedere Directiva 2012/29/UE din 25 octombrie 2012 a Parlamentului European și a Consiliului de stabilire a unor norme minime privind drepturile, sprijinirea și protecția victimelor criminalității și de înlocuire a Deciziei-cadru 2001/220/JAI a Consiliului</w:t>
      </w:r>
      <w:r w:rsidRPr="00EE453E">
        <w:rPr>
          <w:rStyle w:val="FootnoteReference"/>
        </w:rPr>
        <w:footnoteReference w:id="2"/>
      </w:r>
      <w:r w:rsidRPr="00EE453E">
        <w:t xml:space="preserve"> („Directiva privind drepturile victimelor”),</w:t>
      </w:r>
    </w:p>
    <w:p w14:paraId="60AD4584" w14:textId="77777777" w:rsidR="009156B5" w:rsidRPr="00EE453E" w:rsidRDefault="009156B5" w:rsidP="009156B5">
      <w:pPr>
        <w:pStyle w:val="NormalHanging12a"/>
      </w:pPr>
      <w:r w:rsidRPr="00EE453E">
        <w:t>–</w:t>
      </w:r>
      <w:r w:rsidRPr="00EE453E">
        <w:tab/>
        <w:t xml:space="preserve">având în vedere Directiva (UE) 2018/1808 a Parlamentului European și a Consiliului din 14 noiembrie 2018 de modificare a Directivei 2010/13/UE privind coordonarea anumitor dispoziții stabilite prin acte cu putere de lege sau acte administrative în cadrul statelor membre cu privire la furnizarea de servicii mass-media audiovizuale (Directiva </w:t>
      </w:r>
      <w:r w:rsidRPr="00EE453E">
        <w:lastRenderedPageBreak/>
        <w:t>serviciilor mass-media audiovizuale) având în vedere evoluția realităților pieței</w:t>
      </w:r>
      <w:r w:rsidRPr="00EE453E">
        <w:rPr>
          <w:rStyle w:val="FootnoteReference"/>
        </w:rPr>
        <w:footnoteReference w:id="3"/>
      </w:r>
      <w:r w:rsidRPr="00EE453E">
        <w:t>,</w:t>
      </w:r>
    </w:p>
    <w:p w14:paraId="7250C9B8" w14:textId="77777777" w:rsidR="009156B5" w:rsidRPr="00EE453E" w:rsidRDefault="009156B5" w:rsidP="009156B5">
      <w:pPr>
        <w:pStyle w:val="NormalHanging12a"/>
      </w:pPr>
      <w:r w:rsidRPr="00EE453E">
        <w:t>–</w:t>
      </w:r>
      <w:r w:rsidRPr="00EE453E">
        <w:tab/>
        <w:t>având în vedere Directiva (UE) 2024/1385 a Parlamentului European și a Consiliului din 14 mai 2024 privind combaterea violenței împotriva femeilor și a violenței domestice</w:t>
      </w:r>
      <w:r w:rsidRPr="00EE453E">
        <w:rPr>
          <w:rStyle w:val="FootnoteReference"/>
        </w:rPr>
        <w:footnoteReference w:id="4"/>
      </w:r>
      <w:r w:rsidRPr="00EE453E">
        <w:t>,</w:t>
      </w:r>
    </w:p>
    <w:p w14:paraId="20577FD9" w14:textId="77777777" w:rsidR="009156B5" w:rsidRPr="00EE453E" w:rsidRDefault="009156B5" w:rsidP="009156B5">
      <w:pPr>
        <w:pStyle w:val="NormalHanging12a"/>
      </w:pPr>
      <w:r w:rsidRPr="00EE453E">
        <w:t>–</w:t>
      </w:r>
      <w:r w:rsidRPr="00EE453E">
        <w:tab/>
        <w:t>având în vedere Regulamentul (UE) 2022/2065 al Parlamentului European și al Consiliului din 19 octombrie 2022 privind o piață unică pentru serviciile digitale și de modificare a Directivei 2000/31/CE</w:t>
      </w:r>
      <w:r w:rsidRPr="00EE453E">
        <w:rPr>
          <w:rStyle w:val="FootnoteReference"/>
        </w:rPr>
        <w:footnoteReference w:id="5"/>
      </w:r>
      <w:r w:rsidRPr="00EE453E">
        <w:t>,</w:t>
      </w:r>
    </w:p>
    <w:p w14:paraId="57D05FCD" w14:textId="77777777" w:rsidR="009156B5" w:rsidRPr="00EE453E" w:rsidRDefault="009156B5" w:rsidP="009156B5">
      <w:pPr>
        <w:pStyle w:val="NormalHanging12a"/>
      </w:pPr>
      <w:r w:rsidRPr="00EE453E">
        <w:t>–</w:t>
      </w:r>
      <w:r w:rsidRPr="00EE453E">
        <w:tab/>
        <w:t>având în vedere Regulamentul (UE) 2024/1689 al Parlamentului European și al Consiliului din 13 iunie 2024 de stabilire a unor norme armonizate privind inteligența artificială și de modificare a Regulamentelor (CE) nr. 300/2008, (UE) nr. 167/2013, (UE) nr. 168/2013, (UE) 2018/858, (UE) 2018/1139 și (UE) 2019/2144 și a Directivelor 2014/90/UE, (UE) 2016/797 și (UE) 2020/1828 (Regulamentul privind inteligența artificială)</w:t>
      </w:r>
      <w:r w:rsidRPr="00EE453E">
        <w:rPr>
          <w:rStyle w:val="FootnoteReference"/>
        </w:rPr>
        <w:footnoteReference w:id="6"/>
      </w:r>
      <w:r w:rsidRPr="00EE453E">
        <w:t>,</w:t>
      </w:r>
    </w:p>
    <w:p w14:paraId="6FF82F9C" w14:textId="77777777" w:rsidR="009156B5" w:rsidRPr="00EE453E" w:rsidRDefault="009156B5" w:rsidP="009156B5">
      <w:pPr>
        <w:pStyle w:val="NormalHanging12a"/>
      </w:pPr>
      <w:r w:rsidRPr="00EE453E">
        <w:t>–</w:t>
      </w:r>
      <w:r w:rsidRPr="00EE453E">
        <w:tab/>
        <w:t>având în vedere orientările Comisiei din 10 octombrie 2025 privind măsurile de asigurare a unui nivel ridicat de confidențialitate, siguranță și securitate pentru minori în mediul online, în temeiul articolului 28 alineatul (4) din Regulamentul (UE) 2022/2065</w:t>
      </w:r>
      <w:r w:rsidRPr="00EE453E">
        <w:rPr>
          <w:rStyle w:val="FootnoteReference"/>
        </w:rPr>
        <w:footnoteReference w:id="7"/>
      </w:r>
      <w:r w:rsidRPr="00EE453E">
        <w:t>,</w:t>
      </w:r>
    </w:p>
    <w:p w14:paraId="1F476258" w14:textId="77777777" w:rsidR="009156B5" w:rsidRPr="00EE453E" w:rsidRDefault="009156B5" w:rsidP="009156B5">
      <w:pPr>
        <w:pStyle w:val="NormalHanging12a"/>
      </w:pPr>
      <w:r w:rsidRPr="00EE453E">
        <w:t>–</w:t>
      </w:r>
      <w:r w:rsidRPr="00EE453E">
        <w:tab/>
        <w:t>având în vedere comunicarea Comisiei din 10 februarie 2026 intitulată „Plan de acțiune împotriva hărțuirii cibernetice „Un mediu online mai sigur – împreună suntem mai puternici” (COM(2026)0071),</w:t>
      </w:r>
    </w:p>
    <w:p w14:paraId="10948863" w14:textId="77777777" w:rsidR="009156B5" w:rsidRPr="00EE453E" w:rsidRDefault="009156B5" w:rsidP="009156B5">
      <w:pPr>
        <w:pStyle w:val="NormalHanging12a"/>
      </w:pPr>
      <w:r w:rsidRPr="00EE453E">
        <w:t>–</w:t>
      </w:r>
      <w:r w:rsidRPr="00EE453E">
        <w:tab/>
        <w:t>având în vedere raportul Comisiei din 25 noiembrie 2025 intitulat „</w:t>
      </w:r>
      <w:proofErr w:type="spellStart"/>
      <w:r w:rsidRPr="00EE453E">
        <w:t>Cyberbullying</w:t>
      </w:r>
      <w:proofErr w:type="spellEnd"/>
      <w:r w:rsidRPr="00EE453E">
        <w:t xml:space="preserve">: </w:t>
      </w:r>
      <w:proofErr w:type="spellStart"/>
      <w:r w:rsidRPr="00EE453E">
        <w:t>Insights</w:t>
      </w:r>
      <w:proofErr w:type="spellEnd"/>
      <w:r w:rsidRPr="00EE453E">
        <w:t xml:space="preserve"> </w:t>
      </w:r>
      <w:proofErr w:type="spellStart"/>
      <w:r w:rsidRPr="00EE453E">
        <w:t>from</w:t>
      </w:r>
      <w:proofErr w:type="spellEnd"/>
      <w:r w:rsidRPr="00EE453E">
        <w:t xml:space="preserve"> </w:t>
      </w:r>
      <w:proofErr w:type="spellStart"/>
      <w:r w:rsidRPr="00EE453E">
        <w:t>science</w:t>
      </w:r>
      <w:proofErr w:type="spellEnd"/>
      <w:r w:rsidRPr="00EE453E">
        <w:t xml:space="preserve">, </w:t>
      </w:r>
      <w:proofErr w:type="spellStart"/>
      <w:r w:rsidRPr="00EE453E">
        <w:t>policy</w:t>
      </w:r>
      <w:proofErr w:type="spellEnd"/>
      <w:r w:rsidRPr="00EE453E">
        <w:t xml:space="preserve"> </w:t>
      </w:r>
      <w:proofErr w:type="spellStart"/>
      <w:r w:rsidRPr="00EE453E">
        <w:t>and</w:t>
      </w:r>
      <w:proofErr w:type="spellEnd"/>
      <w:r w:rsidRPr="00EE453E">
        <w:t xml:space="preserve"> </w:t>
      </w:r>
      <w:proofErr w:type="spellStart"/>
      <w:r w:rsidRPr="00EE453E">
        <w:t>legislation</w:t>
      </w:r>
      <w:proofErr w:type="spellEnd"/>
      <w:r w:rsidRPr="00EE453E">
        <w:t>” (Hărțuirea cibernetică: perspective din domeniul științei, politicii și dreptului),</w:t>
      </w:r>
    </w:p>
    <w:p w14:paraId="2D40FD35" w14:textId="77777777" w:rsidR="009156B5" w:rsidRPr="00EE453E" w:rsidRDefault="009156B5" w:rsidP="009156B5">
      <w:pPr>
        <w:pStyle w:val="NormalHanging12a"/>
      </w:pPr>
      <w:r w:rsidRPr="00EE453E">
        <w:t>–</w:t>
      </w:r>
      <w:r w:rsidRPr="00EE453E">
        <w:tab/>
        <w:t>având în vedere comunicarea Comisiei din 11 mai 2022 intitulată „Un deceniu digital pentru copii și tineri: noua strategie europeană «Un internet mai bun pentru copii» (BIK+)” (COM(2022)0212),</w:t>
      </w:r>
    </w:p>
    <w:p w14:paraId="313E996B" w14:textId="77777777" w:rsidR="009156B5" w:rsidRPr="00EE453E" w:rsidRDefault="009156B5" w:rsidP="009156B5">
      <w:pPr>
        <w:pStyle w:val="NormalHanging12a"/>
      </w:pPr>
      <w:r w:rsidRPr="00EE453E">
        <w:t>–</w:t>
      </w:r>
      <w:r w:rsidRPr="00EE453E">
        <w:tab/>
        <w:t xml:space="preserve">având în vedere comunicarea Comisiei din 9 decembrie 2021 intitulată „O </w:t>
      </w:r>
      <w:proofErr w:type="spellStart"/>
      <w:r w:rsidRPr="00EE453E">
        <w:t>Europă</w:t>
      </w:r>
      <w:proofErr w:type="spellEnd"/>
      <w:r w:rsidRPr="00EE453E">
        <w:t xml:space="preserve"> mai favorabilă incluziunii și mai protectoare: includerea discursului de incitare la ură și a infracțiunilor motivate de ură în lista infracțiunilor incriminate de UE” (COM(2021)0777) și propunerea de decizie a Consiliului anexată la aceasta,</w:t>
      </w:r>
    </w:p>
    <w:p w14:paraId="49907C6E" w14:textId="77777777" w:rsidR="009156B5" w:rsidRPr="00EE453E" w:rsidRDefault="009156B5" w:rsidP="009156B5">
      <w:pPr>
        <w:pStyle w:val="NormalHanging12a"/>
      </w:pPr>
      <w:r w:rsidRPr="00EE453E">
        <w:t>–</w:t>
      </w:r>
      <w:r w:rsidRPr="00EE453E">
        <w:tab/>
        <w:t>având în vedere rezoluția sa din 18 ianuarie 2024 referitoare la includerea discursului de incitare la ură și a infracțiunilor motivate de ură în lista infracțiunilor incriminate de UE</w:t>
      </w:r>
      <w:r w:rsidRPr="00EE453E">
        <w:rPr>
          <w:rStyle w:val="FootnoteReference"/>
        </w:rPr>
        <w:footnoteReference w:id="8"/>
      </w:r>
      <w:r w:rsidRPr="00EE453E">
        <w:t>,</w:t>
      </w:r>
    </w:p>
    <w:p w14:paraId="47026AA4" w14:textId="77777777" w:rsidR="009156B5" w:rsidRPr="00EE453E" w:rsidRDefault="009156B5" w:rsidP="009156B5">
      <w:pPr>
        <w:pStyle w:val="NormalHanging12a"/>
      </w:pPr>
      <w:r w:rsidRPr="00EE453E">
        <w:t>–</w:t>
      </w:r>
      <w:r w:rsidRPr="00EE453E">
        <w:tab/>
        <w:t xml:space="preserve">având în vedere legislația națională împotriva hărțuirii cibernetice, inclusiv „Legea </w:t>
      </w:r>
      <w:proofErr w:type="spellStart"/>
      <w:r w:rsidRPr="00EE453E">
        <w:lastRenderedPageBreak/>
        <w:t>Coco</w:t>
      </w:r>
      <w:proofErr w:type="spellEnd"/>
      <w:r w:rsidRPr="00EE453E">
        <w:t>” din Irlanda,</w:t>
      </w:r>
    </w:p>
    <w:p w14:paraId="42C1F7E2" w14:textId="77777777" w:rsidR="009156B5" w:rsidRPr="00EE453E" w:rsidRDefault="009156B5" w:rsidP="009156B5">
      <w:pPr>
        <w:pStyle w:val="NormalHanging12a"/>
      </w:pPr>
      <w:r w:rsidRPr="00EE453E">
        <w:t>–</w:t>
      </w:r>
      <w:r w:rsidRPr="00EE453E">
        <w:tab/>
        <w:t xml:space="preserve">având în vedere discursul lui Jackie Fox, mama lui </w:t>
      </w:r>
      <w:proofErr w:type="spellStart"/>
      <w:r w:rsidRPr="00EE453E">
        <w:t>Coco</w:t>
      </w:r>
      <w:proofErr w:type="spellEnd"/>
      <w:r w:rsidRPr="00EE453E">
        <w:t xml:space="preserve"> Fox, pronunțat în Parlamentul European la 10 martie 2026, cu ocazia Zilei Internaționale a Femeii,</w:t>
      </w:r>
    </w:p>
    <w:p w14:paraId="264F7EEE" w14:textId="77777777" w:rsidR="009156B5" w:rsidRPr="00EE453E" w:rsidRDefault="009156B5" w:rsidP="009156B5">
      <w:pPr>
        <w:pStyle w:val="NormalHanging12a"/>
      </w:pPr>
      <w:r w:rsidRPr="00EE453E">
        <w:t>–</w:t>
      </w:r>
      <w:r w:rsidRPr="00EE453E">
        <w:tab/>
        <w:t>având în vedere Strategia Comisiei din 8 octombrie 2025 privind egalitatea pentru persoanele LGBTIQ+ 2026-2030 (COM(2025)0725),</w:t>
      </w:r>
    </w:p>
    <w:p w14:paraId="52C54488" w14:textId="77777777" w:rsidR="009156B5" w:rsidRPr="00EE453E" w:rsidRDefault="009156B5" w:rsidP="009156B5">
      <w:pPr>
        <w:pStyle w:val="NormalHanging12a"/>
      </w:pPr>
      <w:r w:rsidRPr="00EE453E">
        <w:t>–</w:t>
      </w:r>
      <w:r w:rsidRPr="00EE453E">
        <w:tab/>
        <w:t>având în vedere rezoluția sa din 26 noiembrie 2025 referitoare la protecția minorilor în mediul online</w:t>
      </w:r>
      <w:r w:rsidRPr="00EE453E">
        <w:rPr>
          <w:rStyle w:val="FootnoteReference"/>
        </w:rPr>
        <w:footnoteReference w:id="9"/>
      </w:r>
      <w:r w:rsidRPr="00EE453E">
        <w:t>,</w:t>
      </w:r>
    </w:p>
    <w:p w14:paraId="74E2E79A" w14:textId="77777777" w:rsidR="009156B5" w:rsidRPr="00EE453E" w:rsidRDefault="009156B5" w:rsidP="009156B5">
      <w:pPr>
        <w:pStyle w:val="NormalHanging12a"/>
      </w:pPr>
      <w:r w:rsidRPr="00EE453E">
        <w:t>–</w:t>
      </w:r>
      <w:r w:rsidRPr="00EE453E">
        <w:tab/>
        <w:t>având în vedere articolul 136 alineatele (2) și (4) din Regulamentul său de procedură,</w:t>
      </w:r>
    </w:p>
    <w:p w14:paraId="3FDBE2C0" w14:textId="77777777" w:rsidR="009156B5" w:rsidRPr="00EE453E" w:rsidRDefault="009156B5" w:rsidP="009156B5">
      <w:pPr>
        <w:pStyle w:val="NormalHanging12a"/>
      </w:pPr>
      <w:r w:rsidRPr="00EE453E">
        <w:t>A.</w:t>
      </w:r>
      <w:r w:rsidRPr="00EE453E">
        <w:tab/>
        <w:t>întrucât hărțuirea cibernetică se referă la comportamente manifestate prin intermediul tehnologiilor digitale al căror scop sau efect principal este de umilire, excludere socială, abuz, hărțuire sau vătămare repetată sau continuă a persoanelor, în special a copiilor sau a tinerilor;</w:t>
      </w:r>
    </w:p>
    <w:p w14:paraId="7196B77D" w14:textId="77777777" w:rsidR="009156B5" w:rsidRPr="00EE453E" w:rsidRDefault="009156B5" w:rsidP="009156B5">
      <w:pPr>
        <w:pStyle w:val="NormalHanging12a"/>
      </w:pPr>
      <w:r w:rsidRPr="00EE453E">
        <w:t>B.</w:t>
      </w:r>
      <w:r w:rsidRPr="00EE453E">
        <w:tab/>
        <w:t>întrucât hărțuirea cibernetică constituie o problemă tot mai mare, așa cum se recunoaște în planul de acțiune al Comisiei împotriva hărțuirii cibernetice; întrucât 18,3 % dintre copiii din întreaga lume au fost victime ale hărțuirii cibernetice prin mesaje electronice sau postări pe platformele de comunicare socială; întrucât, în Europa, aproximativ unul din șase copii cu vârsta cuprinsă între 11 și 15 ani declară că a fost victimă a hărțuirii cibernetice; întrucât, între 2018 și 2022, numărul adolescenților victime ale hărțuirii cibernetice a crescut cu un sfert în rândul băieților și cu aproape un sfert în rândul fetelor; întrucât, în ultimii cinci ani, hărțuirea cibernetică a fost în mod constant principalul motiv pentru contactarea liniilor de asistență telefonică ale centrelor pentru un internet mai sigur;</w:t>
      </w:r>
    </w:p>
    <w:p w14:paraId="3E0A2B26" w14:textId="77777777" w:rsidR="009156B5" w:rsidRPr="00EE453E" w:rsidRDefault="009156B5" w:rsidP="009156B5">
      <w:pPr>
        <w:pStyle w:val="NormalHanging12a"/>
      </w:pPr>
      <w:r w:rsidRPr="00EE453E">
        <w:t>C.</w:t>
      </w:r>
      <w:r w:rsidRPr="00EE453E">
        <w:tab/>
        <w:t xml:space="preserve">întrucât </w:t>
      </w:r>
      <w:proofErr w:type="spellStart"/>
      <w:r w:rsidRPr="00EE453E">
        <w:t>Eurobarometrul</w:t>
      </w:r>
      <w:proofErr w:type="spellEnd"/>
      <w:r w:rsidRPr="00EE453E">
        <w:t xml:space="preserve"> „Deceniul digital 2025” a constatat că 92 % dintre cetățenii UE consideră că este absolut necesar ca autoritățile publice să ia măsuri pentru a proteja copiii în mediul online împotriva hărțuirii cibernetice și a hărțuirii online, subliniind necesitatea urgentă a unei acțiuni coordonate pentru a preveni, a combate și a atenua efectele dăunătoare ale hărțuirii cibernetice în toate statele membre;</w:t>
      </w:r>
    </w:p>
    <w:p w14:paraId="27262AA5" w14:textId="77777777" w:rsidR="009156B5" w:rsidRPr="00EE453E" w:rsidRDefault="009156B5" w:rsidP="009156B5">
      <w:pPr>
        <w:pStyle w:val="NormalHanging12a"/>
      </w:pPr>
      <w:r w:rsidRPr="00EE453E">
        <w:t>D.</w:t>
      </w:r>
      <w:r w:rsidRPr="00EE453E">
        <w:tab/>
        <w:t xml:space="preserve">întrucât hărțuirea cibernetică afectează în mod disproporționat persoanele care se confruntă cu mai multe vulnerabilități (de exemplu, femei și fete, persoane LGBTIQ+, tineri, copiii cu dizabilități sau cei care aparțin unei minorități, </w:t>
      </w:r>
      <w:proofErr w:type="spellStart"/>
      <w:r w:rsidRPr="00EE453E">
        <w:t>migranți</w:t>
      </w:r>
      <w:proofErr w:type="spellEnd"/>
      <w:r w:rsidRPr="00EE453E">
        <w:t>, tinerii victime ale discriminării rasiale) și întrucât aceste motive de discriminare care se suprapun agravează traumele suferite;</w:t>
      </w:r>
    </w:p>
    <w:p w14:paraId="7E3ECD9C" w14:textId="77777777" w:rsidR="009156B5" w:rsidRPr="00EE453E" w:rsidRDefault="009156B5" w:rsidP="009156B5">
      <w:pPr>
        <w:pStyle w:val="NormalHanging12a"/>
      </w:pPr>
      <w:r w:rsidRPr="00EE453E">
        <w:t>E.</w:t>
      </w:r>
      <w:r w:rsidRPr="00EE453E">
        <w:tab/>
        <w:t>întrucât hărțuirea cibernetică și hărțuirea online, inclusiv abuzul prin intermediul imaginilor, au consecințe grave și de lungă durată pentru victime, în special pentru minori, de exemplu traume psihologice, izolare socială și, în cazuri extreme, pierderi de vieți omenești;</w:t>
      </w:r>
    </w:p>
    <w:p w14:paraId="4A62D96D" w14:textId="77777777" w:rsidR="009156B5" w:rsidRPr="00EE453E" w:rsidRDefault="009156B5" w:rsidP="009156B5">
      <w:pPr>
        <w:pStyle w:val="NormalHanging12a"/>
      </w:pPr>
      <w:r w:rsidRPr="00EE453E">
        <w:t>F.</w:t>
      </w:r>
      <w:r w:rsidRPr="00EE453E">
        <w:tab/>
        <w:t xml:space="preserve">întrucât hărțuirea cibernetică trebuie înțeleasă, în multe cazuri, ca o formă de violență bazată pe gen, care include difuzarea fără consimțământ de imagini intime, campanii coordonate de incitare la ură și atacuri împotriva femeilor din viața publică; întrucât inteligența artificială conferă hărțuirii cibernetice o nouă dimensiune periculoasă, vizând </w:t>
      </w:r>
      <w:r w:rsidRPr="00EE453E">
        <w:lastRenderedPageBreak/>
        <w:t>în principal femeile și copiii;</w:t>
      </w:r>
    </w:p>
    <w:p w14:paraId="4D3BF8E6" w14:textId="77777777" w:rsidR="009156B5" w:rsidRPr="00EE453E" w:rsidRDefault="009156B5" w:rsidP="009156B5">
      <w:pPr>
        <w:pStyle w:val="NormalHanging12a"/>
      </w:pPr>
      <w:r w:rsidRPr="00EE453E">
        <w:t>G.</w:t>
      </w:r>
      <w:r w:rsidRPr="00EE453E">
        <w:tab/>
        <w:t>întrucât hărțuirea cibernetică are o dimensiune transfrontalieră, deoarece se întâlnește frecvent pe platformele de comunicare socială, în aplicațiile de mesagerie, în mediile de jocuri și în alte spații online; întrucât aceasta s-a dovedit a fi una dintre cele mai grave amenințări la adresa siguranței și bunăstării în mediul online a minorilor și a tinerilor din UE;</w:t>
      </w:r>
    </w:p>
    <w:p w14:paraId="10C86247" w14:textId="77777777" w:rsidR="009156B5" w:rsidRPr="00EE453E" w:rsidRDefault="009156B5" w:rsidP="009156B5">
      <w:pPr>
        <w:pStyle w:val="NormalHanging12a"/>
      </w:pPr>
      <w:r w:rsidRPr="00EE453E">
        <w:t>H.</w:t>
      </w:r>
      <w:r w:rsidRPr="00EE453E">
        <w:tab/>
        <w:t>întrucât nu există o definiție juridică a hărțuirii cibernetice convenită la nivelul UE sau la nivel internațional; întrucât persistă o fragmentare juridică semnificativă între statele membre în ceea ce privește definiția și sancțiunile aplicabile hărțuirii cibernetice, ducând la niveluri inegale de protecție a victimelor și la insecuritate juridică pentru autoritățile de aplicare a legii;</w:t>
      </w:r>
    </w:p>
    <w:p w14:paraId="726F05A5" w14:textId="77777777" w:rsidR="009156B5" w:rsidRPr="00EE453E" w:rsidRDefault="009156B5" w:rsidP="009156B5">
      <w:pPr>
        <w:pStyle w:val="NormalHanging12a"/>
      </w:pPr>
      <w:r w:rsidRPr="00EE453E">
        <w:t>I.</w:t>
      </w:r>
      <w:r w:rsidRPr="00EE453E">
        <w:tab/>
        <w:t xml:space="preserve">întrucât mai multe state membre au introdus dispoziții penale specifice referitoare la hărțuirea cibernetică; întrucât legislația națională, cum ar fi Legea </w:t>
      </w:r>
      <w:proofErr w:type="spellStart"/>
      <w:r w:rsidRPr="00EE453E">
        <w:t>Coco</w:t>
      </w:r>
      <w:proofErr w:type="spellEnd"/>
      <w:r w:rsidRPr="00EE453E">
        <w:t xml:space="preserve"> din Irlanda, încearcă să abordeze practicile online dăunătoare, inclusiv difuzarea fără consimțământ a imaginilor intime și formele grave de hărțuire online; întrucât, la 9 decembrie 2021, Comisia a propus ca „infracțiunile motivate de ură” să fie incluse pe lista infracțiunilor incriminate de UE, menționate la articolul 83 alineatul (1) din TFUE; întrucât această propunere nu a întrunit sprijinul unanim necesar din partea statelor membre;</w:t>
      </w:r>
    </w:p>
    <w:p w14:paraId="28389290" w14:textId="77777777" w:rsidR="009156B5" w:rsidRPr="00EE453E" w:rsidRDefault="009156B5" w:rsidP="009156B5">
      <w:pPr>
        <w:pStyle w:val="NormalHanging12a"/>
        <w:rPr>
          <w:bCs/>
        </w:rPr>
      </w:pPr>
      <w:r w:rsidRPr="00EE453E">
        <w:t>J.</w:t>
      </w:r>
      <w:r w:rsidRPr="00EE453E">
        <w:tab/>
        <w:t>întrucât, în discursul său din 2025 privind starea Uniunii, președinta Comisiei a anunțat că va însărcina un grup de specialiști să ofere consiliere cu privire la siguranța copiilor în mediul online și la posibile restricții de vârstă pentru utilizarea platformelor de comunicare socială; întrucât, până în vara anului 2026, copreședinții trebuie să transmită președintei Comisiei un raport cu constatările și recomandările lor;</w:t>
      </w:r>
    </w:p>
    <w:p w14:paraId="1D5B6F76" w14:textId="77777777" w:rsidR="009156B5" w:rsidRPr="00EE453E" w:rsidRDefault="009156B5" w:rsidP="009156B5">
      <w:pPr>
        <w:pStyle w:val="NormalHanging12a"/>
      </w:pPr>
      <w:r w:rsidRPr="00EE453E">
        <w:t>K.</w:t>
      </w:r>
      <w:r w:rsidRPr="00EE453E">
        <w:tab/>
        <w:t>întrucât modelul de afaceri al anumitor platforme online stimulează răspândirea conținutului care incită la ură, contribuind la un mediu online nesigur pentru minori, femei, persoanele LGBTIQ+ și alte minorități; întrucât Comisia a inițiat o serie de investigații în temeiul Regulamentului privind serviciile digitale împotriva furnizorilor de servicii online foarte mari în ceea ce privește hărțuirea cibernetică și hărțuirea online,</w:t>
      </w:r>
    </w:p>
    <w:p w14:paraId="57CFD0D7" w14:textId="77777777" w:rsidR="009156B5" w:rsidRPr="00EE453E" w:rsidRDefault="009156B5" w:rsidP="009156B5">
      <w:pPr>
        <w:pStyle w:val="NormalHanging12a"/>
        <w:rPr>
          <w:b/>
          <w:i/>
          <w:iCs/>
          <w:szCs w:val="24"/>
        </w:rPr>
      </w:pPr>
      <w:r w:rsidRPr="00EE453E">
        <w:rPr>
          <w:b/>
          <w:i/>
        </w:rPr>
        <w:t>Planul de acțiune al Comisiei împotriva hărțuirii cibernetice</w:t>
      </w:r>
    </w:p>
    <w:p w14:paraId="5A8BB32D" w14:textId="77777777" w:rsidR="009156B5" w:rsidRPr="00EE453E" w:rsidRDefault="009156B5" w:rsidP="009156B5">
      <w:pPr>
        <w:pStyle w:val="NormalHanging12a"/>
      </w:pPr>
      <w:r w:rsidRPr="00EE453E">
        <w:t>1.</w:t>
      </w:r>
      <w:r w:rsidRPr="00EE453E">
        <w:tab/>
        <w:t>salută planul de acțiune al Comisiei împotriva hărțuirii cibernetice ca un cadru de combatere a acestui fenomen, inclusiv definiția propusă, care permite o evaluare statistică coerentă și schimbul de bune practici, precum și punerea în aplicare și asigurarea respectării mai stricte a legislației actuale;</w:t>
      </w:r>
    </w:p>
    <w:p w14:paraId="3C65B4D7" w14:textId="77777777" w:rsidR="009156B5" w:rsidRPr="00EE453E" w:rsidRDefault="009156B5" w:rsidP="009156B5">
      <w:pPr>
        <w:pStyle w:val="NormalHanging12a"/>
      </w:pPr>
      <w:r w:rsidRPr="00EE453E">
        <w:t>2.</w:t>
      </w:r>
      <w:r w:rsidRPr="00EE453E">
        <w:tab/>
        <w:t>apreciază faptul că planul de acțiune împotriva hărțuirii cibernetice pune accentul pe prevenire și pe alfabetizarea digitală ca instrumente eficiente pe termen lung; invită Comisia și statele membre să investească în educația digitală adaptată vârstei și în alfabetizarea mediatică, asigurându-se că aceste resurse ajung la copiii din toate mediile socioeconomice;</w:t>
      </w:r>
    </w:p>
    <w:p w14:paraId="24D780BC" w14:textId="77777777" w:rsidR="009156B5" w:rsidRPr="00EE453E" w:rsidRDefault="009156B5" w:rsidP="009156B5">
      <w:pPr>
        <w:pStyle w:val="NormalHanging12a"/>
        <w:rPr>
          <w:bCs/>
        </w:rPr>
      </w:pPr>
      <w:r w:rsidRPr="00EE453E">
        <w:t>3.</w:t>
      </w:r>
      <w:r w:rsidRPr="00EE453E">
        <w:tab/>
        <w:t>își reiterează apelul adresat statelor membre de a stabili planuri naționale cuprinzătoare pentru combaterea hărțuirii cibernetice și de a prevedea sancțiuni eficace, proporționale și disuasive pentru infracțiunile de hărțuire cibernetică, ținând seama de gravitatea comportamentului și de vulnerabilitatea victimei;</w:t>
      </w:r>
    </w:p>
    <w:p w14:paraId="7A7283F6" w14:textId="77777777" w:rsidR="009156B5" w:rsidRPr="00EE453E" w:rsidRDefault="009156B5" w:rsidP="009156B5">
      <w:pPr>
        <w:pStyle w:val="NormalHanging12a"/>
        <w:rPr>
          <w:rStyle w:val="CommentReference"/>
          <w:color w:val="000000"/>
          <w:spacing w:val="-2"/>
          <w:szCs w:val="24"/>
        </w:rPr>
      </w:pPr>
      <w:r w:rsidRPr="00EE453E">
        <w:lastRenderedPageBreak/>
        <w:t>4.</w:t>
      </w:r>
      <w:r w:rsidRPr="00EE453E">
        <w:tab/>
        <w:t>consideră că victimele ar trebui să poată denunța cu ușurință cazurile de hărțuire cibernetică; ia act de faptul că planul de acțiune pentru combaterea hărțuirii cibernetice prevede o aplicație de siguranță online împotriva hărțuirii cibernetice, ca mecanism de raportare ușor de utilizat și interoperabil la nivelul UE, pentru a centraliza cazurile raportate, sprijinul coordonat și colectarea elementelor de probă;</w:t>
      </w:r>
    </w:p>
    <w:p w14:paraId="163D6224" w14:textId="77777777" w:rsidR="009156B5" w:rsidRPr="00EE453E" w:rsidRDefault="009156B5" w:rsidP="009156B5">
      <w:pPr>
        <w:pStyle w:val="NormalHanging12a"/>
        <w:rPr>
          <w:b/>
          <w:i/>
          <w:iCs/>
          <w:szCs w:val="24"/>
        </w:rPr>
      </w:pPr>
      <w:r w:rsidRPr="00EE453E">
        <w:rPr>
          <w:b/>
          <w:i/>
        </w:rPr>
        <w:t>Drept penal</w:t>
      </w:r>
    </w:p>
    <w:p w14:paraId="4BEAB699" w14:textId="77777777" w:rsidR="009156B5" w:rsidRPr="00EE453E" w:rsidRDefault="009156B5" w:rsidP="009156B5">
      <w:pPr>
        <w:pStyle w:val="NormalHanging12a"/>
      </w:pPr>
      <w:r w:rsidRPr="00EE453E">
        <w:t>5.</w:t>
      </w:r>
      <w:r w:rsidRPr="00EE453E">
        <w:tab/>
        <w:t>se arată îngrijorat că, în pofida măsurilor legislative și de politică luate la nivelul UE și la nivel național, numărul cazurilor de hărțuire cibernetică și de abuz prin intermediul imaginilor sau materialelor video continuă să crească în întreaga UE, indicând faptul că instrumentele existente, inclusiv obligațiile în temeiul Regulamentului privind serviciile digitale și armonizarea în temeiul Directivei privind combaterea violenței împotriva femeilor și a violenței domestice, ar putea să nu fie suficiente pentru a aborda întreaga amploare și gravitate a problemei;</w:t>
      </w:r>
    </w:p>
    <w:p w14:paraId="066BFC47" w14:textId="77777777" w:rsidR="009156B5" w:rsidRPr="00EE453E" w:rsidRDefault="009156B5" w:rsidP="009156B5">
      <w:pPr>
        <w:pStyle w:val="NormalHanging12a"/>
      </w:pPr>
      <w:r w:rsidRPr="00EE453E">
        <w:t>6.</w:t>
      </w:r>
      <w:r w:rsidRPr="00EE453E">
        <w:tab/>
        <w:t>constată că planul de acțiune împotriva hărțuirii online nu prevede măsuri în domeniul dreptului penal la nivelul UE;</w:t>
      </w:r>
    </w:p>
    <w:p w14:paraId="77B9EA75" w14:textId="77777777" w:rsidR="009156B5" w:rsidRPr="00EE453E" w:rsidRDefault="009156B5" w:rsidP="009156B5">
      <w:pPr>
        <w:pStyle w:val="NormalHanging12a"/>
      </w:pPr>
      <w:r w:rsidRPr="00EE453E">
        <w:t>7.</w:t>
      </w:r>
      <w:r w:rsidRPr="00EE453E">
        <w:tab/>
        <w:t>invită Comisia să evalueze necesitatea unei abordări mai armonizate la nivelul UE pentru a defini hărțuirea cibernetică; invită Comisia să analizeze dacă hărțuirea cibernetică, inclusiv difuzarea fără consimțământ de materiale intime, ar trebui recunoscută ca infracțiune deosebit de gravă cu o dimensiune transfrontalieră la nivelul UE; își reiterează sprijinul pentru includerea infracțiunilor motivate de ură, care ar putea cuprinde cele mai grave forme de hărțuire cibernetică, pe lista infracțiunilor incriminate de UE în temeiul articolului 83 alineatul (1) din TFUE;</w:t>
      </w:r>
    </w:p>
    <w:p w14:paraId="32649353" w14:textId="77777777" w:rsidR="009156B5" w:rsidRPr="00EE453E" w:rsidRDefault="009156B5" w:rsidP="009156B5">
      <w:pPr>
        <w:pStyle w:val="NormalHanging12a"/>
      </w:pPr>
      <w:r w:rsidRPr="00EE453E">
        <w:t>8.</w:t>
      </w:r>
      <w:r w:rsidRPr="00EE453E">
        <w:tab/>
        <w:t>accentuează că autoritățile de aplicare a legii care dispun de resurse suficiente, inclusiv personal adecvat, expertiză tehnică și infrastructură informatică, reprezintă un element indispensabil al combaterii eficace a hărțuirii cibernetice; invită Comisia și Europol să consolideze capacitățile de investigare ale statelor membre în acest domeniu, inclusiv în ceea ce privește combaterea hărțuirii cibernetice transfrontaliere;</w:t>
      </w:r>
    </w:p>
    <w:p w14:paraId="5774A4B4" w14:textId="77777777" w:rsidR="009156B5" w:rsidRPr="00EE453E" w:rsidRDefault="009156B5" w:rsidP="009156B5">
      <w:pPr>
        <w:pStyle w:val="NormalHanging12a"/>
      </w:pPr>
      <w:r w:rsidRPr="00EE453E">
        <w:t>9.</w:t>
      </w:r>
      <w:r w:rsidRPr="00EE453E">
        <w:tab/>
        <w:t>invită statele membre să facă schimb de bune practici în ceea ce privește abordările lor juridice; subliniază că eforturile ar trebui să acorde prioritate măsurilor de prevenire, educare și sensibilizare care vizează copiii, părinții și educatorii, precum și alfabetizării digitale și abordărilor reparatorii, în special atunci când sunt implicați minori;</w:t>
      </w:r>
    </w:p>
    <w:p w14:paraId="30DF6728" w14:textId="77777777" w:rsidR="009156B5" w:rsidRPr="00EE453E" w:rsidRDefault="009156B5" w:rsidP="009156B5">
      <w:pPr>
        <w:pStyle w:val="NormalHanging12a"/>
      </w:pPr>
      <w:r w:rsidRPr="00EE453E">
        <w:t>10.</w:t>
      </w:r>
      <w:r w:rsidRPr="00EE453E">
        <w:tab/>
        <w:t>solicită punerea în aplicare și transpunerea rapidă a Directivei revizuite privind drepturile victimelor;</w:t>
      </w:r>
    </w:p>
    <w:p w14:paraId="0585343D" w14:textId="77777777" w:rsidR="009156B5" w:rsidRPr="00EE453E" w:rsidRDefault="009156B5" w:rsidP="009156B5">
      <w:pPr>
        <w:pStyle w:val="NormalHanging12a"/>
        <w:rPr>
          <w:b/>
          <w:i/>
          <w:iCs/>
          <w:szCs w:val="24"/>
        </w:rPr>
      </w:pPr>
      <w:r w:rsidRPr="00EE453E">
        <w:rPr>
          <w:b/>
          <w:i/>
        </w:rPr>
        <w:t>Platformele online și Regulamentul privind serviciile digitale</w:t>
      </w:r>
    </w:p>
    <w:p w14:paraId="6231BF4E" w14:textId="77777777" w:rsidR="009156B5" w:rsidRPr="00EE453E" w:rsidRDefault="009156B5" w:rsidP="009156B5">
      <w:pPr>
        <w:pStyle w:val="NormalHanging12a"/>
      </w:pPr>
      <w:r w:rsidRPr="00EE453E">
        <w:t>11.</w:t>
      </w:r>
      <w:r w:rsidRPr="00EE453E">
        <w:tab/>
        <w:t>invită Comisia și statele membre să se asigure că platformele își asumă răspunderea pentru prevenirea și combaterea hărțuirii cibernetice;</w:t>
      </w:r>
    </w:p>
    <w:p w14:paraId="2985078D" w14:textId="77777777" w:rsidR="009156B5" w:rsidRPr="00EE453E" w:rsidRDefault="009156B5" w:rsidP="009156B5">
      <w:pPr>
        <w:pStyle w:val="NormalHanging12a"/>
      </w:pPr>
      <w:r w:rsidRPr="00EE453E">
        <w:t>12.</w:t>
      </w:r>
      <w:r w:rsidRPr="00EE453E">
        <w:tab/>
        <w:t xml:space="preserve">scoate în evidență că modelul de afaceri al platformelor online stimulează răspândirea conținutului instigator la ură și, prin urmare, contribuie la un mediu online din ce în ce mai nesigur, în special pentru minori, femei și membrii comunității LGBTIQ+ sau alte minorități; evidențiază rolul sistemelor de recomandare </w:t>
      </w:r>
      <w:proofErr w:type="spellStart"/>
      <w:r w:rsidRPr="00EE453E">
        <w:t>hiperpersonalizate</w:t>
      </w:r>
      <w:proofErr w:type="spellEnd"/>
      <w:r w:rsidRPr="00EE453E">
        <w:t>, care aduc în prim plan discursurile de incitare la ură și trec în plan secund conținuturile mai puțin controversate;</w:t>
      </w:r>
    </w:p>
    <w:p w14:paraId="6F7F7B7F" w14:textId="77777777" w:rsidR="009156B5" w:rsidRPr="00EE453E" w:rsidRDefault="009156B5" w:rsidP="009156B5">
      <w:pPr>
        <w:pStyle w:val="NormalHanging12a"/>
        <w:rPr>
          <w:bCs/>
        </w:rPr>
      </w:pPr>
      <w:r w:rsidRPr="00EE453E">
        <w:lastRenderedPageBreak/>
        <w:t>13.</w:t>
      </w:r>
      <w:r w:rsidRPr="00EE453E">
        <w:tab/>
        <w:t>subliniază că Regulamentul privind serviciile digitale, în special articolul 28, abordează unele aspecte ale hărțuirii online și ale hărțuirii cibernetice care obligă deja furnizorii să asigure un nivel ridicat de confidențialitate, siguranță și securitate pentru minori; accentuează, în acest sens, orientările Comisiei în temeiul Regulamentului privind serviciile digitale care specifică modul în care platformele pot garanta siguranța minorilor atunci când utilizează serviciile lor; constată că, în mare parte, platformele online foarte mari nu au reușit să pună în aplicare aceste măsuri; invită Comisia și statele membre să intensifice punerea în aplicare a articolului 28 din Regulamentul privind serviciile digitale și a dispoziției privind mecanismele de notificare și acțiune din Regulamentul privind serviciile digitale, care au impact asupra protecției victimelor hărțuirii cibernetice;</w:t>
      </w:r>
    </w:p>
    <w:p w14:paraId="08B197B9" w14:textId="77777777" w:rsidR="009156B5" w:rsidRPr="00EE453E" w:rsidRDefault="009156B5" w:rsidP="009156B5">
      <w:pPr>
        <w:pStyle w:val="NormalHanging12a"/>
      </w:pPr>
      <w:r w:rsidRPr="00EE453E">
        <w:t>14.</w:t>
      </w:r>
      <w:r w:rsidRPr="00EE453E">
        <w:tab/>
        <w:t>invită Comisia să finalizeze cazurile pendinte de asigurare a respectării legii, să deschidă anchete cu privire la orice încălcare a articolului 28 din Regulamentul privind serviciile digitale, inclusiv cu privire la riscurile sistemice prezentate de sistemele de recomandare, și să pună în aplicare în mod riguros obligația de notificare și de retragere a platformelor; respinge cu fermitate orice încercare de a readuce în discuție Regulamentul privind serviciile digitale; atrage atenția că accesul cercetătorilor în temeiul Regulamentului privind serviciile digitale este esențial pentru a asigura o legiferare bazată pe dovezi;</w:t>
      </w:r>
    </w:p>
    <w:p w14:paraId="20164CEE" w14:textId="77777777" w:rsidR="009156B5" w:rsidRPr="00EE453E" w:rsidRDefault="009156B5" w:rsidP="009156B5">
      <w:pPr>
        <w:pStyle w:val="NormalHanging12a"/>
      </w:pPr>
      <w:r w:rsidRPr="00EE453E">
        <w:t>15.</w:t>
      </w:r>
      <w:r w:rsidRPr="00EE453E">
        <w:tab/>
        <w:t>invită Comisia să publice orientările anunțate privind notificatorii de încredere care semnalează cazuri de hărțuire cibernetică, pentru a clarifica rolul acestora în gestionarea conținutului ilegal;</w:t>
      </w:r>
    </w:p>
    <w:p w14:paraId="12920D32" w14:textId="77777777" w:rsidR="009156B5" w:rsidRPr="00EE453E" w:rsidRDefault="009156B5" w:rsidP="009156B5">
      <w:pPr>
        <w:pStyle w:val="NormalHanging12a"/>
      </w:pPr>
      <w:r w:rsidRPr="00EE453E">
        <w:t>16.</w:t>
      </w:r>
      <w:r w:rsidRPr="00EE453E">
        <w:tab/>
        <w:t>regretă lipsa actuală a unui cadru juridic care să permită detectarea materialelor online care conțin abuzuri sexuale asupra copiilor și invită Comisia să ia măsuri rapide pentru a se asigura că sunt instituite mecanisme voluntare de raportare a materialelor care conțin abuzuri sexuale asupra copiilor; subliniază obligațiile platformelor de a asigura un spațiu digital sigur pentru copii, care să asigure respectarea drepturilor fundamentale și confidențialitatea datelor pentru fiecare utilizator;</w:t>
      </w:r>
    </w:p>
    <w:p w14:paraId="0810FCA0" w14:textId="77777777" w:rsidR="009156B5" w:rsidRPr="00EE453E" w:rsidRDefault="009156B5" w:rsidP="009156B5">
      <w:pPr>
        <w:pStyle w:val="NormalHanging12a"/>
        <w:rPr>
          <w:b/>
          <w:i/>
          <w:iCs/>
          <w:szCs w:val="24"/>
        </w:rPr>
      </w:pPr>
      <w:r w:rsidRPr="00EE453E">
        <w:rPr>
          <w:b/>
          <w:i/>
        </w:rPr>
        <w:t>Alte măsuri</w:t>
      </w:r>
    </w:p>
    <w:p w14:paraId="0EB84837" w14:textId="77777777" w:rsidR="009156B5" w:rsidRPr="00EE453E" w:rsidRDefault="009156B5" w:rsidP="009156B5">
      <w:pPr>
        <w:pStyle w:val="NormalHanging12a"/>
      </w:pPr>
      <w:r w:rsidRPr="00EE453E">
        <w:t>17.</w:t>
      </w:r>
      <w:r w:rsidRPr="00EE453E">
        <w:tab/>
        <w:t xml:space="preserve">își exprimă îngrijorarea cu privire la utilizarea tot mai frecventă a IA în scopuri abuzive, inclusiv generarea de </w:t>
      </w:r>
      <w:proofErr w:type="spellStart"/>
      <w:r w:rsidRPr="00EE453E">
        <w:t>deepfake</w:t>
      </w:r>
      <w:proofErr w:type="spellEnd"/>
      <w:r w:rsidRPr="00EE453E">
        <w:t xml:space="preserve">-uri, clonarea vocală și conținut intim fără consimțământ; reiterează necesitatea de a interzice „aplicațiile de </w:t>
      </w:r>
      <w:proofErr w:type="spellStart"/>
      <w:r w:rsidRPr="00EE453E">
        <w:t>nudificare</w:t>
      </w:r>
      <w:proofErr w:type="spellEnd"/>
      <w:r w:rsidRPr="00EE453E">
        <w:t xml:space="preserve">” în temeiul Regulamentului privind inteligența artificială, ca parte a negocierilor în cadrul pachetului omnibus privind IA; invită furnizorii să respecte fără întârziere prevederile de la articolul 50 din Regulamentul privind inteligența artificială referitoare la transparență și la filigranare, astfel încât să se asigure că conținutul generat de IA este etichetat clar pentru a atenua impactul dăunător al </w:t>
      </w:r>
      <w:proofErr w:type="spellStart"/>
      <w:r w:rsidRPr="00EE453E">
        <w:t>deepfake</w:t>
      </w:r>
      <w:proofErr w:type="spellEnd"/>
      <w:r w:rsidRPr="00EE453E">
        <w:t>-urilor, mai ales asupra minorilor;</w:t>
      </w:r>
    </w:p>
    <w:p w14:paraId="4EB72166" w14:textId="77777777" w:rsidR="009156B5" w:rsidRPr="00EE453E" w:rsidRDefault="009156B5" w:rsidP="009156B5">
      <w:pPr>
        <w:pStyle w:val="NormalHanging12a"/>
      </w:pPr>
      <w:r w:rsidRPr="00EE453E">
        <w:t>18.</w:t>
      </w:r>
      <w:r w:rsidRPr="00EE453E">
        <w:tab/>
        <w:t>invită Comisia să analizeze dacă obligațiile actuale de evaluare și atenuare a riscurilor în temeiul legislației UE îi vizează în mod adecvat pe operatorii de jocuri online, în special pe cei care oferă funcții de comunicare în timp real care pot expune minorii la hărțuire cibernetică;</w:t>
      </w:r>
    </w:p>
    <w:p w14:paraId="62892177" w14:textId="77777777" w:rsidR="009156B5" w:rsidRPr="00EE453E" w:rsidRDefault="009156B5" w:rsidP="009156B5">
      <w:pPr>
        <w:pStyle w:val="NormalHanging12a"/>
      </w:pPr>
      <w:r w:rsidRPr="00EE453E">
        <w:t>19.</w:t>
      </w:r>
      <w:r w:rsidRPr="00EE453E">
        <w:tab/>
        <w:t xml:space="preserve">reamintește obligațiile prevăzute în Directiva revizuită a serviciilor mass-media audiovizuale de a-i proteja pe minori de conținutul ilegal și dăunător și pe toți </w:t>
      </w:r>
      <w:r w:rsidRPr="00EE453E">
        <w:lastRenderedPageBreak/>
        <w:t>utilizatorii de conținutul care incită la violență sau la ură; invită Comisia să monitorizeze punerea în aplicare a acestei directive de către statele membre;</w:t>
      </w:r>
    </w:p>
    <w:p w14:paraId="41D5C326" w14:textId="77777777" w:rsidR="009156B5" w:rsidRPr="00EE453E" w:rsidRDefault="009156B5" w:rsidP="009156B5">
      <w:pPr>
        <w:pStyle w:val="NormalHanging12a"/>
      </w:pPr>
      <w:r w:rsidRPr="00EE453E">
        <w:t>20.</w:t>
      </w:r>
      <w:r w:rsidRPr="00EE453E">
        <w:tab/>
        <w:t>reamintește necesitatea de a consolida protecția și sprijinul acordat victimelor hărțuirii cibernetice; este preocupat de faptul că organizațiile victimelor se confruntă cu amenințări tot mai mari din cauza lipsei de finanțare; solicită o finanțare sporită și sustenabilă din partea UE pentru organizațiile societății civile, liniile de asistență telefonică și serviciile de sprijinire a victimelor, precum și integrarea măsurilor de prevenire a hărțuirii cibernetice și de răspuns la aceasta în strategiile naționale de sănătate mintală, acordând o atenție deosebită minorilor și altor grupuri vulnerabile;</w:t>
      </w:r>
    </w:p>
    <w:p w14:paraId="40AC5861" w14:textId="77777777" w:rsidR="009156B5" w:rsidRPr="00EE453E" w:rsidRDefault="009156B5" w:rsidP="009156B5">
      <w:pPr>
        <w:pStyle w:val="NormalHanging12a"/>
        <w:jc w:val="center"/>
      </w:pPr>
      <w:r w:rsidRPr="00EE453E">
        <w:t>°</w:t>
      </w:r>
    </w:p>
    <w:p w14:paraId="2EC75755" w14:textId="77777777" w:rsidR="009156B5" w:rsidRPr="00EE453E" w:rsidRDefault="009156B5" w:rsidP="009156B5">
      <w:pPr>
        <w:pStyle w:val="NormalHanging12a"/>
        <w:jc w:val="center"/>
      </w:pPr>
      <w:r w:rsidRPr="00EE453E">
        <w:t>°</w:t>
      </w:r>
      <w:r w:rsidRPr="00EE453E">
        <w:tab/>
        <w:t>°</w:t>
      </w:r>
    </w:p>
    <w:p w14:paraId="306E2668" w14:textId="1B63BC38" w:rsidR="00381360" w:rsidRPr="00EE453E" w:rsidRDefault="009156B5" w:rsidP="00381360">
      <w:pPr>
        <w:pStyle w:val="NormalHanging12a"/>
      </w:pPr>
      <w:r w:rsidRPr="00EE453E">
        <w:t>21.</w:t>
      </w:r>
      <w:r w:rsidRPr="00EE453E">
        <w:tab/>
        <w:t>încredințează Președintei sarcina de a transmite prezenta rezoluție Consiliului și Comisiei, precum și guvernelor și parlamentelor statelor membre.</w:t>
      </w:r>
      <w:bookmarkEnd w:id="7"/>
    </w:p>
    <w:p w14:paraId="3B199B1B" w14:textId="326034C4" w:rsidR="00E365E1" w:rsidRPr="00EE453E" w:rsidRDefault="00E365E1" w:rsidP="00B36E8F"/>
    <w:sectPr w:rsidR="00E365E1" w:rsidRPr="00EE453E" w:rsidSect="0038136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0E056" w14:textId="77777777" w:rsidR="00B36E8F" w:rsidRPr="00381360" w:rsidRDefault="00B36E8F">
      <w:r w:rsidRPr="00381360">
        <w:separator/>
      </w:r>
    </w:p>
  </w:endnote>
  <w:endnote w:type="continuationSeparator" w:id="0">
    <w:p w14:paraId="262920F3" w14:textId="77777777" w:rsidR="00B36E8F" w:rsidRPr="00381360" w:rsidRDefault="00B36E8F">
      <w:r w:rsidRPr="003813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17E73" w14:textId="77777777" w:rsidR="00064002" w:rsidRPr="0038136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A8413" w14:textId="77777777" w:rsidR="00064002" w:rsidRPr="0038136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B817E" w14:textId="77777777" w:rsidR="00064002" w:rsidRPr="0038136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B61EF" w14:textId="77777777" w:rsidR="00B36E8F" w:rsidRPr="00381360" w:rsidRDefault="00B36E8F">
      <w:r w:rsidRPr="00381360">
        <w:separator/>
      </w:r>
    </w:p>
  </w:footnote>
  <w:footnote w:type="continuationSeparator" w:id="0">
    <w:p w14:paraId="72BB2D1E" w14:textId="77777777" w:rsidR="00B36E8F" w:rsidRPr="00381360" w:rsidRDefault="00B36E8F">
      <w:r w:rsidRPr="00381360">
        <w:continuationSeparator/>
      </w:r>
    </w:p>
  </w:footnote>
  <w:footnote w:id="1">
    <w:p w14:paraId="0F7D7D6A" w14:textId="7C1DA305" w:rsidR="009156B5" w:rsidRPr="00381360" w:rsidRDefault="009156B5" w:rsidP="00381360">
      <w:pPr>
        <w:pStyle w:val="FootnoteText"/>
        <w:ind w:left="567" w:hanging="567"/>
        <w:rPr>
          <w:sz w:val="24"/>
          <w:lang w:val="ro-RO"/>
        </w:rPr>
      </w:pPr>
      <w:r w:rsidRPr="00381360">
        <w:rPr>
          <w:rStyle w:val="FootnoteReference"/>
          <w:sz w:val="24"/>
          <w:lang w:val="ro-RO"/>
        </w:rPr>
        <w:footnoteRef/>
      </w:r>
      <w:r w:rsidR="00381360" w:rsidRPr="00381360">
        <w:rPr>
          <w:sz w:val="24"/>
          <w:lang w:val="ro-RO"/>
        </w:rPr>
        <w:t xml:space="preserve"> </w:t>
      </w:r>
      <w:r w:rsidR="00381360" w:rsidRPr="00381360">
        <w:rPr>
          <w:sz w:val="24"/>
          <w:lang w:val="ro-RO"/>
        </w:rPr>
        <w:tab/>
      </w:r>
      <w:r w:rsidRPr="00381360">
        <w:rPr>
          <w:sz w:val="24"/>
          <w:lang w:val="ro-RO"/>
        </w:rPr>
        <w:t>JO L 335, 17.12.2011, p. 1, ELI: </w:t>
      </w:r>
      <w:hyperlink r:id="rId1" w:tooltip="Oferă acces la acest document prin identificatorul său uniform de resurse ELI." w:history="1">
        <w:r w:rsidRPr="00381360">
          <w:rPr>
            <w:rStyle w:val="Hyperlink"/>
            <w:sz w:val="24"/>
            <w:lang w:val="ro-RO"/>
          </w:rPr>
          <w:t>http://data.europa.eu/eli/dir/2011/93/oj</w:t>
        </w:r>
      </w:hyperlink>
      <w:r w:rsidRPr="00381360">
        <w:rPr>
          <w:sz w:val="24"/>
          <w:lang w:val="ro-RO"/>
        </w:rPr>
        <w:t xml:space="preserve">. </w:t>
      </w:r>
    </w:p>
  </w:footnote>
  <w:footnote w:id="2">
    <w:p w14:paraId="5C411383" w14:textId="6B4ACB02" w:rsidR="009156B5" w:rsidRPr="00381360" w:rsidRDefault="009156B5" w:rsidP="00381360">
      <w:pPr>
        <w:pStyle w:val="FootnoteText"/>
        <w:ind w:left="567" w:hanging="567"/>
        <w:rPr>
          <w:sz w:val="24"/>
          <w:lang w:val="ro-RO"/>
        </w:rPr>
      </w:pPr>
      <w:r w:rsidRPr="00381360">
        <w:rPr>
          <w:rStyle w:val="FootnoteReference"/>
          <w:sz w:val="24"/>
          <w:lang w:val="ro-RO"/>
        </w:rPr>
        <w:footnoteRef/>
      </w:r>
      <w:r w:rsidR="00381360" w:rsidRPr="00381360">
        <w:rPr>
          <w:sz w:val="24"/>
          <w:lang w:val="ro-RO"/>
        </w:rPr>
        <w:t xml:space="preserve"> </w:t>
      </w:r>
      <w:r w:rsidR="00381360" w:rsidRPr="00381360">
        <w:rPr>
          <w:sz w:val="24"/>
          <w:lang w:val="ro-RO"/>
        </w:rPr>
        <w:tab/>
      </w:r>
      <w:r w:rsidRPr="00381360">
        <w:rPr>
          <w:sz w:val="24"/>
          <w:lang w:val="ro-RO"/>
        </w:rPr>
        <w:t xml:space="preserve">JO L 315, 14.11.2012, p. 57, ELI: </w:t>
      </w:r>
      <w:hyperlink r:id="rId2" w:history="1">
        <w:r w:rsidRPr="00381360">
          <w:rPr>
            <w:rStyle w:val="Hyperlink"/>
            <w:sz w:val="24"/>
            <w:lang w:val="ro-RO"/>
          </w:rPr>
          <w:t>http://data.europa.eu/eli/dir/2012/29/oj</w:t>
        </w:r>
      </w:hyperlink>
      <w:r w:rsidRPr="00381360">
        <w:rPr>
          <w:sz w:val="24"/>
          <w:lang w:val="ro-RO"/>
        </w:rPr>
        <w:t xml:space="preserve">. </w:t>
      </w:r>
    </w:p>
  </w:footnote>
  <w:footnote w:id="3">
    <w:p w14:paraId="479677C9" w14:textId="5236232C" w:rsidR="009156B5" w:rsidRPr="00381360" w:rsidRDefault="009156B5" w:rsidP="00381360">
      <w:pPr>
        <w:pStyle w:val="FootnoteText"/>
        <w:ind w:left="567" w:hanging="567"/>
        <w:rPr>
          <w:sz w:val="24"/>
          <w:lang w:val="ro-RO"/>
        </w:rPr>
      </w:pPr>
      <w:r w:rsidRPr="00381360">
        <w:rPr>
          <w:rStyle w:val="FootnoteReference"/>
          <w:sz w:val="24"/>
          <w:lang w:val="ro-RO"/>
        </w:rPr>
        <w:footnoteRef/>
      </w:r>
      <w:r w:rsidR="00381360" w:rsidRPr="00381360">
        <w:rPr>
          <w:sz w:val="24"/>
          <w:lang w:val="ro-RO"/>
        </w:rPr>
        <w:t xml:space="preserve"> </w:t>
      </w:r>
      <w:r w:rsidR="00381360" w:rsidRPr="00381360">
        <w:rPr>
          <w:sz w:val="24"/>
          <w:lang w:val="ro-RO"/>
        </w:rPr>
        <w:tab/>
      </w:r>
      <w:r w:rsidRPr="00381360">
        <w:rPr>
          <w:sz w:val="24"/>
          <w:lang w:val="ro-RO"/>
        </w:rPr>
        <w:t xml:space="preserve">JO L 303, 28.11.2018, p. 69, ELI: </w:t>
      </w:r>
      <w:hyperlink r:id="rId3" w:history="1">
        <w:r w:rsidRPr="00381360">
          <w:rPr>
            <w:rStyle w:val="Hyperlink"/>
            <w:sz w:val="24"/>
            <w:lang w:val="ro-RO"/>
          </w:rPr>
          <w:t>http://data.europa.eu/eli/dir/2018/1808/oj</w:t>
        </w:r>
      </w:hyperlink>
      <w:r w:rsidRPr="00381360">
        <w:rPr>
          <w:sz w:val="24"/>
          <w:lang w:val="ro-RO"/>
        </w:rPr>
        <w:t xml:space="preserve">. </w:t>
      </w:r>
    </w:p>
  </w:footnote>
  <w:footnote w:id="4">
    <w:p w14:paraId="727E22C6" w14:textId="74CE1EA9" w:rsidR="009156B5" w:rsidRPr="00381360" w:rsidRDefault="009156B5" w:rsidP="00381360">
      <w:pPr>
        <w:pStyle w:val="FootnoteText"/>
        <w:ind w:left="567" w:hanging="567"/>
        <w:rPr>
          <w:sz w:val="24"/>
          <w:lang w:val="ro-RO"/>
        </w:rPr>
      </w:pPr>
      <w:r w:rsidRPr="00381360">
        <w:rPr>
          <w:rStyle w:val="FootnoteReference"/>
          <w:sz w:val="24"/>
          <w:lang w:val="ro-RO"/>
        </w:rPr>
        <w:footnoteRef/>
      </w:r>
      <w:r w:rsidR="00381360" w:rsidRPr="00381360">
        <w:rPr>
          <w:sz w:val="24"/>
          <w:lang w:val="ro-RO"/>
        </w:rPr>
        <w:t xml:space="preserve"> </w:t>
      </w:r>
      <w:r w:rsidR="00381360" w:rsidRPr="00381360">
        <w:rPr>
          <w:sz w:val="24"/>
          <w:lang w:val="ro-RO"/>
        </w:rPr>
        <w:tab/>
      </w:r>
      <w:r w:rsidRPr="00381360">
        <w:rPr>
          <w:sz w:val="24"/>
          <w:lang w:val="ro-RO"/>
        </w:rPr>
        <w:t xml:space="preserve">JO L, 2024/1385, 24.5.2024, ELI: </w:t>
      </w:r>
      <w:hyperlink r:id="rId4" w:history="1">
        <w:r w:rsidRPr="00381360">
          <w:rPr>
            <w:rStyle w:val="Hyperlink"/>
            <w:sz w:val="24"/>
            <w:lang w:val="ro-RO"/>
          </w:rPr>
          <w:t>http://data.europa.eu/eli/dir/2024/1385/oj</w:t>
        </w:r>
      </w:hyperlink>
      <w:r w:rsidRPr="00381360">
        <w:rPr>
          <w:sz w:val="24"/>
          <w:lang w:val="ro-RO"/>
        </w:rPr>
        <w:t xml:space="preserve">. </w:t>
      </w:r>
    </w:p>
  </w:footnote>
  <w:footnote w:id="5">
    <w:p w14:paraId="6C08EE14" w14:textId="68109CDD" w:rsidR="009156B5" w:rsidRPr="00381360" w:rsidRDefault="009156B5" w:rsidP="00381360">
      <w:pPr>
        <w:pStyle w:val="FootnoteText"/>
        <w:ind w:left="567" w:hanging="567"/>
        <w:rPr>
          <w:sz w:val="24"/>
          <w:lang w:val="ro-RO"/>
        </w:rPr>
      </w:pPr>
      <w:r w:rsidRPr="00381360">
        <w:rPr>
          <w:rStyle w:val="FootnoteReference"/>
          <w:sz w:val="24"/>
          <w:lang w:val="ro-RO"/>
        </w:rPr>
        <w:footnoteRef/>
      </w:r>
      <w:r w:rsidR="00381360" w:rsidRPr="00381360">
        <w:rPr>
          <w:sz w:val="24"/>
          <w:lang w:val="ro-RO"/>
        </w:rPr>
        <w:t xml:space="preserve"> </w:t>
      </w:r>
      <w:r w:rsidR="00381360" w:rsidRPr="00381360">
        <w:rPr>
          <w:sz w:val="24"/>
          <w:lang w:val="ro-RO"/>
        </w:rPr>
        <w:tab/>
      </w:r>
      <w:r w:rsidRPr="00381360">
        <w:rPr>
          <w:sz w:val="24"/>
          <w:lang w:val="ro-RO"/>
        </w:rPr>
        <w:t xml:space="preserve">JO L 277, 27.10.2022, p. 1, ELI: </w:t>
      </w:r>
      <w:hyperlink r:id="rId5" w:history="1">
        <w:r w:rsidRPr="00381360">
          <w:rPr>
            <w:rStyle w:val="Hyperlink"/>
            <w:sz w:val="24"/>
            <w:lang w:val="ro-RO"/>
          </w:rPr>
          <w:t>http://data.europa.eu/eli/reg/2022/2065/oj</w:t>
        </w:r>
      </w:hyperlink>
      <w:r w:rsidRPr="00381360">
        <w:rPr>
          <w:sz w:val="24"/>
          <w:lang w:val="ro-RO"/>
        </w:rPr>
        <w:t xml:space="preserve">. </w:t>
      </w:r>
    </w:p>
  </w:footnote>
  <w:footnote w:id="6">
    <w:p w14:paraId="2DA261B0" w14:textId="2A3B4C41" w:rsidR="009156B5" w:rsidRPr="00381360" w:rsidRDefault="009156B5" w:rsidP="00381360">
      <w:pPr>
        <w:pStyle w:val="FootnoteText"/>
        <w:ind w:left="567" w:hanging="567"/>
        <w:rPr>
          <w:sz w:val="24"/>
          <w:lang w:val="ro-RO"/>
        </w:rPr>
      </w:pPr>
      <w:r w:rsidRPr="00381360">
        <w:rPr>
          <w:rStyle w:val="FootnoteReference"/>
          <w:sz w:val="24"/>
          <w:lang w:val="ro-RO"/>
        </w:rPr>
        <w:footnoteRef/>
      </w:r>
      <w:r w:rsidR="00381360" w:rsidRPr="00381360">
        <w:rPr>
          <w:sz w:val="24"/>
          <w:lang w:val="ro-RO"/>
        </w:rPr>
        <w:t xml:space="preserve"> </w:t>
      </w:r>
      <w:r w:rsidR="00381360" w:rsidRPr="00381360">
        <w:rPr>
          <w:sz w:val="24"/>
          <w:lang w:val="ro-RO"/>
        </w:rPr>
        <w:tab/>
      </w:r>
      <w:r w:rsidRPr="00381360">
        <w:rPr>
          <w:sz w:val="24"/>
          <w:lang w:val="ro-RO"/>
        </w:rPr>
        <w:t xml:space="preserve">JO L, 2024/1689, 12.7.2024, ELI: </w:t>
      </w:r>
      <w:hyperlink r:id="rId6" w:history="1">
        <w:r w:rsidRPr="00381360">
          <w:rPr>
            <w:rStyle w:val="Hyperlink"/>
            <w:sz w:val="24"/>
            <w:lang w:val="ro-RO"/>
          </w:rPr>
          <w:t>http://data.europa.eu/eli/reg/2024/1689/oj</w:t>
        </w:r>
      </w:hyperlink>
      <w:r w:rsidRPr="00381360">
        <w:rPr>
          <w:sz w:val="24"/>
          <w:lang w:val="ro-RO"/>
        </w:rPr>
        <w:t xml:space="preserve">. </w:t>
      </w:r>
    </w:p>
  </w:footnote>
  <w:footnote w:id="7">
    <w:p w14:paraId="498A707B" w14:textId="6F3FA821" w:rsidR="009156B5" w:rsidRPr="00381360" w:rsidRDefault="009156B5" w:rsidP="00381360">
      <w:pPr>
        <w:pStyle w:val="FootnoteText"/>
        <w:ind w:left="567" w:hanging="567"/>
        <w:rPr>
          <w:sz w:val="24"/>
          <w:lang w:val="ro-RO"/>
        </w:rPr>
      </w:pPr>
      <w:r w:rsidRPr="00381360">
        <w:rPr>
          <w:rStyle w:val="FootnoteReference"/>
          <w:sz w:val="24"/>
          <w:lang w:val="ro-RO"/>
        </w:rPr>
        <w:footnoteRef/>
      </w:r>
      <w:r w:rsidR="00381360" w:rsidRPr="00381360">
        <w:rPr>
          <w:sz w:val="24"/>
          <w:lang w:val="ro-RO"/>
        </w:rPr>
        <w:t xml:space="preserve"> </w:t>
      </w:r>
      <w:r w:rsidR="00381360" w:rsidRPr="00381360">
        <w:rPr>
          <w:sz w:val="24"/>
          <w:lang w:val="ro-RO"/>
        </w:rPr>
        <w:tab/>
      </w:r>
      <w:r w:rsidRPr="00381360">
        <w:rPr>
          <w:sz w:val="24"/>
          <w:lang w:val="ro-RO"/>
        </w:rPr>
        <w:t xml:space="preserve">JO C, C/2025/5519, 10.10.2025, ELI: </w:t>
      </w:r>
      <w:hyperlink r:id="rId7" w:history="1">
        <w:r w:rsidRPr="00381360">
          <w:rPr>
            <w:rStyle w:val="Hyperlink"/>
            <w:sz w:val="24"/>
            <w:lang w:val="ro-RO"/>
          </w:rPr>
          <w:t>http://data.europa.eu/eli/C/2025/5519/oj</w:t>
        </w:r>
      </w:hyperlink>
      <w:r w:rsidRPr="00381360">
        <w:rPr>
          <w:sz w:val="24"/>
          <w:lang w:val="ro-RO"/>
        </w:rPr>
        <w:t xml:space="preserve">. </w:t>
      </w:r>
    </w:p>
  </w:footnote>
  <w:footnote w:id="8">
    <w:p w14:paraId="5F0A0CD4" w14:textId="4AD59821" w:rsidR="009156B5" w:rsidRPr="00381360" w:rsidRDefault="009156B5" w:rsidP="00381360">
      <w:pPr>
        <w:pStyle w:val="FootnoteText"/>
        <w:ind w:left="567" w:hanging="567"/>
        <w:rPr>
          <w:sz w:val="24"/>
          <w:lang w:val="ro-RO"/>
        </w:rPr>
      </w:pPr>
      <w:r w:rsidRPr="00381360">
        <w:rPr>
          <w:rStyle w:val="FootnoteReference"/>
          <w:sz w:val="24"/>
          <w:lang w:val="ro-RO"/>
        </w:rPr>
        <w:footnoteRef/>
      </w:r>
      <w:r w:rsidR="00381360" w:rsidRPr="00381360">
        <w:rPr>
          <w:sz w:val="24"/>
          <w:lang w:val="ro-RO"/>
        </w:rPr>
        <w:t xml:space="preserve"> </w:t>
      </w:r>
      <w:r w:rsidR="00381360" w:rsidRPr="00381360">
        <w:rPr>
          <w:sz w:val="24"/>
          <w:lang w:val="ro-RO"/>
        </w:rPr>
        <w:tab/>
      </w:r>
      <w:r w:rsidRPr="00381360">
        <w:rPr>
          <w:sz w:val="24"/>
          <w:lang w:val="ro-RO"/>
        </w:rPr>
        <w:t xml:space="preserve">JO C, C/2024/5733, 17.10.2024, ELI: </w:t>
      </w:r>
      <w:hyperlink r:id="rId8" w:history="1">
        <w:r w:rsidRPr="00381360">
          <w:rPr>
            <w:rStyle w:val="Hyperlink"/>
            <w:sz w:val="24"/>
            <w:lang w:val="ro-RO"/>
          </w:rPr>
          <w:t>http://data.europa.eu/eli/C/2024/5733/oj</w:t>
        </w:r>
      </w:hyperlink>
      <w:r w:rsidRPr="00381360">
        <w:rPr>
          <w:sz w:val="24"/>
          <w:lang w:val="ro-RO"/>
        </w:rPr>
        <w:t xml:space="preserve">. </w:t>
      </w:r>
    </w:p>
  </w:footnote>
  <w:footnote w:id="9">
    <w:p w14:paraId="1F9AFB4E" w14:textId="724C8FAE" w:rsidR="009156B5" w:rsidRPr="00381360" w:rsidRDefault="009156B5" w:rsidP="00381360">
      <w:pPr>
        <w:pStyle w:val="FootnoteText"/>
        <w:ind w:left="567" w:hanging="567"/>
        <w:rPr>
          <w:sz w:val="24"/>
          <w:lang w:val="ro-RO"/>
        </w:rPr>
      </w:pPr>
      <w:r w:rsidRPr="00381360">
        <w:rPr>
          <w:rStyle w:val="FootnoteReference"/>
          <w:sz w:val="24"/>
          <w:lang w:val="ro-RO"/>
        </w:rPr>
        <w:footnoteRef/>
      </w:r>
      <w:r w:rsidR="00381360" w:rsidRPr="00381360">
        <w:rPr>
          <w:sz w:val="24"/>
          <w:lang w:val="ro-RO"/>
        </w:rPr>
        <w:t xml:space="preserve"> </w:t>
      </w:r>
      <w:r w:rsidR="00381360" w:rsidRPr="00381360">
        <w:rPr>
          <w:sz w:val="24"/>
          <w:lang w:val="ro-RO"/>
        </w:rPr>
        <w:tab/>
      </w:r>
      <w:r w:rsidRPr="00381360">
        <w:rPr>
          <w:sz w:val="24"/>
          <w:lang w:val="ro-RO"/>
        </w:rPr>
        <w:t xml:space="preserve">JO C, C/2026/1708, 24.4.2026, ELI: </w:t>
      </w:r>
      <w:hyperlink r:id="rId9" w:history="1">
        <w:r w:rsidRPr="00381360">
          <w:rPr>
            <w:rStyle w:val="Hyperlink"/>
            <w:sz w:val="24"/>
            <w:lang w:val="ro-RO"/>
          </w:rPr>
          <w:t>http://data.europa.eu/eli/C/2026/1708/oj</w:t>
        </w:r>
      </w:hyperlink>
      <w:r w:rsidRPr="00381360">
        <w:rPr>
          <w:sz w:val="24"/>
          <w:lang w:val="ro-RO"/>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EA3FE" w14:textId="77777777" w:rsidR="00064002" w:rsidRPr="0038136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7FF0F" w14:textId="77777777" w:rsidR="00064002" w:rsidRPr="0038136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E9ED9" w14:textId="77777777" w:rsidR="00064002" w:rsidRPr="0038136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29817490">
    <w:abstractNumId w:val="9"/>
  </w:num>
  <w:num w:numId="2" w16cid:durableId="2000767223">
    <w:abstractNumId w:val="9"/>
  </w:num>
  <w:num w:numId="3" w16cid:durableId="649556842">
    <w:abstractNumId w:val="7"/>
  </w:num>
  <w:num w:numId="4" w16cid:durableId="1536886543">
    <w:abstractNumId w:val="7"/>
  </w:num>
  <w:num w:numId="5" w16cid:durableId="318583907">
    <w:abstractNumId w:val="6"/>
  </w:num>
  <w:num w:numId="6" w16cid:durableId="256908321">
    <w:abstractNumId w:val="6"/>
  </w:num>
  <w:num w:numId="7" w16cid:durableId="240068463">
    <w:abstractNumId w:val="5"/>
  </w:num>
  <w:num w:numId="8" w16cid:durableId="1643269476">
    <w:abstractNumId w:val="5"/>
  </w:num>
  <w:num w:numId="9" w16cid:durableId="1499425855">
    <w:abstractNumId w:val="4"/>
  </w:num>
  <w:num w:numId="10" w16cid:durableId="1595898261">
    <w:abstractNumId w:val="4"/>
  </w:num>
  <w:num w:numId="11" w16cid:durableId="1110977478">
    <w:abstractNumId w:val="8"/>
  </w:num>
  <w:num w:numId="12" w16cid:durableId="132675892">
    <w:abstractNumId w:val="8"/>
  </w:num>
  <w:num w:numId="13" w16cid:durableId="98990171">
    <w:abstractNumId w:val="3"/>
  </w:num>
  <w:num w:numId="14" w16cid:durableId="1941523263">
    <w:abstractNumId w:val="3"/>
  </w:num>
  <w:num w:numId="15" w16cid:durableId="1859812493">
    <w:abstractNumId w:val="2"/>
  </w:num>
  <w:num w:numId="16" w16cid:durableId="293799997">
    <w:abstractNumId w:val="2"/>
  </w:num>
  <w:num w:numId="17" w16cid:durableId="1955166138">
    <w:abstractNumId w:val="1"/>
  </w:num>
  <w:num w:numId="18" w16cid:durableId="1544948874">
    <w:abstractNumId w:val="1"/>
  </w:num>
  <w:num w:numId="19" w16cid:durableId="1760901649">
    <w:abstractNumId w:val="0"/>
  </w:num>
  <w:num w:numId="20" w16cid:durableId="1795758286">
    <w:abstractNumId w:val="0"/>
  </w:num>
  <w:num w:numId="21" w16cid:durableId="839003247">
    <w:abstractNumId w:val="9"/>
  </w:num>
  <w:num w:numId="22" w16cid:durableId="1601715752">
    <w:abstractNumId w:val="7"/>
  </w:num>
  <w:num w:numId="23" w16cid:durableId="1648049875">
    <w:abstractNumId w:val="6"/>
  </w:num>
  <w:num w:numId="24" w16cid:durableId="1412434247">
    <w:abstractNumId w:val="5"/>
  </w:num>
  <w:num w:numId="25" w16cid:durableId="1909605379">
    <w:abstractNumId w:val="4"/>
  </w:num>
  <w:num w:numId="26" w16cid:durableId="707801789">
    <w:abstractNumId w:val="8"/>
  </w:num>
  <w:num w:numId="27" w16cid:durableId="4287077">
    <w:abstractNumId w:val="3"/>
  </w:num>
  <w:num w:numId="28" w16cid:durableId="233782763">
    <w:abstractNumId w:val="2"/>
  </w:num>
  <w:num w:numId="29" w16cid:durableId="23988389">
    <w:abstractNumId w:val="1"/>
  </w:num>
  <w:num w:numId="30" w16cid:durableId="1183742380">
    <w:abstractNumId w:val="0"/>
  </w:num>
  <w:num w:numId="31" w16cid:durableId="1474369584">
    <w:abstractNumId w:val="9"/>
  </w:num>
  <w:num w:numId="32" w16cid:durableId="98650648">
    <w:abstractNumId w:val="7"/>
  </w:num>
  <w:num w:numId="33" w16cid:durableId="2060133098">
    <w:abstractNumId w:val="6"/>
  </w:num>
  <w:num w:numId="34" w16cid:durableId="1468402463">
    <w:abstractNumId w:val="5"/>
  </w:num>
  <w:num w:numId="35" w16cid:durableId="2111462525">
    <w:abstractNumId w:val="4"/>
  </w:num>
  <w:num w:numId="36" w16cid:durableId="652027242">
    <w:abstractNumId w:val="8"/>
  </w:num>
  <w:num w:numId="37" w16cid:durableId="316230503">
    <w:abstractNumId w:val="3"/>
  </w:num>
  <w:num w:numId="38" w16cid:durableId="470639531">
    <w:abstractNumId w:val="2"/>
  </w:num>
  <w:num w:numId="39" w16cid:durableId="136653721">
    <w:abstractNumId w:val="1"/>
  </w:num>
  <w:num w:numId="40" w16cid:durableId="1043099409">
    <w:abstractNumId w:val="0"/>
  </w:num>
  <w:num w:numId="41" w16cid:durableId="1992248187">
    <w:abstractNumId w:val="10"/>
  </w:num>
  <w:num w:numId="42" w16cid:durableId="803307285">
    <w:abstractNumId w:val="10"/>
  </w:num>
  <w:num w:numId="43" w16cid:durableId="519129122">
    <w:abstractNumId w:val="10"/>
  </w:num>
  <w:num w:numId="44" w16cid:durableId="21227191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06/2026"/>
    <w:docVar w:name="dvlangue" w:val="RO"/>
    <w:docVar w:name="dvnumam" w:val="0"/>
    <w:docVar w:name="dvpe" w:val="783.241"/>
    <w:docVar w:name="dvtitre" w:val="Rezoluția Parlamentului European din 30 aprilie 2026 referitoare la necesitatea unor dispoziții penale specifice și responsabilitatea platformelor de a trata în mod eficace hărțuirea cibernetică și hărțuirea online(2026/2693(RSP))"/>
  </w:docVars>
  <w:rsids>
    <w:rsidRoot w:val="00B36E8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8136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302B9"/>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56B5"/>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3ABC"/>
    <w:rsid w:val="00B36E8F"/>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453E"/>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FE238F"/>
  <w15:chartTrackingRefBased/>
  <w15:docId w15:val="{9D92D7D4-429A-48B3-8D8D-645178522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156B5"/>
    <w:pPr>
      <w:spacing w:after="240"/>
      <w:ind w:left="567" w:hanging="567"/>
    </w:pPr>
  </w:style>
  <w:style w:type="paragraph" w:customStyle="1" w:styleId="EPComma">
    <w:name w:val="EPComma"/>
    <w:basedOn w:val="Normal"/>
    <w:rsid w:val="009156B5"/>
    <w:pPr>
      <w:spacing w:before="480" w:after="240"/>
    </w:pPr>
  </w:style>
  <w:style w:type="character" w:customStyle="1" w:styleId="NormalHanging12aChar">
    <w:name w:val="NormalHanging12a Char"/>
    <w:basedOn w:val="DefaultParagraphFont"/>
    <w:link w:val="NormalHanging12a"/>
    <w:rsid w:val="009156B5"/>
    <w:rPr>
      <w:sz w:val="24"/>
      <w:lang w:val="ro-RO"/>
    </w:rPr>
  </w:style>
  <w:style w:type="character" w:styleId="CommentReference">
    <w:name w:val="annotation reference"/>
    <w:rsid w:val="009156B5"/>
    <w:rPr>
      <w:sz w:val="16"/>
      <w:szCs w:val="16"/>
    </w:rPr>
  </w:style>
  <w:style w:type="character" w:styleId="Hyperlink">
    <w:name w:val="Hyperlink"/>
    <w:basedOn w:val="DefaultParagraphFont"/>
    <w:unhideWhenUsed/>
    <w:rsid w:val="009156B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5733/oj" TargetMode="External"/><Relationship Id="rId3" Type="http://schemas.openxmlformats.org/officeDocument/2006/relationships/hyperlink" Target="http://data.europa.eu/eli/dir/2018/1808/oj" TargetMode="External"/><Relationship Id="rId7" Type="http://schemas.openxmlformats.org/officeDocument/2006/relationships/hyperlink" Target="http://data.europa.eu/eli/C/2025/5519/oj" TargetMode="External"/><Relationship Id="rId2" Type="http://schemas.openxmlformats.org/officeDocument/2006/relationships/hyperlink" Target="http://data.europa.eu/eli/dir/2012/29/oj" TargetMode="External"/><Relationship Id="rId1" Type="http://schemas.openxmlformats.org/officeDocument/2006/relationships/hyperlink" Target="http://data.europa.eu/eli/dir/2011/93/oj" TargetMode="External"/><Relationship Id="rId6" Type="http://schemas.openxmlformats.org/officeDocument/2006/relationships/hyperlink" Target="http://data.europa.eu/eli/reg/2024/1689/oj" TargetMode="External"/><Relationship Id="rId5" Type="http://schemas.openxmlformats.org/officeDocument/2006/relationships/hyperlink" Target="http://data.europa.eu/eli/reg/2022/2065/oj" TargetMode="External"/><Relationship Id="rId4" Type="http://schemas.openxmlformats.org/officeDocument/2006/relationships/hyperlink" Target="http://data.europa.eu/eli/dir/2024/1385/oj" TargetMode="External"/><Relationship Id="rId9" Type="http://schemas.openxmlformats.org/officeDocument/2006/relationships/hyperlink" Target="http://data.europa.eu/eli/C/2026/170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2554</Words>
  <Characters>15798</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2026-04-30T12:06:00Z</dcterms:created>
  <dcterms:modified xsi:type="dcterms:W3CDTF">2026-04-30T12:06:00Z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B10-0206/2026</vt:lpwstr>
  </property>
  <property fmtid="{D5CDD505-2E9C-101B-9397-08002B2CF9AE}" pid="4" name="&lt;Type&gt;">
    <vt:lpwstr>RR</vt:lpwstr>
  </property>
</Properties>
</file>