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35E9" w14:paraId="084246E2" w14:textId="77777777" w:rsidTr="0010095E">
        <w:trPr>
          <w:trHeight w:hRule="exact" w:val="1418"/>
        </w:trPr>
        <w:tc>
          <w:tcPr>
            <w:tcW w:w="6804" w:type="dxa"/>
            <w:shd w:val="clear" w:color="auto" w:fill="auto"/>
            <w:vAlign w:val="center"/>
          </w:tcPr>
          <w:p w14:paraId="5F50B70E" w14:textId="77777777" w:rsidR="00751A4A" w:rsidRPr="00A535E9" w:rsidRDefault="00A9340C" w:rsidP="0010095E">
            <w:pPr>
              <w:pStyle w:val="EPName"/>
            </w:pPr>
            <w:r w:rsidRPr="00A535E9">
              <w:t>Evropski parlament</w:t>
            </w:r>
          </w:p>
          <w:p w14:paraId="368B903E" w14:textId="77777777" w:rsidR="00751A4A" w:rsidRPr="00A535E9" w:rsidRDefault="005F1B17" w:rsidP="005F1B17">
            <w:pPr>
              <w:pStyle w:val="EPTerm"/>
              <w:rPr>
                <w:rStyle w:val="HideTWBExt"/>
                <w:noProof w:val="0"/>
                <w:vanish w:val="0"/>
                <w:color w:val="auto"/>
              </w:rPr>
            </w:pPr>
            <w:r w:rsidRPr="00A535E9">
              <w:t>2024</w:t>
            </w:r>
            <w:r w:rsidR="00817416" w:rsidRPr="00A535E9">
              <w:t>-202</w:t>
            </w:r>
            <w:r w:rsidRPr="00A535E9">
              <w:t>9</w:t>
            </w:r>
          </w:p>
        </w:tc>
        <w:tc>
          <w:tcPr>
            <w:tcW w:w="2268" w:type="dxa"/>
            <w:shd w:val="clear" w:color="auto" w:fill="auto"/>
          </w:tcPr>
          <w:p w14:paraId="2329738A" w14:textId="77777777" w:rsidR="00751A4A" w:rsidRPr="00A535E9" w:rsidRDefault="00187494" w:rsidP="0010095E">
            <w:pPr>
              <w:pStyle w:val="EPLogo"/>
            </w:pPr>
            <w:r w:rsidRPr="00A535E9">
              <w:rPr>
                <w:noProof/>
                <w:lang w:eastAsia="ja-JP"/>
              </w:rPr>
              <w:drawing>
                <wp:inline distT="0" distB="0" distL="0" distR="0" wp14:anchorId="49E1E35D" wp14:editId="79DC48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A60618" w14:textId="77777777" w:rsidR="00D058B8" w:rsidRPr="00A535E9" w:rsidRDefault="00D058B8" w:rsidP="004C5D52">
      <w:pPr>
        <w:pStyle w:val="LineTop"/>
      </w:pPr>
    </w:p>
    <w:p w14:paraId="0944B731" w14:textId="77777777" w:rsidR="00680577" w:rsidRPr="00A535E9" w:rsidRDefault="00A9340C" w:rsidP="00680577">
      <w:pPr>
        <w:pStyle w:val="EPBodyTA1"/>
      </w:pPr>
      <w:r w:rsidRPr="00A535E9">
        <w:t>SPREJETA BESEDILA</w:t>
      </w:r>
    </w:p>
    <w:p w14:paraId="2C3478A4" w14:textId="77777777" w:rsidR="00D058B8" w:rsidRPr="00A535E9" w:rsidRDefault="00D058B8" w:rsidP="00D058B8">
      <w:pPr>
        <w:pStyle w:val="LineBottom"/>
      </w:pPr>
    </w:p>
    <w:p w14:paraId="7404FB00" w14:textId="23169ED9" w:rsidR="00A9340C" w:rsidRPr="00A535E9" w:rsidRDefault="00A9340C" w:rsidP="00A9340C">
      <w:pPr>
        <w:pStyle w:val="ATHeading1"/>
      </w:pPr>
      <w:bookmarkStart w:id="0" w:name="TANumber"/>
      <w:r w:rsidRPr="00A535E9">
        <w:t>P10_TA(2026)0</w:t>
      </w:r>
      <w:bookmarkEnd w:id="0"/>
      <w:r w:rsidR="00CC7C1E" w:rsidRPr="00A535E9">
        <w:t>163</w:t>
      </w:r>
    </w:p>
    <w:p w14:paraId="7E1E1D84" w14:textId="77777777" w:rsidR="00A9340C" w:rsidRPr="00A535E9" w:rsidRDefault="00A9340C" w:rsidP="00A9340C">
      <w:pPr>
        <w:pStyle w:val="ATHeading2"/>
      </w:pPr>
      <w:bookmarkStart w:id="1" w:name="title"/>
      <w:r w:rsidRPr="00A535E9">
        <w:t>Nujno potrebne ciljno usmerjene kazenske določbe in odgovornost platform za učinkovito zoperstavljanje kibernetskemu trpinčenju in spletnemu nadlegovanju</w:t>
      </w:r>
      <w:bookmarkEnd w:id="1"/>
    </w:p>
    <w:p w14:paraId="645F4E28" w14:textId="127DE859" w:rsidR="00A9340C" w:rsidRPr="00A535E9" w:rsidRDefault="00A9340C" w:rsidP="00A9340C">
      <w:pPr>
        <w:rPr>
          <w:i/>
          <w:vanish/>
        </w:rPr>
      </w:pPr>
      <w:r w:rsidRPr="00A535E9">
        <w:rPr>
          <w:i/>
        </w:rPr>
        <w:fldChar w:fldCharType="begin"/>
      </w:r>
      <w:r w:rsidRPr="00A535E9">
        <w:rPr>
          <w:i/>
        </w:rPr>
        <w:instrText xml:space="preserve"> TC"(</w:instrText>
      </w:r>
      <w:bookmarkStart w:id="2" w:name="DocNumber"/>
      <w:r w:rsidRPr="00A535E9">
        <w:rPr>
          <w:i/>
        </w:rPr>
        <w:instrText>B10-0206</w:instrText>
      </w:r>
      <w:r w:rsidR="00783E8B" w:rsidRPr="00A535E9">
        <w:rPr>
          <w:i/>
        </w:rPr>
        <w:instrText>, 0213 in 0235</w:instrText>
      </w:r>
      <w:r w:rsidRPr="00A535E9">
        <w:rPr>
          <w:i/>
        </w:rPr>
        <w:instrText>/2026</w:instrText>
      </w:r>
      <w:bookmarkEnd w:id="2"/>
      <w:r w:rsidRPr="00A535E9">
        <w:rPr>
          <w:i/>
        </w:rPr>
        <w:instrText xml:space="preserve">)"\l3 \n&gt; \* MERGEFORMAT </w:instrText>
      </w:r>
      <w:r w:rsidRPr="00A535E9">
        <w:rPr>
          <w:i/>
        </w:rPr>
        <w:fldChar w:fldCharType="end"/>
      </w:r>
    </w:p>
    <w:p w14:paraId="37464274" w14:textId="77777777" w:rsidR="00A9340C" w:rsidRPr="00A535E9" w:rsidRDefault="00A9340C" w:rsidP="00A9340C">
      <w:pPr>
        <w:rPr>
          <w:vanish/>
        </w:rPr>
      </w:pPr>
      <w:bookmarkStart w:id="3" w:name="PE"/>
      <w:r w:rsidRPr="00A535E9">
        <w:rPr>
          <w:vanish/>
        </w:rPr>
        <w:t>PE783.241</w:t>
      </w:r>
      <w:bookmarkEnd w:id="3"/>
    </w:p>
    <w:p w14:paraId="1D702187" w14:textId="77777777" w:rsidR="00A9340C" w:rsidRPr="00A535E9" w:rsidRDefault="00A9340C" w:rsidP="00A9340C">
      <w:pPr>
        <w:pStyle w:val="ATHeading3"/>
      </w:pPr>
      <w:bookmarkStart w:id="4" w:name="Sujet"/>
      <w:r w:rsidRPr="00A535E9">
        <w:t>Resolucija Evropskega parlamenta z dne 30. aprila 2026 o nujno potrebnih ciljno usmerjenih kazenskih določbah in odgovornosti platform za učinkovito zoperstavljanje kibernetskemu trpinčenju in spletnemu nadlegovanju</w:t>
      </w:r>
      <w:bookmarkEnd w:id="4"/>
      <w:r w:rsidRPr="00A535E9">
        <w:t xml:space="preserve"> </w:t>
      </w:r>
      <w:bookmarkStart w:id="5" w:name="References"/>
      <w:r w:rsidRPr="00A535E9">
        <w:t>(2026/2693(RSP))</w:t>
      </w:r>
      <w:bookmarkEnd w:id="5"/>
    </w:p>
    <w:p w14:paraId="6C816134" w14:textId="77777777" w:rsidR="006174FD" w:rsidRPr="00A535E9" w:rsidRDefault="006174FD" w:rsidP="006174FD">
      <w:pPr>
        <w:pStyle w:val="EPComma"/>
      </w:pPr>
      <w:bookmarkStart w:id="6" w:name="TextBodyBegin"/>
      <w:bookmarkEnd w:id="6"/>
      <w:r w:rsidRPr="00A535E9">
        <w:rPr>
          <w:i/>
        </w:rPr>
        <w:t>Evropski parlament</w:t>
      </w:r>
      <w:r w:rsidRPr="00A535E9">
        <w:t>,</w:t>
      </w:r>
    </w:p>
    <w:p w14:paraId="3A7AF942" w14:textId="77777777" w:rsidR="006174FD" w:rsidRPr="00A535E9" w:rsidRDefault="006174FD" w:rsidP="006174FD">
      <w:pPr>
        <w:pStyle w:val="NormalHanging12a"/>
      </w:pPr>
      <w:bookmarkStart w:id="7" w:name="_Hlk228352863"/>
      <w:r w:rsidRPr="00A535E9">
        <w:t>–</w:t>
      </w:r>
      <w:r w:rsidRPr="00A535E9">
        <w:tab/>
        <w:t>ob upoštevanju Listine Evropske unije o temeljnih pravicah, zlasti njenih členov o človekovem dostojanstvu, pravici do življenja, svobodi izražanja, otrokovih pravicah, pravicah žrtev, zasebnosti komunikacij in varstvu osebnih podatkov,</w:t>
      </w:r>
    </w:p>
    <w:p w14:paraId="1AB92C13" w14:textId="77777777" w:rsidR="006174FD" w:rsidRPr="00A535E9" w:rsidRDefault="006174FD" w:rsidP="006174FD">
      <w:pPr>
        <w:pStyle w:val="NormalHanging12a"/>
      </w:pPr>
      <w:r w:rsidRPr="00A535E9">
        <w:t>–</w:t>
      </w:r>
      <w:r w:rsidRPr="00A535E9">
        <w:tab/>
        <w:t>ob upoštevanju Konvencije Združenih narodov o otrokovih pravicah,</w:t>
      </w:r>
    </w:p>
    <w:p w14:paraId="4CDC993D" w14:textId="77777777" w:rsidR="006174FD" w:rsidRPr="00A535E9" w:rsidRDefault="006174FD" w:rsidP="006174FD">
      <w:pPr>
        <w:pStyle w:val="NormalHanging12a"/>
      </w:pPr>
      <w:r w:rsidRPr="00A535E9">
        <w:t>–</w:t>
      </w:r>
      <w:r w:rsidRPr="00A535E9">
        <w:tab/>
        <w:t>ob upoštevanju člena 83(1) in (2) Pogodbe o delovanju Evropske unije (PDEU),</w:t>
      </w:r>
    </w:p>
    <w:p w14:paraId="45EF85D0" w14:textId="77777777" w:rsidR="006174FD" w:rsidRPr="00A535E9" w:rsidRDefault="006174FD" w:rsidP="006174FD">
      <w:pPr>
        <w:pStyle w:val="NormalHanging12a"/>
      </w:pPr>
      <w:r w:rsidRPr="00A535E9">
        <w:t>–</w:t>
      </w:r>
      <w:r w:rsidRPr="00A535E9">
        <w:tab/>
        <w:t>ob upoštevanju Direktive 2011/93/EU Evropskega parlamenta in Sveta z dne 13. decembra 2011 o boju proti spolni zlorabi in spolnemu izkoriščanju otrok ter otroški pornografiji in nadomestitvi Okvirnega sklepa Sveta 2004/68/PNZ</w:t>
      </w:r>
      <w:r w:rsidRPr="00A535E9">
        <w:rPr>
          <w:rStyle w:val="FootnoteReference"/>
        </w:rPr>
        <w:footnoteReference w:id="1"/>
      </w:r>
      <w:r w:rsidRPr="00A535E9">
        <w:t>,</w:t>
      </w:r>
    </w:p>
    <w:p w14:paraId="10ED4F70" w14:textId="77777777" w:rsidR="006174FD" w:rsidRPr="00A535E9" w:rsidRDefault="006174FD" w:rsidP="006174FD">
      <w:pPr>
        <w:pStyle w:val="NormalHanging12a"/>
      </w:pPr>
      <w:r w:rsidRPr="00A535E9">
        <w:t>–</w:t>
      </w:r>
      <w:r w:rsidRPr="00A535E9">
        <w:tab/>
        <w:t>ob upoštevanju Direktive 2012/29/EU Evropskega parlamenta in Sveta z dne 25. oktobra 2012 o določitvi minimalnih standardov na področju pravic, podpore in zaščite žrtev kaznivih dejanj ter o nadomestitvi Okvirnega sklepa Sveta 2001/220/PNZ</w:t>
      </w:r>
      <w:r w:rsidRPr="00A535E9">
        <w:rPr>
          <w:rStyle w:val="FootnoteReference"/>
        </w:rPr>
        <w:footnoteReference w:id="2"/>
      </w:r>
      <w:r w:rsidRPr="00A535E9">
        <w:t xml:space="preserve"> (direktiva o pravicah žrtev),</w:t>
      </w:r>
    </w:p>
    <w:p w14:paraId="7B0D2B1D" w14:textId="014B2DCC" w:rsidR="006174FD" w:rsidRPr="00A535E9" w:rsidRDefault="006174FD" w:rsidP="006174FD">
      <w:pPr>
        <w:pStyle w:val="NormalHanging12a"/>
      </w:pPr>
      <w:r w:rsidRPr="00A535E9">
        <w:t>–</w:t>
      </w:r>
      <w:r w:rsidRPr="00A535E9">
        <w:tab/>
        <w:t>ob upoštevanju Direktive (EU) 2018/1808 Evropskega parlamenta in Sveta z dne 14. novembra 2018 o spremembi Direktive 2010/13/EU o usklajevanju nekaterih zakonov in drugih predpisov držav članic o opravljanju avdiovizualnih medijskih storitev (</w:t>
      </w:r>
      <w:r w:rsidR="00A1140E" w:rsidRPr="00A535E9">
        <w:t>D</w:t>
      </w:r>
      <w:r w:rsidRPr="00A535E9">
        <w:t>irektiva o avdiovizualnih medijskih storitvah) glede na spreminjajoče se tržne razmere</w:t>
      </w:r>
      <w:r w:rsidRPr="00A535E9">
        <w:rPr>
          <w:rStyle w:val="FootnoteReference"/>
        </w:rPr>
        <w:footnoteReference w:id="3"/>
      </w:r>
      <w:r w:rsidRPr="00A535E9">
        <w:t>,</w:t>
      </w:r>
    </w:p>
    <w:p w14:paraId="433BF6EA" w14:textId="77777777" w:rsidR="006174FD" w:rsidRPr="00A535E9" w:rsidRDefault="006174FD" w:rsidP="006174FD">
      <w:pPr>
        <w:pStyle w:val="NormalHanging12a"/>
      </w:pPr>
      <w:r w:rsidRPr="00A535E9">
        <w:lastRenderedPageBreak/>
        <w:t>–</w:t>
      </w:r>
      <w:r w:rsidRPr="00A535E9">
        <w:tab/>
        <w:t>ob upoštevanju Direktive (EU) 2024/1385 Evropskega parlamenta in Sveta z dne 14. maja 2024 o boju proti nasilju nad ženskami in nasilju v družini</w:t>
      </w:r>
      <w:r w:rsidRPr="00A535E9">
        <w:rPr>
          <w:rStyle w:val="FootnoteReference"/>
        </w:rPr>
        <w:footnoteReference w:id="4"/>
      </w:r>
      <w:r w:rsidRPr="00A535E9">
        <w:t>,</w:t>
      </w:r>
    </w:p>
    <w:p w14:paraId="6E7C40C1" w14:textId="48F2E720" w:rsidR="006174FD" w:rsidRPr="00A535E9" w:rsidRDefault="006174FD" w:rsidP="006174FD">
      <w:pPr>
        <w:pStyle w:val="NormalHanging12a"/>
      </w:pPr>
      <w:r w:rsidRPr="00A535E9">
        <w:t>–</w:t>
      </w:r>
      <w:r w:rsidRPr="00A535E9">
        <w:tab/>
        <w:t>ob upoštevanju Uredbe (EU) 2022/2065 Evropskega parlamenta in Sveta z dne 19. oktobra 2022 o enotnem trgu digitalnih storitev in spremembi Direktive 2000/31/ES (</w:t>
      </w:r>
      <w:r w:rsidR="00A1140E" w:rsidRPr="00A535E9">
        <w:t>A</w:t>
      </w:r>
      <w:r w:rsidRPr="00A535E9">
        <w:t>kt o digitalnih storitvah)</w:t>
      </w:r>
      <w:r w:rsidRPr="00A535E9">
        <w:rPr>
          <w:rStyle w:val="FootnoteReference"/>
        </w:rPr>
        <w:footnoteReference w:id="5"/>
      </w:r>
      <w:r w:rsidRPr="00A535E9">
        <w:t>,</w:t>
      </w:r>
    </w:p>
    <w:p w14:paraId="2FCD0C79" w14:textId="367D8017" w:rsidR="006174FD" w:rsidRPr="00A535E9" w:rsidRDefault="006174FD" w:rsidP="006174FD">
      <w:pPr>
        <w:pStyle w:val="NormalHanging12a"/>
      </w:pPr>
      <w:r w:rsidRPr="00A535E9">
        <w:t>–</w:t>
      </w:r>
      <w:r w:rsidRPr="00A535E9">
        <w:tab/>
        <w:t>ob upoštevanju Uredbe (EU) 2024/1689 Evropskega parlamenta in Sveta z dne 13. junija 2024 o določitvi harmoniziranih pravil o umetni inteligenci in spremembi uredb (ES) št. 300/2008, (EU) št. 167/2013, (EU) št. 168/2013, (EU) 2018/858, (EU) 2018/1139 in (EU) 2019/2144 ter direktiv 2014/90/EU, (EU) 2016/797 in (EU) 2020/1828 (</w:t>
      </w:r>
      <w:r w:rsidR="00A1140E" w:rsidRPr="00A535E9">
        <w:t>A</w:t>
      </w:r>
      <w:r w:rsidRPr="00A535E9">
        <w:t>kt o umetni inteligenci)</w:t>
      </w:r>
      <w:r w:rsidRPr="00A535E9">
        <w:rPr>
          <w:rStyle w:val="FootnoteReference"/>
        </w:rPr>
        <w:footnoteReference w:id="6"/>
      </w:r>
      <w:r w:rsidRPr="00A535E9">
        <w:t>,</w:t>
      </w:r>
    </w:p>
    <w:p w14:paraId="68644835" w14:textId="77777777" w:rsidR="006174FD" w:rsidRPr="00A535E9" w:rsidRDefault="006174FD" w:rsidP="006174FD">
      <w:pPr>
        <w:pStyle w:val="NormalHanging12a"/>
      </w:pPr>
      <w:r w:rsidRPr="00A535E9">
        <w:t>–</w:t>
      </w:r>
      <w:r w:rsidRPr="00A535E9">
        <w:tab/>
        <w:t>ob upoštevanju smernic Komisije z dne 10. oktobra 2025 o ukrepih za zagotavljanje visoke ravni zasebnosti, varnosti in varstva mladoletnikov na spletu v skladu s členom 28(4) Uredbe (EU) 2022/2065</w:t>
      </w:r>
      <w:r w:rsidRPr="00A535E9">
        <w:rPr>
          <w:rStyle w:val="FootnoteReference"/>
        </w:rPr>
        <w:footnoteReference w:id="7"/>
      </w:r>
      <w:r w:rsidRPr="00A535E9">
        <w:t>,</w:t>
      </w:r>
    </w:p>
    <w:p w14:paraId="6A3319AE" w14:textId="77777777" w:rsidR="006174FD" w:rsidRPr="00A535E9" w:rsidRDefault="006174FD" w:rsidP="006174FD">
      <w:pPr>
        <w:pStyle w:val="NormalHanging12a"/>
      </w:pPr>
      <w:r w:rsidRPr="00A535E9">
        <w:t>–</w:t>
      </w:r>
      <w:r w:rsidRPr="00A535E9">
        <w:tab/>
        <w:t>ob upoštevanju sporočila Komisije z dne 10. februarja 2026 z naslovom Akcijski načrt za boj proti spletnemu nadlegovanju „Varnejši na spletu, močnejši skupaj“ (COM(2026)0071),</w:t>
      </w:r>
    </w:p>
    <w:p w14:paraId="456D0ECA" w14:textId="77777777" w:rsidR="006174FD" w:rsidRPr="00A535E9" w:rsidRDefault="006174FD" w:rsidP="006174FD">
      <w:pPr>
        <w:pStyle w:val="NormalHanging12a"/>
      </w:pPr>
      <w:r w:rsidRPr="00A535E9">
        <w:t>–</w:t>
      </w:r>
      <w:r w:rsidRPr="00A535E9">
        <w:tab/>
        <w:t xml:space="preserve">ob upoštevanju poročila Komisije z dne 25. novembra 2025 z naslovom </w:t>
      </w:r>
      <w:r w:rsidRPr="00A535E9">
        <w:rPr>
          <w:i/>
          <w:iCs/>
        </w:rPr>
        <w:t>Cyberbullying – Insights from science, policy and legislation</w:t>
      </w:r>
      <w:r w:rsidRPr="00A535E9">
        <w:t xml:space="preserve"> (Kibernetsko trpinčenje: dognanja na podlagi znanstvene literature, dokumentov politike in zakonodaje),</w:t>
      </w:r>
    </w:p>
    <w:p w14:paraId="03DD286A" w14:textId="77777777" w:rsidR="006174FD" w:rsidRPr="00A535E9" w:rsidRDefault="006174FD" w:rsidP="006174FD">
      <w:pPr>
        <w:pStyle w:val="NormalHanging12a"/>
      </w:pPr>
      <w:r w:rsidRPr="00A535E9">
        <w:t>–</w:t>
      </w:r>
      <w:r w:rsidRPr="00A535E9">
        <w:tab/>
        <w:t>ob upoštevanju sporočila Komisije z dne 11. maja 2022 z naslovom Digitalno desetletje za otroke in mlade: nova evropska strategija za boljši internet za otroke (BIK+) (COM(2022)0212),</w:t>
      </w:r>
    </w:p>
    <w:p w14:paraId="5664137E" w14:textId="77777777" w:rsidR="006174FD" w:rsidRPr="00A535E9" w:rsidRDefault="006174FD" w:rsidP="006174FD">
      <w:pPr>
        <w:pStyle w:val="NormalHanging12a"/>
      </w:pPr>
      <w:r w:rsidRPr="00A535E9">
        <w:t>–</w:t>
      </w:r>
      <w:r w:rsidRPr="00A535E9">
        <w:tab/>
        <w:t>ob upoštevanju sporočila Komisije z dne 9. decembra 2021 z naslovom Za večje vključevanje in zaščito v Evropi: vključitev sovražnega govora in kaznivih dejanj iz sovraštva na evropski seznam kaznivih dejanj (COM(2021)0777) ter priloženega predloga sklepa Sveta,</w:t>
      </w:r>
    </w:p>
    <w:p w14:paraId="584CB053" w14:textId="77777777" w:rsidR="006174FD" w:rsidRPr="00A535E9" w:rsidRDefault="006174FD" w:rsidP="006174FD">
      <w:pPr>
        <w:pStyle w:val="NormalHanging12a"/>
      </w:pPr>
      <w:r w:rsidRPr="00A535E9">
        <w:t>–</w:t>
      </w:r>
      <w:r w:rsidRPr="00A535E9">
        <w:tab/>
        <w:t>ob upoštevanju svoje resolucije z dne 18. januarja 2024 o vključitvi sovražnega govora in kaznivih dejanj iz sovraštva na evropski seznam kaznivih dejanj</w:t>
      </w:r>
      <w:r w:rsidRPr="00A535E9">
        <w:rPr>
          <w:rStyle w:val="FootnoteReference"/>
        </w:rPr>
        <w:footnoteReference w:id="8"/>
      </w:r>
      <w:r w:rsidRPr="00A535E9">
        <w:t>,</w:t>
      </w:r>
    </w:p>
    <w:p w14:paraId="11153B0B" w14:textId="77777777" w:rsidR="006174FD" w:rsidRPr="00A535E9" w:rsidRDefault="006174FD" w:rsidP="006174FD">
      <w:pPr>
        <w:pStyle w:val="NormalHanging12a"/>
      </w:pPr>
      <w:r w:rsidRPr="00A535E9">
        <w:t>–</w:t>
      </w:r>
      <w:r w:rsidRPr="00A535E9">
        <w:tab/>
        <w:t>ob upoštevanju nacionalne zakonodaje proti kibernetskemu trpinčenju, vključno z irskim Cocojinim zakonom,</w:t>
      </w:r>
    </w:p>
    <w:p w14:paraId="7686D522" w14:textId="77777777" w:rsidR="006174FD" w:rsidRPr="00A535E9" w:rsidRDefault="006174FD" w:rsidP="006174FD">
      <w:pPr>
        <w:pStyle w:val="NormalHanging12a"/>
      </w:pPr>
      <w:r w:rsidRPr="00A535E9">
        <w:t>–</w:t>
      </w:r>
      <w:r w:rsidRPr="00A535E9">
        <w:tab/>
        <w:t>ob upoštevanju govora Cocojine matere Jackie Fox v Evropskem parlamentu 10. marca 2026 ob mednarodnem dnevu žena,</w:t>
      </w:r>
    </w:p>
    <w:p w14:paraId="2DAB65C6" w14:textId="77777777" w:rsidR="006174FD" w:rsidRPr="00A535E9" w:rsidRDefault="006174FD" w:rsidP="006174FD">
      <w:pPr>
        <w:pStyle w:val="NormalHanging12a"/>
      </w:pPr>
      <w:r w:rsidRPr="00A535E9">
        <w:t>–</w:t>
      </w:r>
      <w:r w:rsidRPr="00A535E9">
        <w:tab/>
        <w:t>ob upoštevanju strategije Komisije za enakost LGBTIQ+ oseb za obdobje 2026–2030 z dne 8. oktobra 2025 (COM(2025)0725),</w:t>
      </w:r>
    </w:p>
    <w:p w14:paraId="236C307A" w14:textId="77777777" w:rsidR="006174FD" w:rsidRPr="00A535E9" w:rsidRDefault="006174FD" w:rsidP="006174FD">
      <w:pPr>
        <w:pStyle w:val="NormalHanging12a"/>
      </w:pPr>
      <w:r w:rsidRPr="00A535E9">
        <w:lastRenderedPageBreak/>
        <w:t>–</w:t>
      </w:r>
      <w:r w:rsidRPr="00A535E9">
        <w:tab/>
        <w:t>ob upoštevanju svoje resolucije z dne 26. novembra 2025 o zaščiti mladoletnikov na spletu</w:t>
      </w:r>
      <w:r w:rsidRPr="00A535E9">
        <w:rPr>
          <w:rStyle w:val="FootnoteReference"/>
        </w:rPr>
        <w:footnoteReference w:id="9"/>
      </w:r>
      <w:r w:rsidRPr="00A535E9">
        <w:t>,</w:t>
      </w:r>
    </w:p>
    <w:p w14:paraId="088C801B" w14:textId="77777777" w:rsidR="006174FD" w:rsidRPr="00A535E9" w:rsidRDefault="006174FD" w:rsidP="006174FD">
      <w:pPr>
        <w:pStyle w:val="NormalHanging12a"/>
      </w:pPr>
      <w:r w:rsidRPr="00A535E9">
        <w:t>–</w:t>
      </w:r>
      <w:r w:rsidRPr="00A535E9">
        <w:tab/>
        <w:t>ob upoštevanju člena 136(2) in (4) Poslovnika,</w:t>
      </w:r>
    </w:p>
    <w:p w14:paraId="111B3FBD" w14:textId="77777777" w:rsidR="006174FD" w:rsidRPr="00A535E9" w:rsidRDefault="006174FD" w:rsidP="006174FD">
      <w:pPr>
        <w:pStyle w:val="NormalHanging12a"/>
      </w:pPr>
      <w:r w:rsidRPr="00A535E9">
        <w:t>A.</w:t>
      </w:r>
      <w:r w:rsidRPr="00A535E9">
        <w:tab/>
        <w:t>ker se kibernetsko trpinčenje nanaša na vedenje, ki se naslanja na digitalne tehnologije in katerega glavni namen ali učinek je ponavljajoče se ali stalno poniževanje, socialno izključevanje, zloraba ali nadlegovanje ljudi, zlasti otrok ali mladih, ali škodovanje tem ljudem;</w:t>
      </w:r>
    </w:p>
    <w:p w14:paraId="5D68E46A" w14:textId="77777777" w:rsidR="006174FD" w:rsidRPr="00A535E9" w:rsidRDefault="006174FD" w:rsidP="006174FD">
      <w:pPr>
        <w:pStyle w:val="NormalHanging12a"/>
      </w:pPr>
      <w:r w:rsidRPr="00A535E9">
        <w:t>B.</w:t>
      </w:r>
      <w:r w:rsidRPr="00A535E9">
        <w:tab/>
        <w:t>ker je kibernetsko trpinčenje vse večji problem, kot je priznano v akcijskem načrtu Komisije za boj proti spletnemu nadlegovanju; ker je 18,3 % otrok po svetu že doživelo kibernetsko trpinčenje v obliki elektronskih sporočil ali objav v družbenih medijih; ker v Evropi približno vsak šesti otrok, star od 11 do 15 let, pravi, da je bil žrtev kibernetskega trpinčenja; ker se je med letoma 2018 in 2022 število mladostnikov, ki so bili žrtve kibernetskega trpinčenja, povečalo za četrtino pri fantih in za skoraj četrtino pri dekletih; ker je bilo v zadnjih petih letih kibernetsko trpinčenje vedno glavni razlog za klice na telefonske številke za pomoč centrov za varnejši internet;</w:t>
      </w:r>
    </w:p>
    <w:p w14:paraId="1C0F9D89" w14:textId="77777777" w:rsidR="006174FD" w:rsidRPr="00A535E9" w:rsidRDefault="006174FD" w:rsidP="006174FD">
      <w:pPr>
        <w:pStyle w:val="NormalHanging12a"/>
      </w:pPr>
      <w:r w:rsidRPr="00A535E9">
        <w:t>C.</w:t>
      </w:r>
      <w:r w:rsidRPr="00A535E9">
        <w:tab/>
        <w:t>ker je bilo v raziskavi Eurobarometra o digitalnem desetletju iz leta 2025 ugotovljeno, da 92 % državljanov EU meni, da morajo javni organi nujno ukrepati za zaščito otrok na spletu pred kibernetskim trpinčenjem in spletnim nadlegovanjem, pri čemer poudarjajo, da je treba nujno usklajeno ukrepati za preprečevanje, obravnavanje in blažitev škodljivih učinkov kibernetskega trpinčenja v državah članicah;</w:t>
      </w:r>
    </w:p>
    <w:p w14:paraId="1E1B613F" w14:textId="77777777" w:rsidR="006174FD" w:rsidRPr="00A535E9" w:rsidRDefault="006174FD" w:rsidP="006174FD">
      <w:pPr>
        <w:pStyle w:val="NormalHanging12a"/>
      </w:pPr>
      <w:r w:rsidRPr="00A535E9">
        <w:t>D.</w:t>
      </w:r>
      <w:r w:rsidRPr="00A535E9">
        <w:tab/>
        <w:t>ker kibernetsko trpinčenje nesorazmerno prizadene osebe, ki so na stičišču več ranljivosti, vključno z ženskami in dekleti, osebami LGBTIQ+, mladimi, invalidnimi otroci, osebami z manjšinskim poreklom, migranti in rasiziranimi mladimi, in ker te prekrivajoče se podlage za diskriminacijo še stopnjujejo škodo, ki jo utrpijo;</w:t>
      </w:r>
    </w:p>
    <w:p w14:paraId="1B6E6483" w14:textId="77777777" w:rsidR="006174FD" w:rsidRPr="00A535E9" w:rsidRDefault="006174FD" w:rsidP="006174FD">
      <w:pPr>
        <w:pStyle w:val="NormalHanging12a"/>
      </w:pPr>
      <w:r w:rsidRPr="00A535E9">
        <w:t>E.</w:t>
      </w:r>
      <w:r w:rsidRPr="00A535E9">
        <w:tab/>
        <w:t>ker imata kibernetsko trpinčenje in spletno nadlegovanje, tudi zloraba na podlagi slik, hude in trajne posledice za žrtve, zlasti mladoletnike, med katerimi so psihološka škoda, družbena odtujenost in v skrajnih primerih izguba življenja;</w:t>
      </w:r>
    </w:p>
    <w:p w14:paraId="7512B906" w14:textId="77777777" w:rsidR="006174FD" w:rsidRPr="00A535E9" w:rsidRDefault="006174FD" w:rsidP="006174FD">
      <w:pPr>
        <w:pStyle w:val="NormalHanging12a"/>
      </w:pPr>
      <w:r w:rsidRPr="00A535E9">
        <w:t>F.</w:t>
      </w:r>
      <w:r w:rsidRPr="00A535E9">
        <w:tab/>
        <w:t>ker je treba kibernetsko trpinčenje v številnih primerih razumeti kot obliko nasilja na podlagi spola, vključno z razširjanjem intimnih posnetkov brez privolitve, usklajenimi sovražnimi kampanjami in napadi na ženske v javnem življenju; ker umetna inteligenca daje kibernetskemu trpinčenju novo nevarno razsežnost, katere tarča so zlasti ženske in otroci;</w:t>
      </w:r>
    </w:p>
    <w:p w14:paraId="6A51074D" w14:textId="77777777" w:rsidR="006174FD" w:rsidRPr="00A535E9" w:rsidRDefault="006174FD" w:rsidP="006174FD">
      <w:pPr>
        <w:pStyle w:val="NormalHanging12a"/>
      </w:pPr>
      <w:r w:rsidRPr="00A535E9">
        <w:t>G.</w:t>
      </w:r>
      <w:r w:rsidRPr="00A535E9">
        <w:tab/>
        <w:t>ker ima kibernetsko trpinčenje pogosto čezmejno razsežnost, saj se izvaja na platformah družbenih medijev, v aplikacijah za pošiljanje sporočil, igralnih okoljih in drugih spletnih prostorih; ker se je kibernetsko trpinčenje izkazalo za eno največjih groženj za spletno varnost in dobro počutje mladoletnikov in mladih v EU;</w:t>
      </w:r>
    </w:p>
    <w:p w14:paraId="4191F302" w14:textId="77777777" w:rsidR="006174FD" w:rsidRPr="00A535E9" w:rsidRDefault="006174FD" w:rsidP="006174FD">
      <w:pPr>
        <w:pStyle w:val="NormalHanging12a"/>
      </w:pPr>
      <w:r w:rsidRPr="00A535E9">
        <w:t>H.</w:t>
      </w:r>
      <w:r w:rsidRPr="00A535E9">
        <w:tab/>
        <w:t xml:space="preserve">ker na ravni EU oziroma na mednarodni ravni ni skupno dogovorjene pravne opredelitve kibernetskega trpinčenja; ker med državami članicami še vedno obstaja precejšnja pravna razdrobljenost glede opredelitve kibernetskega trpinčenja in kazni zanj, zaradi česar žrtve niso enako zaščitene, poleg tega pa prihaja do pravne </w:t>
      </w:r>
      <w:r w:rsidRPr="00A535E9">
        <w:lastRenderedPageBreak/>
        <w:t>negotovosti za organe preprečevanja, odkrivanja in preiskovanja kaznivih dejanj;</w:t>
      </w:r>
    </w:p>
    <w:p w14:paraId="17246BFF" w14:textId="77777777" w:rsidR="006174FD" w:rsidRPr="00A535E9" w:rsidRDefault="006174FD" w:rsidP="006174FD">
      <w:pPr>
        <w:pStyle w:val="NormalHanging12a"/>
      </w:pPr>
      <w:r w:rsidRPr="00A535E9">
        <w:t>I.</w:t>
      </w:r>
      <w:r w:rsidRPr="00A535E9">
        <w:tab/>
        <w:t>ker je več držav članic uvedlo ciljno usmerjene kazenske določbe, ki obravnavajo kibernetsko trpinčenje; ker nacionalna zakonodaja, kot je Cocojin zakon na Irskem, poskuša obravnavati škodljivo ravnanje na spletu, med drugim razširjanje intimnih posnetkov brez privolitve in hudo spletno nadlegovanje; ker je Komisija 9. decembra 2021 predlagala, da se „kazniva dejanja iz sovraštva“ dodajo na seznam kaznivih dejanj EU iz člena 83(1) PDEU; ker ta predlog ni dobil potrebne soglasne podpore držav članic;</w:t>
      </w:r>
    </w:p>
    <w:p w14:paraId="6B4FC810" w14:textId="77777777" w:rsidR="006174FD" w:rsidRPr="00A535E9" w:rsidRDefault="006174FD" w:rsidP="006174FD">
      <w:pPr>
        <w:pStyle w:val="NormalHanging12a"/>
        <w:rPr>
          <w:bCs/>
        </w:rPr>
      </w:pPr>
      <w:r w:rsidRPr="00A535E9">
        <w:t>J.</w:t>
      </w:r>
      <w:r w:rsidRPr="00A535E9">
        <w:tab/>
        <w:t>ker je predsednica Komisije v svojem govoru o stanju v Uniji leta 2025 napovedala, da bo zbrala skupino strokovnjakov, ki ji bo svetovala o varnosti otrok na spletu in morebitnih starostnih omejitvah za dostop do družbenih medijev; ker se pričakuje, da bosta sopredsednika skupine do poletja 2026 predsednici Komisije poročala o ugotovitvah in priporočilih strokovnjakov;</w:t>
      </w:r>
    </w:p>
    <w:p w14:paraId="6EBAF104" w14:textId="77777777" w:rsidR="006174FD" w:rsidRPr="00A535E9" w:rsidRDefault="006174FD" w:rsidP="006174FD">
      <w:pPr>
        <w:pStyle w:val="NormalHanging12a"/>
      </w:pPr>
      <w:r w:rsidRPr="00A535E9">
        <w:t>K.</w:t>
      </w:r>
      <w:r w:rsidRPr="00A535E9">
        <w:tab/>
        <w:t>ker poslovni model nekaterih spletnih platform spodbuja širjenje sovražnih vsebin in tako prispeva k manj varnemu spletnemu okolju, zlasti za mladoletnike, ženske ter osebe LGBTIQ+ in druge manjšine; ker je Komisija začela več preiskav na podlagi akta o digitalnih storitvah proti zelo velikim ponudnikom spletnih storitev v zvezi s kibernetskim trpinčenjem in nadlegovanjem;</w:t>
      </w:r>
    </w:p>
    <w:p w14:paraId="14BD132D" w14:textId="77777777" w:rsidR="006174FD" w:rsidRPr="00A535E9" w:rsidRDefault="006174FD" w:rsidP="006174FD">
      <w:pPr>
        <w:pStyle w:val="NormalHanging12a"/>
        <w:rPr>
          <w:b/>
          <w:i/>
          <w:iCs/>
          <w:szCs w:val="24"/>
        </w:rPr>
      </w:pPr>
      <w:r w:rsidRPr="00A535E9">
        <w:rPr>
          <w:b/>
          <w:i/>
        </w:rPr>
        <w:t>Akcijski načrt Komisije za boj proti spletnemu nadlegovanju</w:t>
      </w:r>
    </w:p>
    <w:p w14:paraId="34956E67" w14:textId="77777777" w:rsidR="006174FD" w:rsidRPr="00A535E9" w:rsidRDefault="006174FD" w:rsidP="006174FD">
      <w:pPr>
        <w:pStyle w:val="NormalHanging12a"/>
      </w:pPr>
      <w:r w:rsidRPr="00A535E9">
        <w:t>1.</w:t>
      </w:r>
      <w:r w:rsidRPr="00A535E9">
        <w:tab/>
        <w:t>pozdravlja akcijski načrt Komisije za boj proti spletnemu nadlegovanju kot okvir za boj proti kibernetskemu trpinčenju, vključno z opredelitvijo, ki jo predlaga in ki omogoča skladno statistično oceno in izmenjavo najboljših praks, pa tudi strožje izvajanje in izvrševanje veljavne zakonodaje;</w:t>
      </w:r>
    </w:p>
    <w:p w14:paraId="63B94314" w14:textId="77777777" w:rsidR="006174FD" w:rsidRPr="00A535E9" w:rsidRDefault="006174FD" w:rsidP="006174FD">
      <w:pPr>
        <w:pStyle w:val="NormalHanging12a"/>
      </w:pPr>
      <w:r w:rsidRPr="00A535E9">
        <w:t>2.</w:t>
      </w:r>
      <w:r w:rsidRPr="00A535E9">
        <w:tab/>
        <w:t>pozdravlja, da je akcijski načrt osredotočen na preprečevanje in digitalno pismenost kot učinkoviti dolgoročni orodji; poziva Komisijo in države članice, naj vlagajo v starosti primerno digitalno izobraževanje in programe medijskega opismenjevanja, da bodo ti viri dosegli otroke v vseh socialno-ekonomskih okoliščinah;</w:t>
      </w:r>
    </w:p>
    <w:p w14:paraId="554F320D" w14:textId="77777777" w:rsidR="006174FD" w:rsidRPr="00A535E9" w:rsidRDefault="006174FD" w:rsidP="006174FD">
      <w:pPr>
        <w:pStyle w:val="NormalHanging12a"/>
        <w:rPr>
          <w:bCs/>
        </w:rPr>
      </w:pPr>
      <w:r w:rsidRPr="00A535E9">
        <w:t>3.</w:t>
      </w:r>
      <w:r w:rsidRPr="00A535E9">
        <w:tab/>
        <w:t>ponovno poziva države članice, naj pripravijo celovite nacionalne načrte za boj proti kibernetskemu trpinčenju ter poskrbijo za učinkovite, sorazmerne in odvračilne kazni za kazniva dejanja kibernetskega trpinčenja, pri čemer naj upoštevajo resnost in ponavljajočo se naravo ravnanja ter ranljivost žrtve;</w:t>
      </w:r>
    </w:p>
    <w:p w14:paraId="5A400A1E" w14:textId="77777777" w:rsidR="006174FD" w:rsidRPr="00A535E9" w:rsidRDefault="006174FD" w:rsidP="006174FD">
      <w:pPr>
        <w:pStyle w:val="NormalHanging12a"/>
        <w:rPr>
          <w:rStyle w:val="CommentReference"/>
          <w:color w:val="000000"/>
          <w:spacing w:val="-2"/>
          <w:szCs w:val="24"/>
        </w:rPr>
      </w:pPr>
      <w:r w:rsidRPr="00A535E9">
        <w:t>4.</w:t>
      </w:r>
      <w:r w:rsidRPr="00A535E9">
        <w:tab/>
        <w:t>meni, da bi bilo treba žrtvam omogočiti enostavno prijavo kibernetskega trpinčenja; ugotavlja, da je v akcijskem načrtu predvidena spletna varnostna aplikacija proti kibernetskemu trpinčenju, in sicer v obliki uporabniku prijaznega interoperabilnega mehanizma za prijavo, ki deluje po vsej EU, za centralizacijo prijav, usklajene podpore in zbiranja dokazov;</w:t>
      </w:r>
    </w:p>
    <w:p w14:paraId="65D1023A" w14:textId="77777777" w:rsidR="006174FD" w:rsidRPr="00A535E9" w:rsidRDefault="006174FD" w:rsidP="006174FD">
      <w:pPr>
        <w:pStyle w:val="NormalHanging12a"/>
        <w:rPr>
          <w:b/>
          <w:i/>
          <w:iCs/>
          <w:szCs w:val="24"/>
        </w:rPr>
      </w:pPr>
      <w:r w:rsidRPr="00A535E9">
        <w:rPr>
          <w:b/>
          <w:i/>
        </w:rPr>
        <w:t>Kazensko pravo</w:t>
      </w:r>
    </w:p>
    <w:p w14:paraId="1E4F6967" w14:textId="77777777" w:rsidR="006174FD" w:rsidRPr="00A535E9" w:rsidRDefault="006174FD" w:rsidP="006174FD">
      <w:pPr>
        <w:pStyle w:val="NormalHanging12a"/>
      </w:pPr>
      <w:r w:rsidRPr="00A535E9">
        <w:t>5.</w:t>
      </w:r>
      <w:r w:rsidRPr="00A535E9">
        <w:tab/>
        <w:t xml:space="preserve">izraža zaskrbljenost, ker so kljub zakonodajnim in političnim ukrepom, ki so bili sprejeti na ravni EU in nacionalni ravni, kibernetsko trpinčenje in zlorabe s fotografijami ali videoposnetki po EU vse pogostejši, to pa kaže, da obstoječi instrumenti, tudi obveznosti iz akta o digitalnih storitvah in harmonizacija na podlagi direktive o boju proti nasilju nad ženskami in nasilju v družini, nemara ne zadostujejo </w:t>
      </w:r>
      <w:r w:rsidRPr="00A535E9">
        <w:lastRenderedPageBreak/>
        <w:t>za obravnavo tega problema v vsem njegovem obsegu in resnosti;</w:t>
      </w:r>
    </w:p>
    <w:p w14:paraId="678B5155" w14:textId="77777777" w:rsidR="006174FD" w:rsidRPr="00A535E9" w:rsidRDefault="006174FD" w:rsidP="006174FD">
      <w:pPr>
        <w:pStyle w:val="NormalHanging12a"/>
      </w:pPr>
      <w:r w:rsidRPr="00A535E9">
        <w:t>6.</w:t>
      </w:r>
      <w:r w:rsidRPr="00A535E9">
        <w:tab/>
        <w:t>ugotavlja, da v akcijskem načrtu niso predvideni kazenskopravni ukrepi na ravni EU;</w:t>
      </w:r>
    </w:p>
    <w:p w14:paraId="66BC1D91" w14:textId="77777777" w:rsidR="006174FD" w:rsidRPr="00A535E9" w:rsidRDefault="006174FD" w:rsidP="006174FD">
      <w:pPr>
        <w:pStyle w:val="NormalHanging12a"/>
      </w:pPr>
      <w:r w:rsidRPr="00A535E9">
        <w:t>7.</w:t>
      </w:r>
      <w:r w:rsidRPr="00A535E9">
        <w:tab/>
        <w:t>poziva Komisijo, naj oceni, ali je potreben bolj harmoniziran pristop na ravni EU za opredelitev kibernetskega trpinčenja; poziva Komisijo, naj preuči, ali bi bilo treba kibernetsko trpinčenje, vključno z razširjanjem intimnih vsebin brez privolitve, na ravni EU priznati kot posebej hudo kaznivo dejanje s čezmejno razsežnostjo; ponovno izraža podporo uvrstitvi kaznivih dejanj iz sovraštva, ki bi lahko zajemala najhujše oblike kibernetskega trpinčenja, na seznam kaznivih dejanj EU iz člena 83(1) PDEU;</w:t>
      </w:r>
    </w:p>
    <w:p w14:paraId="59C72EE6" w14:textId="77777777" w:rsidR="006174FD" w:rsidRPr="00A535E9" w:rsidRDefault="006174FD" w:rsidP="006174FD">
      <w:pPr>
        <w:pStyle w:val="NormalHanging12a"/>
      </w:pPr>
      <w:r w:rsidRPr="00A535E9">
        <w:t>8.</w:t>
      </w:r>
      <w:r w:rsidRPr="00A535E9">
        <w:tab/>
        <w:t>poudarja, da so dobro financirani organi preprečevanja, odkrivanja in preiskovanja kaznivih dejanj, vključno z ustreznim osebjem, tehničnim strokovnim znanjem in infrastrukturo IT, nepogrešljiv del učinkovitega boja proti kibernetskemu trpinčenju; poziva Komisijo in Europol, naj povečata preiskovalne zmogljivosti držav članic, tudi za boj proti čezmejnemu kibernetskemu trpinčenju;</w:t>
      </w:r>
    </w:p>
    <w:p w14:paraId="495F049F" w14:textId="77777777" w:rsidR="006174FD" w:rsidRPr="00A535E9" w:rsidRDefault="006174FD" w:rsidP="006174FD">
      <w:pPr>
        <w:pStyle w:val="NormalHanging12a"/>
      </w:pPr>
      <w:r w:rsidRPr="00A535E9">
        <w:t>9.</w:t>
      </w:r>
      <w:r w:rsidRPr="00A535E9">
        <w:tab/>
        <w:t>poziva države članice, naj si izmenjujejo primere dobre prakse v zvezi s svojimi pravnimi pristopi; poudarja, da bi bilo treba pri prizadevanjih dati prednost ukrepom za preprečevanje, izobraževanje in ozaveščanje, ki so namenjeni otrokom, staršem in pedagogom, pa tudi digitalni pismenosti in poravnalnim pristopom, zlasti kadar so vpleteni mladoletniki;</w:t>
      </w:r>
    </w:p>
    <w:p w14:paraId="5D412426" w14:textId="77777777" w:rsidR="006174FD" w:rsidRPr="00A535E9" w:rsidRDefault="006174FD" w:rsidP="006174FD">
      <w:pPr>
        <w:pStyle w:val="NormalHanging12a"/>
      </w:pPr>
      <w:r w:rsidRPr="00A535E9">
        <w:t>10.</w:t>
      </w:r>
      <w:r w:rsidRPr="00A535E9">
        <w:tab/>
        <w:t>poziva, naj se revidirana direktiva o pravicah žrtev hitro izvaja in prenese;</w:t>
      </w:r>
    </w:p>
    <w:p w14:paraId="27149E39" w14:textId="77777777" w:rsidR="006174FD" w:rsidRPr="00A535E9" w:rsidRDefault="006174FD" w:rsidP="006174FD">
      <w:pPr>
        <w:pStyle w:val="NormalHanging12a"/>
        <w:rPr>
          <w:b/>
          <w:i/>
          <w:iCs/>
          <w:szCs w:val="24"/>
        </w:rPr>
      </w:pPr>
      <w:r w:rsidRPr="00A535E9">
        <w:rPr>
          <w:b/>
          <w:i/>
        </w:rPr>
        <w:t>Spletne platforme in akt o digitalnih storitvah</w:t>
      </w:r>
    </w:p>
    <w:p w14:paraId="5D06B112" w14:textId="77777777" w:rsidR="006174FD" w:rsidRPr="00A535E9" w:rsidRDefault="006174FD" w:rsidP="006174FD">
      <w:pPr>
        <w:pStyle w:val="NormalHanging12a"/>
      </w:pPr>
      <w:r w:rsidRPr="00A535E9">
        <w:t>11.</w:t>
      </w:r>
      <w:r w:rsidRPr="00A535E9">
        <w:tab/>
        <w:t>poziva Komisijo in države članice, naj poskrbijo, da bodo platforme prevzele odgovornost za preprečevanje kibernetskega trpinčenja in boj proti njemu;</w:t>
      </w:r>
    </w:p>
    <w:p w14:paraId="64C3DA80" w14:textId="77777777" w:rsidR="006174FD" w:rsidRPr="00A535E9" w:rsidRDefault="006174FD" w:rsidP="006174FD">
      <w:pPr>
        <w:pStyle w:val="NormalHanging12a"/>
      </w:pPr>
      <w:r w:rsidRPr="00A535E9">
        <w:t>12.</w:t>
      </w:r>
      <w:r w:rsidRPr="00A535E9">
        <w:tab/>
        <w:t>poudarja, da poslovni model nekaterih spletnih platform spodbuja širjenje sovražnih vsebin in s tem prispeva k vse bolj nevarnemu spletnemu okolju, zlasti za mladoletnike, ženske, pripadnike skupnosti LGBTIQ+ ali druge manjšine; opozarja na vlogo preveč personaliziranih priporočilnih sistemov, ki v ospredje potiskajo sovražni govor, manj razdiralne vsebine pa manj izpostavljajo;</w:t>
      </w:r>
    </w:p>
    <w:p w14:paraId="48A24DF8" w14:textId="77777777" w:rsidR="006174FD" w:rsidRPr="00A535E9" w:rsidRDefault="006174FD" w:rsidP="006174FD">
      <w:pPr>
        <w:pStyle w:val="NormalHanging12a"/>
        <w:rPr>
          <w:bCs/>
        </w:rPr>
      </w:pPr>
      <w:r w:rsidRPr="00A535E9">
        <w:t>13.</w:t>
      </w:r>
      <w:r w:rsidRPr="00A535E9">
        <w:tab/>
        <w:t>poudarja, da akt o digitalnih storitvah obravnava nekatere vidike nadlegovanja in kibernetskega trpinčenja, zlasti njegov člen 28, ki ponudnike že zavezuje k zagotavljanju visoke ravni zasebnosti, varnosti in zaščite mladoletnikov; v zvezi s tem izpostavlja smernice Komisija na podlagi akta o digitalnih storitvah, v katerih je podrobno obrazloženo, kako lahko platforme poskrbijo, da bodo mladoletniki varni pri uporabi njihovih storitev; ugotavlja, da zelo velike spletne platforme v veliki meri niso izvedle teh ukrepov; poziva Komisijo in države članice, naj okrepijo izvrševanje člena 28 akta o digitalnih storitvah ter določbe o obveščanju in ukrepanju iz tega akta, ki vplivajo na zaščito žrtev kibernetskega trpinčenja;</w:t>
      </w:r>
    </w:p>
    <w:p w14:paraId="15960B66" w14:textId="77777777" w:rsidR="006174FD" w:rsidRPr="00A535E9" w:rsidRDefault="006174FD" w:rsidP="006174FD">
      <w:pPr>
        <w:pStyle w:val="NormalHanging12a"/>
      </w:pPr>
      <w:r w:rsidRPr="00A535E9">
        <w:t>14.</w:t>
      </w:r>
      <w:r w:rsidRPr="00A535E9">
        <w:tab/>
        <w:t>poziva Komisijo, naj zaključi nerešene primere izvršitve, začne preiskave morebitnih kršitev člena 28 akta o digitalnih storitvah, vključno s sistemskimi tveganji, ki jih predstavljajo priporočilni sistemi, ter dosledno izvršuje obveznost platform glede prijave in odstranitve; odločno zavrača vse poskuse ponovnega odprtja akta o digitalnih storitvah; poudarja, da je nadvse pomembno, da imajo raziskovalci dostop na podlagi akta o digitalnih storitvah, če naj pravno urejanje temelji na dokazih;</w:t>
      </w:r>
    </w:p>
    <w:p w14:paraId="383FF589" w14:textId="77777777" w:rsidR="006174FD" w:rsidRPr="00A535E9" w:rsidRDefault="006174FD" w:rsidP="006174FD">
      <w:pPr>
        <w:pStyle w:val="NormalHanging12a"/>
      </w:pPr>
      <w:r w:rsidRPr="00A535E9">
        <w:lastRenderedPageBreak/>
        <w:t>15.</w:t>
      </w:r>
      <w:r w:rsidRPr="00A535E9">
        <w:tab/>
        <w:t>poziva Komisijo k nadaljnjemu ukrepanju na podlagi svojih napovedanih smernic za zaupanja vredne prijavitelje kibernetskega trpinčenja, da bi pojasnila njihovo vlogo pri preprečevanju nezakonitih vsebin;</w:t>
      </w:r>
    </w:p>
    <w:p w14:paraId="08BB6C6E" w14:textId="77777777" w:rsidR="006174FD" w:rsidRPr="00A535E9" w:rsidRDefault="006174FD" w:rsidP="006174FD">
      <w:pPr>
        <w:pStyle w:val="NormalHanging12a"/>
      </w:pPr>
      <w:r w:rsidRPr="00A535E9">
        <w:t>16.</w:t>
      </w:r>
      <w:r w:rsidRPr="00A535E9">
        <w:tab/>
        <w:t>obžaluje, da zaenkrat ni pravnega okvira, ki bi omogočal odkrivanje gradiva s spolno zlorabo otrok na spletu, in poziva Komisijo, naj s hitrim ukrepanjem poskrbi za to, da bodo vzpostavljeni mehanizmi za prostovoljno prijavljanje gradiva s spolno zlorabo otrok; poudarja, da morajo platforme zagotoviti varen digitalni prostor za otroke, v katerem se spoštujejo njihove temeljne pravice ter zasebnost podatkov vseh uporabnikov;</w:t>
      </w:r>
    </w:p>
    <w:p w14:paraId="193B5B68" w14:textId="77777777" w:rsidR="006174FD" w:rsidRPr="00A535E9" w:rsidRDefault="006174FD" w:rsidP="006174FD">
      <w:pPr>
        <w:pStyle w:val="NormalHanging12a"/>
        <w:rPr>
          <w:b/>
          <w:i/>
          <w:iCs/>
          <w:szCs w:val="24"/>
        </w:rPr>
      </w:pPr>
      <w:r w:rsidRPr="00A535E9">
        <w:rPr>
          <w:b/>
          <w:i/>
        </w:rPr>
        <w:t>Drugi ukrepi</w:t>
      </w:r>
    </w:p>
    <w:p w14:paraId="152E550A" w14:textId="77777777" w:rsidR="006174FD" w:rsidRPr="00A535E9" w:rsidRDefault="006174FD" w:rsidP="006174FD">
      <w:pPr>
        <w:pStyle w:val="NormalHanging12a"/>
      </w:pPr>
      <w:r w:rsidRPr="00A535E9">
        <w:t>17.</w:t>
      </w:r>
      <w:r w:rsidRPr="00A535E9">
        <w:tab/>
        <w:t>je zaskrbljen, ker se umetna inteligenca vse pogosteje uporablja za zlorabe, tudi z ustvarjanjem globokih ponaredkov, kloniranjem glasu in intimnimi vsebinami brez privolitve; ponovno poudarja, da je treba v okviru pogajanj o omnibusu o umetni inteligenci, kar zadeva akt o umetni inteligenci, prepovedati uporabo aplikacij za razgaljanje; poziva ponudnike, naj nemudoma izpolnijo obveznosti iz člena 50 akta o umetni inteligenci, kar zadeva preglednost in vodni žig, da bodo vsebine, ustvarjene z umetno inteligenco, jasno označene, s čimer bi ublažili škodljive posledice globokih ponaredkov, zlasti med mladoletniki;</w:t>
      </w:r>
    </w:p>
    <w:p w14:paraId="2D811336" w14:textId="77777777" w:rsidR="006174FD" w:rsidRPr="00A535E9" w:rsidRDefault="006174FD" w:rsidP="006174FD">
      <w:pPr>
        <w:pStyle w:val="NormalHanging12a"/>
      </w:pPr>
      <w:r w:rsidRPr="00A535E9">
        <w:t>18.</w:t>
      </w:r>
      <w:r w:rsidRPr="00A535E9">
        <w:tab/>
        <w:t>poziva Komisijo, naj oceni, ali obstoječe obveznosti iz prava EU glede ocene in zmanjševanja tveganja ustrezno zajemajo ponudnike spletnih iger na srečo, zlasti tiste, ki ponujajo funkcije za komuniciranje v realnem času, saj so lahko zaradi njih mladoletniki izpostavljeni kibernetskemu trpinčenju;</w:t>
      </w:r>
    </w:p>
    <w:p w14:paraId="4BCAC965" w14:textId="77777777" w:rsidR="006174FD" w:rsidRPr="00A535E9" w:rsidRDefault="006174FD" w:rsidP="006174FD">
      <w:pPr>
        <w:pStyle w:val="NormalHanging12a"/>
      </w:pPr>
      <w:r w:rsidRPr="00A535E9">
        <w:t>19.</w:t>
      </w:r>
      <w:r w:rsidRPr="00A535E9">
        <w:tab/>
        <w:t>opozarja na obveznosti iz revidirane direktive o avdiovizualnih medijskih storitvah, da je treba mladoletnike zaščititi pred nezakonitimi in škodljivimi vsebinami, vse uporabnike pa pred vsebinami, ki spodbujajo nasilje ali sovraštvo; poziva Komisijo, naj spremlja izvajanje te direktive v državah članicah;</w:t>
      </w:r>
    </w:p>
    <w:p w14:paraId="3D9D0C2C" w14:textId="77777777" w:rsidR="006174FD" w:rsidRPr="00A535E9" w:rsidRDefault="006174FD" w:rsidP="006174FD">
      <w:pPr>
        <w:pStyle w:val="NormalHanging12a"/>
      </w:pPr>
      <w:r w:rsidRPr="00A535E9">
        <w:t>20.</w:t>
      </w:r>
      <w:r w:rsidRPr="00A535E9">
        <w:tab/>
        <w:t>opozarja, da je treba okrepiti zaščito žrtev kibernetskega trpinčenja in podporo zanje; je zaskrbljen, ker so organizacije žrtev vse bolj ogrožene zaradi pomanjkanja finančnih sredstev; poziva k večjemu in vzdržnemu financiranju EU za organizacije civilne družbe, vključno s telefonskimi številkami za pomoč in službami za podporo žrtvam, ter da se ukrepi za preprečevanje kibernetskega trpinčenja in odzivanje nanj vključijo v nacionalne strategije za duševno zdravje, s posebnim poudarkom na mladoletnikih in drugih ranljivih skupinah;</w:t>
      </w:r>
    </w:p>
    <w:p w14:paraId="4CE8BDB7" w14:textId="77777777" w:rsidR="006174FD" w:rsidRPr="00A535E9" w:rsidRDefault="006174FD" w:rsidP="006174FD">
      <w:pPr>
        <w:pStyle w:val="NormalHanging12a"/>
        <w:jc w:val="center"/>
      </w:pPr>
      <w:r w:rsidRPr="00A535E9">
        <w:t>°</w:t>
      </w:r>
    </w:p>
    <w:p w14:paraId="17C2E522" w14:textId="77777777" w:rsidR="006174FD" w:rsidRPr="00A535E9" w:rsidRDefault="006174FD" w:rsidP="006174FD">
      <w:pPr>
        <w:pStyle w:val="NormalHanging12a"/>
        <w:jc w:val="center"/>
      </w:pPr>
      <w:r w:rsidRPr="00A535E9">
        <w:t>°</w:t>
      </w:r>
      <w:r w:rsidRPr="00A535E9">
        <w:tab/>
        <w:t>°</w:t>
      </w:r>
    </w:p>
    <w:p w14:paraId="5109DA26" w14:textId="73F1F732" w:rsidR="00E365E1" w:rsidRPr="00A535E9" w:rsidRDefault="006174FD" w:rsidP="00783E8B">
      <w:pPr>
        <w:ind w:left="567" w:hanging="567"/>
      </w:pPr>
      <w:r w:rsidRPr="00A535E9">
        <w:t>21.</w:t>
      </w:r>
      <w:r w:rsidRPr="00A535E9">
        <w:tab/>
        <w:t>naroči svoji predsednici, naj to resolucijo posreduje Svetu in Komisiji ter vladam in parlamentom držav članic.</w:t>
      </w:r>
      <w:bookmarkEnd w:id="7"/>
    </w:p>
    <w:sectPr w:rsidR="00E365E1" w:rsidRPr="00A535E9" w:rsidSect="003A60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9CAF0" w14:textId="77777777" w:rsidR="00A9340C" w:rsidRPr="003A60F9" w:rsidRDefault="00A9340C">
      <w:r w:rsidRPr="003A60F9">
        <w:separator/>
      </w:r>
    </w:p>
  </w:endnote>
  <w:endnote w:type="continuationSeparator" w:id="0">
    <w:p w14:paraId="0D9EDA8B" w14:textId="77777777" w:rsidR="00A9340C" w:rsidRPr="003A60F9" w:rsidRDefault="00A9340C">
      <w:r w:rsidRPr="003A60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F698" w14:textId="77777777" w:rsidR="00064002" w:rsidRPr="003A60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A499" w14:textId="77777777" w:rsidR="00064002" w:rsidRPr="003A60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80F6" w14:textId="77777777" w:rsidR="00064002" w:rsidRPr="003A60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E16D6" w14:textId="77777777" w:rsidR="00A9340C" w:rsidRPr="003A60F9" w:rsidRDefault="00A9340C">
      <w:r w:rsidRPr="003A60F9">
        <w:separator/>
      </w:r>
    </w:p>
  </w:footnote>
  <w:footnote w:type="continuationSeparator" w:id="0">
    <w:p w14:paraId="478D211B" w14:textId="77777777" w:rsidR="00A9340C" w:rsidRPr="003A60F9" w:rsidRDefault="00A9340C">
      <w:r w:rsidRPr="003A60F9">
        <w:continuationSeparator/>
      </w:r>
    </w:p>
  </w:footnote>
  <w:footnote w:id="1">
    <w:p w14:paraId="7B57BD20" w14:textId="31FF0D76"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UL L 335, 17.12.2011, str. 1, ELI: </w:t>
      </w:r>
      <w:hyperlink r:id="rId1" w:tooltip="Omogoča dostop do dokumenta prek označevalnika/predloge ELI URI." w:history="1">
        <w:r w:rsidRPr="003A60F9">
          <w:rPr>
            <w:rStyle w:val="Hyperlink"/>
            <w:sz w:val="24"/>
            <w:lang w:val="sl-SI"/>
          </w:rPr>
          <w:t>http://data.europa.eu/eli/dir/2011/93/oj</w:t>
        </w:r>
      </w:hyperlink>
      <w:r w:rsidRPr="003A60F9">
        <w:rPr>
          <w:sz w:val="24"/>
          <w:lang w:val="sl-SI"/>
        </w:rPr>
        <w:t xml:space="preserve">. </w:t>
      </w:r>
    </w:p>
  </w:footnote>
  <w:footnote w:id="2">
    <w:p w14:paraId="6FFF5C9F" w14:textId="3B6C8F68"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L 315, 14.11.2012, str. 57, ELI: </w:t>
      </w:r>
      <w:hyperlink r:id="rId2" w:history="1">
        <w:r w:rsidRPr="003A60F9">
          <w:rPr>
            <w:rStyle w:val="Hyperlink"/>
            <w:sz w:val="24"/>
            <w:lang w:val="sl-SI"/>
          </w:rPr>
          <w:t>http://data.europa.eu/eli/dir/2012/29/oj</w:t>
        </w:r>
      </w:hyperlink>
      <w:r w:rsidRPr="003A60F9">
        <w:rPr>
          <w:sz w:val="24"/>
          <w:lang w:val="sl-SI"/>
        </w:rPr>
        <w:t xml:space="preserve">. </w:t>
      </w:r>
    </w:p>
  </w:footnote>
  <w:footnote w:id="3">
    <w:p w14:paraId="32914476" w14:textId="2833086E"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L 303, 28.11.2018, str. 69, ELI: </w:t>
      </w:r>
      <w:hyperlink r:id="rId3" w:history="1">
        <w:r w:rsidRPr="003A60F9">
          <w:rPr>
            <w:rStyle w:val="Hyperlink"/>
            <w:sz w:val="24"/>
            <w:lang w:val="sl-SI"/>
          </w:rPr>
          <w:t>http://data.europa.eu/eli/dir/2018/1808/oj</w:t>
        </w:r>
      </w:hyperlink>
      <w:r w:rsidRPr="003A60F9">
        <w:rPr>
          <w:sz w:val="24"/>
          <w:lang w:val="sl-SI"/>
        </w:rPr>
        <w:t xml:space="preserve">. </w:t>
      </w:r>
    </w:p>
  </w:footnote>
  <w:footnote w:id="4">
    <w:p w14:paraId="09FC30B9" w14:textId="04A7106F"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L, 2024/1385, 24.5.2024, ELI: </w:t>
      </w:r>
      <w:hyperlink r:id="rId4" w:history="1">
        <w:r w:rsidRPr="003A60F9">
          <w:rPr>
            <w:rStyle w:val="Hyperlink"/>
            <w:sz w:val="24"/>
            <w:lang w:val="sl-SI"/>
          </w:rPr>
          <w:t>http://data.europa.eu/eli/dir/2024/1385/oj</w:t>
        </w:r>
      </w:hyperlink>
      <w:r w:rsidRPr="003A60F9">
        <w:rPr>
          <w:sz w:val="24"/>
          <w:lang w:val="sl-SI"/>
        </w:rPr>
        <w:t xml:space="preserve">. </w:t>
      </w:r>
    </w:p>
  </w:footnote>
  <w:footnote w:id="5">
    <w:p w14:paraId="2AE5D21F" w14:textId="3BE32CDD"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L 277, 27.10.2022, str. 1, ELI: </w:t>
      </w:r>
      <w:hyperlink r:id="rId5" w:history="1">
        <w:r w:rsidRPr="003A60F9">
          <w:rPr>
            <w:rStyle w:val="Hyperlink"/>
            <w:sz w:val="24"/>
            <w:lang w:val="sl-SI"/>
          </w:rPr>
          <w:t>http://data.europa.eu/eli/reg/2022/2065/oj</w:t>
        </w:r>
      </w:hyperlink>
      <w:r w:rsidRPr="003A60F9">
        <w:rPr>
          <w:sz w:val="24"/>
          <w:lang w:val="sl-SI"/>
        </w:rPr>
        <w:t xml:space="preserve">. </w:t>
      </w:r>
    </w:p>
  </w:footnote>
  <w:footnote w:id="6">
    <w:p w14:paraId="4DBAA97B" w14:textId="5CBC34D3"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L, 2024/1689, 12.7.2024, ELI: </w:t>
      </w:r>
      <w:hyperlink r:id="rId6" w:history="1">
        <w:r w:rsidRPr="003A60F9">
          <w:rPr>
            <w:rStyle w:val="Hyperlink"/>
            <w:sz w:val="24"/>
            <w:lang w:val="sl-SI"/>
          </w:rPr>
          <w:t>http://data.europa.eu/eli/reg/2024/1689/oj</w:t>
        </w:r>
      </w:hyperlink>
      <w:r w:rsidRPr="003A60F9">
        <w:rPr>
          <w:sz w:val="24"/>
          <w:lang w:val="sl-SI"/>
        </w:rPr>
        <w:t xml:space="preserve">. </w:t>
      </w:r>
    </w:p>
  </w:footnote>
  <w:footnote w:id="7">
    <w:p w14:paraId="0D04B2B2" w14:textId="2373B19C"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C, C/2025/5519, 10.10.2025, ELI: </w:t>
      </w:r>
      <w:hyperlink r:id="rId7" w:history="1">
        <w:r w:rsidRPr="003A60F9">
          <w:rPr>
            <w:rStyle w:val="Hyperlink"/>
            <w:sz w:val="24"/>
            <w:lang w:val="sl-SI"/>
          </w:rPr>
          <w:t>http://data.europa.eu/eli/C/2025/5519/oj</w:t>
        </w:r>
      </w:hyperlink>
      <w:r w:rsidRPr="003A60F9">
        <w:rPr>
          <w:sz w:val="24"/>
          <w:lang w:val="sl-SI"/>
        </w:rPr>
        <w:t xml:space="preserve">. </w:t>
      </w:r>
    </w:p>
  </w:footnote>
  <w:footnote w:id="8">
    <w:p w14:paraId="0848166F" w14:textId="237FFFC2"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C, C/2024/5733, 17.10.2024, ELI: </w:t>
      </w:r>
      <w:hyperlink r:id="rId8" w:history="1">
        <w:r w:rsidRPr="003A60F9">
          <w:rPr>
            <w:rStyle w:val="Hyperlink"/>
            <w:sz w:val="24"/>
            <w:lang w:val="sl-SI"/>
          </w:rPr>
          <w:t>http://data.europa.eu/eli/C/2024/5733/oj</w:t>
        </w:r>
      </w:hyperlink>
      <w:r w:rsidRPr="003A60F9">
        <w:rPr>
          <w:sz w:val="24"/>
          <w:lang w:val="sl-SI"/>
        </w:rPr>
        <w:t xml:space="preserve">. </w:t>
      </w:r>
    </w:p>
  </w:footnote>
  <w:footnote w:id="9">
    <w:p w14:paraId="5091438A" w14:textId="510714A4" w:rsidR="006174FD" w:rsidRPr="003A60F9" w:rsidRDefault="006174FD" w:rsidP="003A60F9">
      <w:pPr>
        <w:pStyle w:val="FootnoteText"/>
        <w:ind w:left="567" w:hanging="567"/>
        <w:rPr>
          <w:sz w:val="24"/>
          <w:lang w:val="sl-SI"/>
        </w:rPr>
      </w:pPr>
      <w:r w:rsidRPr="003A60F9">
        <w:rPr>
          <w:rStyle w:val="FootnoteReference"/>
          <w:sz w:val="24"/>
          <w:lang w:val="sl-SI"/>
        </w:rPr>
        <w:footnoteRef/>
      </w:r>
      <w:r w:rsidR="003A60F9" w:rsidRPr="003A60F9">
        <w:rPr>
          <w:sz w:val="24"/>
          <w:lang w:val="sl-SI"/>
        </w:rPr>
        <w:t xml:space="preserve"> </w:t>
      </w:r>
      <w:r w:rsidR="003A60F9" w:rsidRPr="003A60F9">
        <w:rPr>
          <w:sz w:val="24"/>
          <w:lang w:val="sl-SI"/>
        </w:rPr>
        <w:tab/>
      </w:r>
      <w:r w:rsidRPr="003A60F9">
        <w:rPr>
          <w:sz w:val="24"/>
          <w:lang w:val="sl-SI"/>
        </w:rPr>
        <w:t xml:space="preserve">UL C, C/2026/1708, 24.4.2026, ELI: </w:t>
      </w:r>
      <w:hyperlink r:id="rId9" w:history="1">
        <w:r w:rsidRPr="003A60F9">
          <w:rPr>
            <w:rStyle w:val="Hyperlink"/>
            <w:sz w:val="24"/>
            <w:lang w:val="sl-SI"/>
          </w:rPr>
          <w:t>http://data.europa.eu/eli/C/2026/1708/oj</w:t>
        </w:r>
      </w:hyperlink>
      <w:r w:rsidRPr="003A60F9">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11B3" w14:textId="77777777" w:rsidR="00064002" w:rsidRPr="003A60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8DFB" w14:textId="77777777" w:rsidR="00064002" w:rsidRPr="003A60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470B" w14:textId="77777777" w:rsidR="00064002" w:rsidRPr="003A60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3185814">
    <w:abstractNumId w:val="9"/>
  </w:num>
  <w:num w:numId="2" w16cid:durableId="1215702797">
    <w:abstractNumId w:val="9"/>
  </w:num>
  <w:num w:numId="3" w16cid:durableId="1884713019">
    <w:abstractNumId w:val="7"/>
  </w:num>
  <w:num w:numId="4" w16cid:durableId="1103258254">
    <w:abstractNumId w:val="7"/>
  </w:num>
  <w:num w:numId="5" w16cid:durableId="181170654">
    <w:abstractNumId w:val="6"/>
  </w:num>
  <w:num w:numId="6" w16cid:durableId="1260870920">
    <w:abstractNumId w:val="6"/>
  </w:num>
  <w:num w:numId="7" w16cid:durableId="1217470121">
    <w:abstractNumId w:val="5"/>
  </w:num>
  <w:num w:numId="8" w16cid:durableId="548420310">
    <w:abstractNumId w:val="5"/>
  </w:num>
  <w:num w:numId="9" w16cid:durableId="63459850">
    <w:abstractNumId w:val="4"/>
  </w:num>
  <w:num w:numId="10" w16cid:durableId="1754665730">
    <w:abstractNumId w:val="4"/>
  </w:num>
  <w:num w:numId="11" w16cid:durableId="1527595616">
    <w:abstractNumId w:val="8"/>
  </w:num>
  <w:num w:numId="12" w16cid:durableId="2102749769">
    <w:abstractNumId w:val="8"/>
  </w:num>
  <w:num w:numId="13" w16cid:durableId="1215310990">
    <w:abstractNumId w:val="3"/>
  </w:num>
  <w:num w:numId="14" w16cid:durableId="1962955827">
    <w:abstractNumId w:val="3"/>
  </w:num>
  <w:num w:numId="15" w16cid:durableId="1943415239">
    <w:abstractNumId w:val="2"/>
  </w:num>
  <w:num w:numId="16" w16cid:durableId="807749736">
    <w:abstractNumId w:val="2"/>
  </w:num>
  <w:num w:numId="17" w16cid:durableId="1717968528">
    <w:abstractNumId w:val="1"/>
  </w:num>
  <w:num w:numId="18" w16cid:durableId="596598640">
    <w:abstractNumId w:val="1"/>
  </w:num>
  <w:num w:numId="19" w16cid:durableId="1750885421">
    <w:abstractNumId w:val="0"/>
  </w:num>
  <w:num w:numId="20" w16cid:durableId="1776975360">
    <w:abstractNumId w:val="0"/>
  </w:num>
  <w:num w:numId="21" w16cid:durableId="1047795439">
    <w:abstractNumId w:val="9"/>
  </w:num>
  <w:num w:numId="22" w16cid:durableId="84956157">
    <w:abstractNumId w:val="7"/>
  </w:num>
  <w:num w:numId="23" w16cid:durableId="2014797493">
    <w:abstractNumId w:val="6"/>
  </w:num>
  <w:num w:numId="24" w16cid:durableId="1879276765">
    <w:abstractNumId w:val="5"/>
  </w:num>
  <w:num w:numId="25" w16cid:durableId="708261918">
    <w:abstractNumId w:val="4"/>
  </w:num>
  <w:num w:numId="26" w16cid:durableId="1645114081">
    <w:abstractNumId w:val="8"/>
  </w:num>
  <w:num w:numId="27" w16cid:durableId="1418015179">
    <w:abstractNumId w:val="3"/>
  </w:num>
  <w:num w:numId="28" w16cid:durableId="583610712">
    <w:abstractNumId w:val="2"/>
  </w:num>
  <w:num w:numId="29" w16cid:durableId="306739510">
    <w:abstractNumId w:val="1"/>
  </w:num>
  <w:num w:numId="30" w16cid:durableId="1014266622">
    <w:abstractNumId w:val="0"/>
  </w:num>
  <w:num w:numId="31" w16cid:durableId="511187244">
    <w:abstractNumId w:val="9"/>
  </w:num>
  <w:num w:numId="32" w16cid:durableId="1009599126">
    <w:abstractNumId w:val="7"/>
  </w:num>
  <w:num w:numId="33" w16cid:durableId="2047171159">
    <w:abstractNumId w:val="6"/>
  </w:num>
  <w:num w:numId="34" w16cid:durableId="1337079250">
    <w:abstractNumId w:val="5"/>
  </w:num>
  <w:num w:numId="35" w16cid:durableId="1671978714">
    <w:abstractNumId w:val="4"/>
  </w:num>
  <w:num w:numId="36" w16cid:durableId="61758170">
    <w:abstractNumId w:val="8"/>
  </w:num>
  <w:num w:numId="37" w16cid:durableId="1251043831">
    <w:abstractNumId w:val="3"/>
  </w:num>
  <w:num w:numId="38" w16cid:durableId="943341389">
    <w:abstractNumId w:val="2"/>
  </w:num>
  <w:num w:numId="39" w16cid:durableId="195117389">
    <w:abstractNumId w:val="1"/>
  </w:num>
  <w:num w:numId="40" w16cid:durableId="1464687903">
    <w:abstractNumId w:val="0"/>
  </w:num>
  <w:num w:numId="41" w16cid:durableId="1534689215">
    <w:abstractNumId w:val="10"/>
  </w:num>
  <w:num w:numId="42" w16cid:durableId="749545092">
    <w:abstractNumId w:val="10"/>
  </w:num>
  <w:num w:numId="43" w16cid:durableId="1706519174">
    <w:abstractNumId w:val="10"/>
  </w:num>
  <w:num w:numId="44" w16cid:durableId="1511994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SL"/>
    <w:docVar w:name="dvnumam" w:val="0"/>
    <w:docVar w:name="dvpe" w:val="783.241"/>
    <w:docVar w:name="dvtitre" w:val="Resolucija Evropskega parlamenta z dne 30. aprila 2026 o nujno potrebnih ciljno usmerjenih kazenskih določbah in odgovornosti platform za učinkovito zoperstavljanje kibernetskemu trpinčenju in spletnemu nadlegovanju(2026/2693(RSP))"/>
  </w:docVars>
  <w:rsids>
    <w:rsidRoot w:val="00A9340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60F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74FD"/>
    <w:rsid w:val="006631B6"/>
    <w:rsid w:val="00680577"/>
    <w:rsid w:val="006F74FA"/>
    <w:rsid w:val="00731ADD"/>
    <w:rsid w:val="00734777"/>
    <w:rsid w:val="00747932"/>
    <w:rsid w:val="00751A4A"/>
    <w:rsid w:val="00756632"/>
    <w:rsid w:val="00762C74"/>
    <w:rsid w:val="00783E8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40E"/>
    <w:rsid w:val="00A1687D"/>
    <w:rsid w:val="00A43E52"/>
    <w:rsid w:val="00A4678D"/>
    <w:rsid w:val="00A535E9"/>
    <w:rsid w:val="00A778C7"/>
    <w:rsid w:val="00A9340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7C1E"/>
    <w:rsid w:val="00CF071A"/>
    <w:rsid w:val="00D058B8"/>
    <w:rsid w:val="00D56C11"/>
    <w:rsid w:val="00D834A0"/>
    <w:rsid w:val="00D872DF"/>
    <w:rsid w:val="00D91E21"/>
    <w:rsid w:val="00DA7FCD"/>
    <w:rsid w:val="00E166F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D15FD"/>
  <w15:chartTrackingRefBased/>
  <w15:docId w15:val="{31F05C30-5E5C-4522-8ACC-E9A81AD64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74FD"/>
    <w:pPr>
      <w:spacing w:after="240"/>
      <w:ind w:left="567" w:hanging="567"/>
    </w:pPr>
  </w:style>
  <w:style w:type="paragraph" w:customStyle="1" w:styleId="EPComma">
    <w:name w:val="EPComma"/>
    <w:basedOn w:val="Normal"/>
    <w:rsid w:val="006174FD"/>
    <w:pPr>
      <w:spacing w:before="480" w:after="240"/>
    </w:pPr>
  </w:style>
  <w:style w:type="character" w:customStyle="1" w:styleId="NormalHanging12aChar">
    <w:name w:val="NormalHanging12a Char"/>
    <w:basedOn w:val="DefaultParagraphFont"/>
    <w:link w:val="NormalHanging12a"/>
    <w:rsid w:val="006174FD"/>
    <w:rPr>
      <w:sz w:val="24"/>
      <w:lang w:val="sl-SI"/>
    </w:rPr>
  </w:style>
  <w:style w:type="character" w:styleId="CommentReference">
    <w:name w:val="annotation reference"/>
    <w:rsid w:val="006174FD"/>
    <w:rPr>
      <w:sz w:val="16"/>
      <w:szCs w:val="16"/>
    </w:rPr>
  </w:style>
  <w:style w:type="character" w:styleId="Hyperlink">
    <w:name w:val="Hyperlink"/>
    <w:basedOn w:val="DefaultParagraphFont"/>
    <w:unhideWhenUsed/>
    <w:rsid w:val="006174FD"/>
    <w:rPr>
      <w:color w:val="0563C1" w:themeColor="hyperlink"/>
      <w:u w:val="single"/>
    </w:rPr>
  </w:style>
  <w:style w:type="character" w:styleId="FollowedHyperlink">
    <w:name w:val="FollowedHyperlink"/>
    <w:basedOn w:val="DefaultParagraphFont"/>
    <w:rsid w:val="00A114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2238</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2026-04-30T10:46:00Z</dcterms:created>
  <dcterms:modified xsi:type="dcterms:W3CDTF">2026-04-30T10:46:00Z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B10-0206/2026</vt:lpwstr>
  </property>
  <property fmtid="{D5CDD505-2E9C-101B-9397-08002B2CF9AE}" pid="4" name="&lt;Type&gt;">
    <vt:lpwstr>RR</vt:lpwstr>
  </property>
</Properties>
</file>