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01B9" w14:paraId="67CAAED9" w14:textId="77777777" w:rsidTr="0010095E">
        <w:trPr>
          <w:trHeight w:hRule="exact" w:val="1418"/>
        </w:trPr>
        <w:tc>
          <w:tcPr>
            <w:tcW w:w="6804" w:type="dxa"/>
            <w:shd w:val="clear" w:color="auto" w:fill="auto"/>
            <w:vAlign w:val="center"/>
          </w:tcPr>
          <w:p w14:paraId="2794AC1C" w14:textId="0330F5C6" w:rsidR="00751A4A" w:rsidRPr="00BE01B9" w:rsidRDefault="00411072" w:rsidP="0010095E">
            <w:pPr>
              <w:pStyle w:val="EPName"/>
            </w:pPr>
            <w:r w:rsidRPr="00BE01B9">
              <w:t>Europa-Parlamentet</w:t>
            </w:r>
          </w:p>
          <w:p w14:paraId="0D9B7CA0" w14:textId="77777777" w:rsidR="00751A4A" w:rsidRPr="00BE01B9" w:rsidRDefault="005F1B17" w:rsidP="005F1B17">
            <w:pPr>
              <w:pStyle w:val="EPTerm"/>
              <w:rPr>
                <w:rStyle w:val="HideTWBExt"/>
                <w:noProof w:val="0"/>
                <w:vanish w:val="0"/>
                <w:color w:val="auto"/>
              </w:rPr>
            </w:pPr>
            <w:r w:rsidRPr="00BE01B9">
              <w:t>2024</w:t>
            </w:r>
            <w:r w:rsidR="00817416" w:rsidRPr="00BE01B9">
              <w:t>-202</w:t>
            </w:r>
            <w:r w:rsidRPr="00BE01B9">
              <w:t>9</w:t>
            </w:r>
          </w:p>
        </w:tc>
        <w:tc>
          <w:tcPr>
            <w:tcW w:w="2268" w:type="dxa"/>
            <w:shd w:val="clear" w:color="auto" w:fill="auto"/>
          </w:tcPr>
          <w:p w14:paraId="2108C06C" w14:textId="77777777" w:rsidR="00751A4A" w:rsidRPr="00BE01B9" w:rsidRDefault="00187494" w:rsidP="0010095E">
            <w:pPr>
              <w:pStyle w:val="EPLogo"/>
            </w:pPr>
            <w:r w:rsidRPr="00BE01B9">
              <w:rPr>
                <w:noProof/>
                <w:lang w:eastAsia="ja-JP"/>
              </w:rPr>
              <w:drawing>
                <wp:inline distT="0" distB="0" distL="0" distR="0" wp14:anchorId="6AEB8162" wp14:editId="67CF84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A29CD6" w14:textId="77777777" w:rsidR="00D058B8" w:rsidRPr="00BE01B9" w:rsidRDefault="00D058B8" w:rsidP="004C5D52">
      <w:pPr>
        <w:pStyle w:val="LineTop"/>
      </w:pPr>
    </w:p>
    <w:p w14:paraId="2A67AE10" w14:textId="336DF8A8" w:rsidR="00680577" w:rsidRPr="00BE01B9" w:rsidRDefault="00411072" w:rsidP="00680577">
      <w:pPr>
        <w:pStyle w:val="EPBodyTA1"/>
      </w:pPr>
      <w:r w:rsidRPr="00BE01B9">
        <w:t>VEDTAGNE TEKSTER</w:t>
      </w:r>
    </w:p>
    <w:p w14:paraId="668D5A00" w14:textId="77777777" w:rsidR="00D058B8" w:rsidRPr="00BE01B9" w:rsidRDefault="00D058B8" w:rsidP="00D058B8">
      <w:pPr>
        <w:pStyle w:val="LineBottom"/>
      </w:pPr>
    </w:p>
    <w:p w14:paraId="7FAA1201" w14:textId="16AA8FDC" w:rsidR="00411072" w:rsidRPr="00BE01B9" w:rsidRDefault="00411072" w:rsidP="00411072">
      <w:pPr>
        <w:pStyle w:val="ATHeading1"/>
      </w:pPr>
      <w:bookmarkStart w:id="0" w:name="TANumber"/>
      <w:r w:rsidRPr="00BE01B9">
        <w:t>P10_TA(2026)0</w:t>
      </w:r>
      <w:bookmarkEnd w:id="0"/>
      <w:r w:rsidR="00644F38">
        <w:t>164</w:t>
      </w:r>
    </w:p>
    <w:p w14:paraId="0AEDC031" w14:textId="32297118" w:rsidR="00411072" w:rsidRPr="00BE01B9" w:rsidRDefault="005C7AF6" w:rsidP="00411072">
      <w:pPr>
        <w:pStyle w:val="ATHeading2"/>
      </w:pPr>
      <w:bookmarkStart w:id="1" w:name="title"/>
      <w:r>
        <w:t>A</w:t>
      </w:r>
      <w:r w:rsidR="00411072" w:rsidRPr="00BE01B9">
        <w:t xml:space="preserve">nmodning om ophævelse af Harald </w:t>
      </w:r>
      <w:proofErr w:type="spellStart"/>
      <w:r w:rsidR="00411072" w:rsidRPr="00BE01B9">
        <w:t>Vilimskys</w:t>
      </w:r>
      <w:proofErr w:type="spellEnd"/>
      <w:r w:rsidR="00411072" w:rsidRPr="00BE01B9">
        <w:t xml:space="preserve"> immunitet</w:t>
      </w:r>
      <w:bookmarkEnd w:id="1"/>
    </w:p>
    <w:p w14:paraId="70254445" w14:textId="77777777" w:rsidR="00411072" w:rsidRPr="00BE01B9" w:rsidRDefault="00411072" w:rsidP="00411072">
      <w:pPr>
        <w:rPr>
          <w:i/>
          <w:vanish/>
        </w:rPr>
      </w:pPr>
      <w:r w:rsidRPr="00BE01B9">
        <w:rPr>
          <w:i/>
        </w:rPr>
        <w:fldChar w:fldCharType="begin"/>
      </w:r>
      <w:r w:rsidRPr="00BE01B9">
        <w:rPr>
          <w:i/>
        </w:rPr>
        <w:instrText xml:space="preserve"> TC"(</w:instrText>
      </w:r>
      <w:bookmarkStart w:id="2" w:name="DocNumber"/>
      <w:r w:rsidRPr="00BE01B9">
        <w:rPr>
          <w:i/>
        </w:rPr>
        <w:instrText>A10-0125/2026</w:instrText>
      </w:r>
      <w:bookmarkEnd w:id="2"/>
      <w:r w:rsidRPr="00BE01B9">
        <w:rPr>
          <w:i/>
        </w:rPr>
        <w:instrText xml:space="preserve"> - Ordfører: David </w:instrText>
      </w:r>
      <w:proofErr w:type="spellStart"/>
      <w:r w:rsidRPr="00BE01B9">
        <w:rPr>
          <w:i/>
        </w:rPr>
        <w:instrText>Cormand</w:instrText>
      </w:r>
      <w:proofErr w:type="spellEnd"/>
      <w:r w:rsidRPr="00BE01B9">
        <w:rPr>
          <w:i/>
        </w:rPr>
        <w:instrText xml:space="preserve">)"\l3 \n&gt; \* MERGEFORMAT </w:instrText>
      </w:r>
      <w:r w:rsidRPr="00BE01B9">
        <w:rPr>
          <w:i/>
        </w:rPr>
        <w:fldChar w:fldCharType="end"/>
      </w:r>
    </w:p>
    <w:p w14:paraId="1821860C" w14:textId="77777777" w:rsidR="00411072" w:rsidRPr="00BE01B9" w:rsidRDefault="00411072" w:rsidP="00411072">
      <w:pPr>
        <w:rPr>
          <w:vanish/>
        </w:rPr>
      </w:pPr>
      <w:bookmarkStart w:id="3" w:name="Commission"/>
      <w:r w:rsidRPr="00BE01B9">
        <w:rPr>
          <w:vanish/>
        </w:rPr>
        <w:t>Retsudvalget</w:t>
      </w:r>
      <w:bookmarkEnd w:id="3"/>
    </w:p>
    <w:p w14:paraId="44AAFE81" w14:textId="77777777" w:rsidR="00411072" w:rsidRPr="00BE01B9" w:rsidRDefault="00411072" w:rsidP="00411072">
      <w:pPr>
        <w:rPr>
          <w:vanish/>
        </w:rPr>
      </w:pPr>
      <w:bookmarkStart w:id="4" w:name="PE"/>
      <w:r w:rsidRPr="00BE01B9">
        <w:rPr>
          <w:vanish/>
        </w:rPr>
        <w:t>PE784.495</w:t>
      </w:r>
      <w:bookmarkEnd w:id="4"/>
    </w:p>
    <w:p w14:paraId="7DF0678D" w14:textId="6A76A701" w:rsidR="00411072" w:rsidRPr="00BE01B9" w:rsidRDefault="00411072" w:rsidP="00411072">
      <w:pPr>
        <w:pStyle w:val="ATHeading3"/>
      </w:pPr>
      <w:bookmarkStart w:id="5" w:name="Sujet"/>
      <w:r w:rsidRPr="00BE01B9">
        <w:t xml:space="preserve">Europa-Parlamentets afgørelse af </w:t>
      </w:r>
      <w:r w:rsidR="00E755BF">
        <w:t>19</w:t>
      </w:r>
      <w:r w:rsidRPr="00BE01B9">
        <w:t>.</w:t>
      </w:r>
      <w:r w:rsidR="005C7AF6">
        <w:t xml:space="preserve"> maj</w:t>
      </w:r>
      <w:r w:rsidRPr="00BE01B9">
        <w:t xml:space="preserve"> 2026 om anmodning om ophævelse af Harald </w:t>
      </w:r>
      <w:proofErr w:type="spellStart"/>
      <w:r w:rsidRPr="00BE01B9">
        <w:t>Vilimskys</w:t>
      </w:r>
      <w:proofErr w:type="spellEnd"/>
      <w:r w:rsidRPr="00BE01B9">
        <w:t xml:space="preserve"> immunitet</w:t>
      </w:r>
      <w:bookmarkEnd w:id="5"/>
      <w:r w:rsidRPr="00BE01B9">
        <w:t xml:space="preserve"> </w:t>
      </w:r>
      <w:bookmarkStart w:id="6" w:name="References"/>
      <w:r w:rsidRPr="00BE01B9">
        <w:t>(2025/2158(IMM))</w:t>
      </w:r>
      <w:bookmarkEnd w:id="6"/>
    </w:p>
    <w:p w14:paraId="141E5525" w14:textId="77777777" w:rsidR="00766D96" w:rsidRPr="00BE01B9" w:rsidRDefault="00766D96" w:rsidP="00766D96">
      <w:pPr>
        <w:pStyle w:val="EPComma"/>
      </w:pPr>
      <w:bookmarkStart w:id="7" w:name="TextBodyBegin"/>
      <w:bookmarkEnd w:id="7"/>
      <w:r w:rsidRPr="00BE01B9">
        <w:rPr>
          <w:i/>
          <w:iCs/>
        </w:rPr>
        <w:t>Europa-Parlamentet,</w:t>
      </w:r>
    </w:p>
    <w:p w14:paraId="6AB51C18" w14:textId="236F1FD5" w:rsidR="00766D96" w:rsidRPr="00BE01B9" w:rsidRDefault="00766D96" w:rsidP="00766D96">
      <w:pPr>
        <w:pStyle w:val="NormalHanging12a"/>
      </w:pPr>
      <w:r w:rsidRPr="00BE01B9">
        <w:t>–</w:t>
      </w:r>
      <w:r w:rsidRPr="00BE01B9">
        <w:tab/>
        <w:t xml:space="preserve">der henviser til anmodning om ophævelse af Harald </w:t>
      </w:r>
      <w:proofErr w:type="spellStart"/>
      <w:r w:rsidRPr="00BE01B9">
        <w:t>Vilimskys</w:t>
      </w:r>
      <w:proofErr w:type="spellEnd"/>
      <w:r w:rsidRPr="00BE01B9">
        <w:t xml:space="preserve"> immunitet, der blev modtaget ved skrivelse af 1. juli 2025 fra Østrigs Faste Repræsentation ved Den Europæiske Union, som </w:t>
      </w:r>
      <w:r w:rsidR="003462E7">
        <w:t>indgav</w:t>
      </w:r>
      <w:r w:rsidR="003462E7" w:rsidRPr="00BE01B9">
        <w:t xml:space="preserve"> </w:t>
      </w:r>
      <w:r w:rsidR="00E755BF">
        <w:t xml:space="preserve">en </w:t>
      </w:r>
      <w:r w:rsidRPr="00BE01B9">
        <w:t xml:space="preserve">anmodning fra anklagemyndigheden i Wien i forbindelse med en straffesag, der skal indledes mod Harald </w:t>
      </w:r>
      <w:proofErr w:type="spellStart"/>
      <w:r w:rsidRPr="00BE01B9">
        <w:t>Vilimsky</w:t>
      </w:r>
      <w:proofErr w:type="spellEnd"/>
      <w:r w:rsidRPr="00BE01B9">
        <w:t>, og hvorom der blev givet meddelelse på plenarmødet den 9. juli 2025,</w:t>
      </w:r>
    </w:p>
    <w:p w14:paraId="4103B2A4" w14:textId="77777777" w:rsidR="00766D96" w:rsidRPr="00BE01B9" w:rsidRDefault="00766D96" w:rsidP="00766D96">
      <w:pPr>
        <w:pStyle w:val="NormalHanging12a"/>
      </w:pPr>
      <w:r w:rsidRPr="00BE01B9">
        <w:t>–</w:t>
      </w:r>
      <w:r w:rsidRPr="00BE01B9">
        <w:tab/>
        <w:t xml:space="preserve">der har hørt Harald </w:t>
      </w:r>
      <w:proofErr w:type="spellStart"/>
      <w:r w:rsidRPr="00BE01B9">
        <w:t>Vilimsky</w:t>
      </w:r>
      <w:proofErr w:type="spellEnd"/>
      <w:r w:rsidRPr="00BE01B9">
        <w:t xml:space="preserve"> den 15. april 2026, jf. forretningsordenens artikel 9, stk. 6,</w:t>
      </w:r>
    </w:p>
    <w:p w14:paraId="45E902F6" w14:textId="77777777" w:rsidR="00766D96" w:rsidRPr="00BE01B9" w:rsidRDefault="00766D96" w:rsidP="00766D96">
      <w:pPr>
        <w:pStyle w:val="NormalHanging12a"/>
      </w:pPr>
      <w:r w:rsidRPr="00BE01B9">
        <w:t>–</w:t>
      </w:r>
      <w:r w:rsidRPr="00BE01B9">
        <w:tab/>
        <w:t>der henviser til artikel 8 og 9 i protokol nr. 7 vedrørende Den Europæiske Unions privilegier og immuniteter samt artikel 6, stk. 2, i akten af 20. september 1976 om almindelige direkte valg af medlemmerne af Europa-Parlamentet,</w:t>
      </w:r>
    </w:p>
    <w:p w14:paraId="172378DA" w14:textId="77777777" w:rsidR="00766D96" w:rsidRPr="00BE01B9" w:rsidRDefault="00766D96" w:rsidP="00766D96">
      <w:pPr>
        <w:pStyle w:val="NormalHanging12a"/>
      </w:pPr>
      <w:r w:rsidRPr="00BE01B9">
        <w:t>–</w:t>
      </w:r>
      <w:r w:rsidRPr="00BE01B9">
        <w:tab/>
        <w:t>der henviser til de domme, som Den Europæiske Unions Domstol har afsagt den 21. oktober 2008, 19. marts 2010, 6. september 2011, 17. januar 2013 og 19. december 2019</w:t>
      </w:r>
      <w:r w:rsidRPr="00BE01B9">
        <w:rPr>
          <w:vertAlign w:val="superscript"/>
        </w:rPr>
        <w:footnoteReference w:id="1"/>
      </w:r>
      <w:r w:rsidRPr="00BE01B9">
        <w:t>,</w:t>
      </w:r>
    </w:p>
    <w:p w14:paraId="46E002BC" w14:textId="77777777" w:rsidR="00766D96" w:rsidRPr="00BE01B9" w:rsidRDefault="00766D96" w:rsidP="00766D96">
      <w:pPr>
        <w:pStyle w:val="NormalHanging12a"/>
      </w:pPr>
      <w:r w:rsidRPr="00BE01B9">
        <w:t>–</w:t>
      </w:r>
      <w:r w:rsidRPr="00BE01B9">
        <w:tab/>
        <w:t>der henviser til forretningsordenens artikel 5, stk. 2, artikel 6, stk. 1, og artikel 9,</w:t>
      </w:r>
    </w:p>
    <w:p w14:paraId="1AD5C156" w14:textId="77777777" w:rsidR="00766D96" w:rsidRPr="00BE01B9" w:rsidRDefault="00766D96" w:rsidP="00766D96">
      <w:pPr>
        <w:pStyle w:val="NormalHanging12a"/>
      </w:pPr>
      <w:r w:rsidRPr="00BE01B9">
        <w:t>–</w:t>
      </w:r>
      <w:r w:rsidRPr="00BE01B9">
        <w:tab/>
        <w:t>der henviser til betænkning fra Retsudvalget (A10</w:t>
      </w:r>
      <w:r w:rsidRPr="00BE01B9">
        <w:noBreakHyphen/>
        <w:t>0125/2026),</w:t>
      </w:r>
    </w:p>
    <w:p w14:paraId="1566CE52" w14:textId="52C3592A" w:rsidR="00766D96" w:rsidRPr="00BE01B9" w:rsidRDefault="00766D96" w:rsidP="00766D96">
      <w:pPr>
        <w:pStyle w:val="NormalHanging12a"/>
      </w:pPr>
      <w:r w:rsidRPr="00BE01B9">
        <w:t>A.</w:t>
      </w:r>
      <w:r w:rsidRPr="00BE01B9">
        <w:tab/>
        <w:t xml:space="preserve">der henviser til, at Østrigs Faste Repræsentation ved Den Europæiske Union </w:t>
      </w:r>
      <w:r w:rsidR="003462E7">
        <w:t>indgav</w:t>
      </w:r>
      <w:r w:rsidR="003462E7" w:rsidRPr="00BE01B9">
        <w:t xml:space="preserve"> </w:t>
      </w:r>
      <w:r w:rsidRPr="00BE01B9">
        <w:t xml:space="preserve">en anmodning fra anklagemyndigheden i Wien med henblik på ophævelse af immuniteten for Harald </w:t>
      </w:r>
      <w:proofErr w:type="spellStart"/>
      <w:r w:rsidRPr="00BE01B9">
        <w:t>Vilimsky</w:t>
      </w:r>
      <w:proofErr w:type="spellEnd"/>
      <w:r w:rsidRPr="00BE01B9">
        <w:t>, medlem af Europa-Parlamentet</w:t>
      </w:r>
      <w:r w:rsidR="00690D29">
        <w:t xml:space="preserve"> valgt i Østrig</w:t>
      </w:r>
      <w:r w:rsidRPr="00BE01B9">
        <w:t xml:space="preserve">, </w:t>
      </w:r>
      <w:r w:rsidR="00690D29">
        <w:t xml:space="preserve">i forbindelse med </w:t>
      </w:r>
      <w:r w:rsidRPr="00BE01B9">
        <w:t xml:space="preserve">formodet underslæb, der udgør </w:t>
      </w:r>
      <w:r w:rsidR="00690D29">
        <w:t xml:space="preserve">lovovertrædelser </w:t>
      </w:r>
      <w:r w:rsidRPr="00BE01B9">
        <w:t xml:space="preserve">i henhold til artikel 153, stk. 1 og 3, i </w:t>
      </w:r>
      <w:r w:rsidRPr="00BE01B9">
        <w:lastRenderedPageBreak/>
        <w:t xml:space="preserve">den østrigske straffelov, på grund af hans formodede deltagelse i </w:t>
      </w:r>
      <w:r w:rsidR="00690D29">
        <w:t xml:space="preserve">lovovertrædelsen </w:t>
      </w:r>
      <w:r w:rsidRPr="00BE01B9">
        <w:t>som omhandlet i denne lovs artikel 12;</w:t>
      </w:r>
    </w:p>
    <w:p w14:paraId="2405DD9B" w14:textId="222A0930" w:rsidR="00766D96" w:rsidRPr="00BE01B9" w:rsidRDefault="00766D96" w:rsidP="00766D96">
      <w:pPr>
        <w:pStyle w:val="NormalHanging12a"/>
      </w:pPr>
      <w:r w:rsidRPr="00BE01B9">
        <w:t>B.</w:t>
      </w:r>
      <w:r w:rsidRPr="00BE01B9">
        <w:tab/>
        <w:t xml:space="preserve">der henviser til, at det ifølge anmodningen – efter tidligere anmodninger fra anklagemyndigheden i Wien i 2021 om ophævelse af Harald </w:t>
      </w:r>
      <w:proofErr w:type="spellStart"/>
      <w:r w:rsidRPr="00BE01B9">
        <w:t>Vilimskys</w:t>
      </w:r>
      <w:proofErr w:type="spellEnd"/>
      <w:r w:rsidRPr="00BE01B9">
        <w:t xml:space="preserve"> immunitet samt Europa-Parlamentets afgørelse af 11. november 2021 om ophævelse af hans immunitet </w:t>
      </w:r>
      <w:r w:rsidR="00690D29">
        <w:t>og</w:t>
      </w:r>
      <w:r w:rsidRPr="00BE01B9">
        <w:t xml:space="preserve"> henset til, at der er fremkommet nye faktiske omstændigheder</w:t>
      </w:r>
      <w:r w:rsidR="00690D29">
        <w:t xml:space="preserve"> </w:t>
      </w:r>
      <w:r w:rsidR="00690D29" w:rsidRPr="00BE01B9">
        <w:t>–</w:t>
      </w:r>
      <w:r w:rsidRPr="00BE01B9">
        <w:t xml:space="preserve"> også er hensigtsmæssigt at anmode om ophævelse af Harald </w:t>
      </w:r>
      <w:proofErr w:type="spellStart"/>
      <w:r w:rsidRPr="00BE01B9">
        <w:t>Vilimskys</w:t>
      </w:r>
      <w:proofErr w:type="spellEnd"/>
      <w:r w:rsidRPr="00BE01B9">
        <w:t xml:space="preserve"> immunitet på grundlag af de nye </w:t>
      </w:r>
      <w:r w:rsidR="00690D29">
        <w:t>beviser</w:t>
      </w:r>
      <w:r w:rsidRPr="00BE01B9">
        <w:t xml:space="preserve">; der henviser til, at Harald </w:t>
      </w:r>
      <w:proofErr w:type="spellStart"/>
      <w:r w:rsidRPr="00BE01B9">
        <w:t>Vilimsky</w:t>
      </w:r>
      <w:proofErr w:type="spellEnd"/>
      <w:r w:rsidRPr="00BE01B9">
        <w:t xml:space="preserve"> ifølge oplysninger</w:t>
      </w:r>
      <w:r w:rsidR="00690D29">
        <w:t xml:space="preserve"> indhentet fra efterforskningen</w:t>
      </w:r>
      <w:r w:rsidRPr="00BE01B9">
        <w:t xml:space="preserve"> mistænkes for at have misbrugt sine beføjelser ved at anvende midler fra sit politiske parti FPÖ (</w:t>
      </w:r>
      <w:proofErr w:type="spellStart"/>
      <w:r w:rsidRPr="00BE01B9">
        <w:t>Freiheitliche</w:t>
      </w:r>
      <w:proofErr w:type="spellEnd"/>
      <w:r w:rsidRPr="00BE01B9">
        <w:t xml:space="preserve"> </w:t>
      </w:r>
      <w:proofErr w:type="spellStart"/>
      <w:r w:rsidRPr="00BE01B9">
        <w:t>Partei</w:t>
      </w:r>
      <w:proofErr w:type="spellEnd"/>
      <w:r w:rsidRPr="00BE01B9">
        <w:t xml:space="preserve"> </w:t>
      </w:r>
      <w:proofErr w:type="spellStart"/>
      <w:r w:rsidRPr="00BE01B9">
        <w:t>Österreichs</w:t>
      </w:r>
      <w:proofErr w:type="spellEnd"/>
      <w:r w:rsidRPr="00BE01B9">
        <w:t xml:space="preserve"> – Die </w:t>
      </w:r>
      <w:proofErr w:type="spellStart"/>
      <w:r w:rsidRPr="00BE01B9">
        <w:t>Freiheitlichen</w:t>
      </w:r>
      <w:proofErr w:type="spellEnd"/>
      <w:r w:rsidRPr="00BE01B9">
        <w:t xml:space="preserve">) til formål, der ikke har noget at gøre med dets aktiviteter, på datoer i 2013, som endnu ikke er præcist fastlagt, navnlig ved at godkende betalinger af privat karakter, der ikke har noget at gøre med partiets aktiviteter, vedrørende installation af en dør og en lås på </w:t>
      </w:r>
      <w:r w:rsidR="003462E7">
        <w:t>hans</w:t>
      </w:r>
      <w:r w:rsidRPr="00BE01B9">
        <w:t xml:space="preserve"> private adresse, hvorved </w:t>
      </w:r>
      <w:proofErr w:type="spellStart"/>
      <w:r w:rsidRPr="00BE01B9">
        <w:t>FPÖ's</w:t>
      </w:r>
      <w:proofErr w:type="spellEnd"/>
      <w:r w:rsidRPr="00BE01B9">
        <w:t xml:space="preserve"> formue led et tab på i alt 9 434 EUR;</w:t>
      </w:r>
    </w:p>
    <w:p w14:paraId="10135788" w14:textId="2473A697" w:rsidR="00766D96" w:rsidRPr="00BE01B9" w:rsidRDefault="00766D96" w:rsidP="00766D96">
      <w:pPr>
        <w:pStyle w:val="NormalHanging12a"/>
      </w:pPr>
      <w:r w:rsidRPr="00BE01B9">
        <w:t>C.</w:t>
      </w:r>
      <w:r w:rsidRPr="00BE01B9">
        <w:tab/>
        <w:t>der henviser til, at Harald </w:t>
      </w:r>
      <w:proofErr w:type="spellStart"/>
      <w:r w:rsidRPr="00BE01B9">
        <w:t>Vilimsky</w:t>
      </w:r>
      <w:proofErr w:type="spellEnd"/>
      <w:r w:rsidRPr="00BE01B9">
        <w:t xml:space="preserve"> blev valgt til Europa-Parlamentet ved valget i maj 2019 og genvalgt i juni 2024, og </w:t>
      </w:r>
      <w:r w:rsidR="003C0248">
        <w:t>således</w:t>
      </w:r>
      <w:r w:rsidRPr="00BE01B9">
        <w:t xml:space="preserve"> ikke var medlem af Europa-Parlamentet på tidspunktet for de </w:t>
      </w:r>
      <w:r w:rsidR="00690D29">
        <w:t>påståede</w:t>
      </w:r>
      <w:r w:rsidR="00690D29" w:rsidRPr="00BE01B9">
        <w:t xml:space="preserve"> </w:t>
      </w:r>
      <w:r w:rsidR="0097167A">
        <w:t>lovovertrædelser</w:t>
      </w:r>
      <w:r w:rsidRPr="00BE01B9">
        <w:t xml:space="preserve">; </w:t>
      </w:r>
    </w:p>
    <w:p w14:paraId="5111B62D" w14:textId="33A17344" w:rsidR="00766D96" w:rsidRPr="00BE01B9" w:rsidRDefault="00766D96" w:rsidP="00766D96">
      <w:pPr>
        <w:pStyle w:val="NormalHanging12a"/>
      </w:pPr>
      <w:r w:rsidRPr="00BE01B9">
        <w:t>D.</w:t>
      </w:r>
      <w:r w:rsidRPr="00BE01B9">
        <w:tab/>
        <w:t xml:space="preserve">der henviser til, at den </w:t>
      </w:r>
      <w:r w:rsidR="003C0248">
        <w:t>påståede lovovertrædelse</w:t>
      </w:r>
      <w:r w:rsidRPr="00BE01B9">
        <w:t xml:space="preserve"> ikke udgør</w:t>
      </w:r>
      <w:r w:rsidR="003C0248">
        <w:t>,</w:t>
      </w:r>
      <w:r w:rsidRPr="00BE01B9">
        <w:t xml:space="preserve"> og den </w:t>
      </w:r>
      <w:r w:rsidR="003C0248">
        <w:t>efter</w:t>
      </w:r>
      <w:r w:rsidRPr="00BE01B9">
        <w:t>følgende anmodning om ophævelse af Harald </w:t>
      </w:r>
      <w:proofErr w:type="spellStart"/>
      <w:r w:rsidRPr="00BE01B9">
        <w:t>Vilimskys</w:t>
      </w:r>
      <w:proofErr w:type="spellEnd"/>
      <w:r w:rsidRPr="00BE01B9">
        <w:t xml:space="preserve"> immunitet ikke vedrører</w:t>
      </w:r>
      <w:r w:rsidR="003C0248">
        <w:t>,</w:t>
      </w:r>
      <w:r w:rsidRPr="00BE01B9">
        <w:t xml:space="preserve"> en meningstilkendegivelse eller en stemmeafgivelse under udøvelsen af hans hverv som omhandlet i artikel 8 i protokol nr. 7 vedrørende Den Europæiske Unions privilegier og immuniteter;</w:t>
      </w:r>
    </w:p>
    <w:p w14:paraId="2F86B7E9" w14:textId="77777777" w:rsidR="00766D96" w:rsidRPr="00BE01B9" w:rsidRDefault="00766D96" w:rsidP="00766D96">
      <w:pPr>
        <w:pStyle w:val="NormalHanging12a"/>
      </w:pPr>
      <w:r w:rsidRPr="00BE01B9">
        <w:t>E.</w:t>
      </w:r>
      <w:r w:rsidRPr="00BE01B9">
        <w:tab/>
        <w:t>der henviser til, at Europa-Parlamentets medlemmer i henhold til artikel 9, stk. 1, litra a), i protokol nr. 7 vedrørende Den Europæiske Unions privilegier og immuniteter under Europa-Parlamentets mødeperioder på deres eget lands område nyder de immuniteter, der tilstås medlemmerne af deres lands lovgivende forsamling;</w:t>
      </w:r>
    </w:p>
    <w:p w14:paraId="5E4A3E22" w14:textId="53CFC028" w:rsidR="00766D96" w:rsidRPr="00BE01B9" w:rsidRDefault="00766D96" w:rsidP="00766D96">
      <w:pPr>
        <w:pStyle w:val="NormalHanging12a"/>
      </w:pPr>
      <w:r w:rsidRPr="00BE01B9">
        <w:t>F.</w:t>
      </w:r>
      <w:r w:rsidRPr="00BE01B9">
        <w:tab/>
        <w:t xml:space="preserve">der henviser til, at artikel 57, stk. 2 og 3, i den østrigske forfatning </w:t>
      </w:r>
      <w:r w:rsidR="001A124F">
        <w:t>har følgende ordlyd</w:t>
      </w:r>
      <w:r w:rsidRPr="00BE01B9">
        <w:t>:</w:t>
      </w:r>
    </w:p>
    <w:p w14:paraId="613E8C0B" w14:textId="42546599" w:rsidR="00766D96" w:rsidRPr="00BE01B9" w:rsidRDefault="00766D96" w:rsidP="00115447">
      <w:pPr>
        <w:pStyle w:val="NormalHanging12a"/>
        <w:ind w:left="1134"/>
        <w:rPr>
          <w:i/>
          <w:iCs/>
        </w:rPr>
      </w:pPr>
      <w:r w:rsidRPr="00BE01B9">
        <w:rPr>
          <w:i/>
          <w:iCs/>
        </w:rPr>
        <w:t xml:space="preserve">"2. </w:t>
      </w:r>
      <w:r w:rsidRPr="00BE01B9">
        <w:rPr>
          <w:i/>
          <w:iCs/>
        </w:rPr>
        <w:tab/>
        <w:t>Nationalrådets medlemmer kan kun med Nationalrådets samtykke arresteres for en strafbar handling, undtagen hvis de gribes på fersk gerning. Nationalrådets samtykke kræves også for ransagning af medlemmer af Nationalrådets hjem.</w:t>
      </w:r>
    </w:p>
    <w:p w14:paraId="378F7F34" w14:textId="480575B4" w:rsidR="00766D96" w:rsidRPr="00BE01B9" w:rsidRDefault="00766D96" w:rsidP="00115447">
      <w:pPr>
        <w:pStyle w:val="NormalHanging12a"/>
        <w:ind w:left="1134"/>
      </w:pPr>
      <w:r w:rsidRPr="00BE01B9">
        <w:rPr>
          <w:i/>
          <w:iCs/>
        </w:rPr>
        <w:t xml:space="preserve">3. </w:t>
      </w:r>
      <w:r w:rsidRPr="00BE01B9">
        <w:rPr>
          <w:i/>
          <w:iCs/>
        </w:rPr>
        <w:tab/>
        <w:t>Uden Nationalrådets samtykke kan dets medlemmer i øvrigt kun retsforfølges for en strafbar handling af myndighederne, hvis det er åbenbart, at denne handling ikke har nogen tilknytning til det pågældende medlems politiske virksomhed. Myndighederne skal imidlertid indhente en afgørelse fra Nationalrådet om, hvorvidt der foreligger en sådan tilknytning, hvis det pågældende medlem eller en tredjedel af medlemmerne af det stående udvalg, der behandler sagen, anmoder herom. I tilfælde af en sådan anmodning skal myndighederne straks opgive eller afbryde enhver retsforfølgning.";</w:t>
      </w:r>
    </w:p>
    <w:p w14:paraId="170FB560" w14:textId="77777777" w:rsidR="00766D96" w:rsidRPr="00BE01B9" w:rsidRDefault="00766D96" w:rsidP="00766D96">
      <w:pPr>
        <w:pStyle w:val="NormalHanging12a"/>
      </w:pPr>
      <w:r w:rsidRPr="00BE01B9">
        <w:t>G.</w:t>
      </w:r>
      <w:r w:rsidRPr="00BE01B9">
        <w:tab/>
        <w:t>der henviser til, at formålet med immuniteten i henhold til protokol nr. 7 vedrørende Den Europæiske Unions privilegier og immuniteter er at beskytte Parlamentet og dets medlemmer mod retsforfølgning i relation til aktiviteter, der udføres under udøvelsen af det parlamentariske hverv, og som ikke kan adskilles fra dette hverv;</w:t>
      </w:r>
    </w:p>
    <w:p w14:paraId="50ADE24A" w14:textId="77777777" w:rsidR="00766D96" w:rsidRPr="00BE01B9" w:rsidRDefault="00766D96" w:rsidP="00766D96">
      <w:pPr>
        <w:pStyle w:val="NormalHanging12a"/>
      </w:pPr>
      <w:r w:rsidRPr="00BE01B9">
        <w:t>H.</w:t>
      </w:r>
      <w:r w:rsidRPr="00BE01B9">
        <w:tab/>
        <w:t xml:space="preserve">der henviser til, at parlamentarisk immunitet i henhold til forretningsordenens artikel 5, </w:t>
      </w:r>
      <w:r w:rsidRPr="00BE01B9">
        <w:lastRenderedPageBreak/>
        <w:t>stk. 2, ikke er et medlems personlige privilegium, men derimod en garanti for Parlamentets uafhængighed som helhed og for dets medlemmers uafhængighed;</w:t>
      </w:r>
    </w:p>
    <w:p w14:paraId="39CF167C" w14:textId="1C09DF41" w:rsidR="00766D96" w:rsidRPr="00BE01B9" w:rsidRDefault="00766D96" w:rsidP="00766D96">
      <w:pPr>
        <w:pStyle w:val="NormalHanging12a"/>
      </w:pPr>
      <w:r w:rsidRPr="00BE01B9">
        <w:t>I.</w:t>
      </w:r>
      <w:r w:rsidRPr="00BE01B9">
        <w:tab/>
        <w:t xml:space="preserve">der henviser til, at Europa-Parlamentet i den foreliggende sag ikke har fundet noget bevis på </w:t>
      </w:r>
      <w:proofErr w:type="spellStart"/>
      <w:r w:rsidRPr="00BE01B9">
        <w:t>fumus</w:t>
      </w:r>
      <w:proofErr w:type="spellEnd"/>
      <w:r w:rsidRPr="00BE01B9">
        <w:t xml:space="preserve"> </w:t>
      </w:r>
      <w:proofErr w:type="spellStart"/>
      <w:r w:rsidRPr="00BE01B9">
        <w:t>persecutionis</w:t>
      </w:r>
      <w:proofErr w:type="spellEnd"/>
      <w:r w:rsidRPr="00BE01B9">
        <w:t xml:space="preserve">, dvs. </w:t>
      </w:r>
      <w:r w:rsidR="00AC7925">
        <w:t>det</w:t>
      </w:r>
      <w:r w:rsidRPr="00BE01B9">
        <w:t xml:space="preserve"> tyder </w:t>
      </w:r>
      <w:r w:rsidR="00AC7925">
        <w:t xml:space="preserve">ikke </w:t>
      </w:r>
      <w:r w:rsidRPr="00BE01B9">
        <w:t>på, at hensigten bag rets</w:t>
      </w:r>
      <w:r w:rsidR="00F24882">
        <w:t xml:space="preserve">forfølgningen </w:t>
      </w:r>
      <w:r w:rsidR="00AC7925">
        <w:t xml:space="preserve">er </w:t>
      </w:r>
      <w:r w:rsidRPr="00BE01B9">
        <w:t>at skade Harald </w:t>
      </w:r>
      <w:proofErr w:type="spellStart"/>
      <w:r w:rsidRPr="00BE01B9">
        <w:t>Vilimskys</w:t>
      </w:r>
      <w:proofErr w:type="spellEnd"/>
      <w:r w:rsidRPr="00BE01B9">
        <w:t xml:space="preserve"> politiske </w:t>
      </w:r>
      <w:r w:rsidR="00F24882">
        <w:t xml:space="preserve">virke </w:t>
      </w:r>
      <w:r w:rsidR="00BA1922">
        <w:t>som</w:t>
      </w:r>
      <w:r w:rsidR="00BA1922" w:rsidRPr="00BE01B9">
        <w:t xml:space="preserve"> </w:t>
      </w:r>
      <w:r w:rsidRPr="00BE01B9">
        <w:t>medlem af Europa-Parlamentet</w:t>
      </w:r>
      <w:r w:rsidR="00AC7925">
        <w:t xml:space="preserve"> </w:t>
      </w:r>
      <w:bookmarkStart w:id="8" w:name="_Hlk229993980"/>
      <w:r w:rsidR="00AC7925">
        <w:t>og der</w:t>
      </w:r>
      <w:r w:rsidR="00F24882">
        <w:t>v</w:t>
      </w:r>
      <w:r w:rsidR="00AC7925">
        <w:t xml:space="preserve">ed </w:t>
      </w:r>
      <w:r w:rsidR="00AC7925" w:rsidRPr="00BE01B9">
        <w:t>Parlamentets uafhængighed</w:t>
      </w:r>
      <w:bookmarkEnd w:id="8"/>
      <w:r w:rsidRPr="00BE01B9">
        <w:t>;</w:t>
      </w:r>
    </w:p>
    <w:p w14:paraId="589E7893" w14:textId="7039915B" w:rsidR="00766D96" w:rsidRPr="00BE01B9" w:rsidRDefault="00766D96" w:rsidP="00766D96">
      <w:pPr>
        <w:pStyle w:val="NormalHanging12a"/>
      </w:pPr>
      <w:r w:rsidRPr="00BE01B9">
        <w:t>J.</w:t>
      </w:r>
      <w:r w:rsidRPr="00BE01B9">
        <w:tab/>
        <w:t>der henviser til, at Parlamentet ikke kan sidestilles med en domstol, og at medlemmet i forbindelse med en procedure om ophævelse af immunitet ikke kan betragtes som en anklaget</w:t>
      </w:r>
      <w:r w:rsidRPr="00BE01B9">
        <w:rPr>
          <w:vertAlign w:val="superscript"/>
        </w:rPr>
        <w:footnoteReference w:id="2"/>
      </w:r>
      <w:r w:rsidRPr="00BE01B9">
        <w:t>;</w:t>
      </w:r>
    </w:p>
    <w:p w14:paraId="52847DF6" w14:textId="77777777" w:rsidR="00766D96" w:rsidRPr="00BE01B9" w:rsidRDefault="00766D96" w:rsidP="00766D96">
      <w:pPr>
        <w:pStyle w:val="NormalHanging12a"/>
      </w:pPr>
      <w:r w:rsidRPr="00BE01B9">
        <w:t>1.</w:t>
      </w:r>
      <w:r w:rsidRPr="00BE01B9">
        <w:tab/>
        <w:t>vedtager at ophæve Harald </w:t>
      </w:r>
      <w:proofErr w:type="spellStart"/>
      <w:r w:rsidRPr="00BE01B9">
        <w:t>Vilimsky</w:t>
      </w:r>
      <w:proofErr w:type="spellEnd"/>
      <w:r w:rsidRPr="00BE01B9">
        <w:t xml:space="preserve"> immunitet;</w:t>
      </w:r>
    </w:p>
    <w:p w14:paraId="3FE1290C" w14:textId="34F3A38D" w:rsidR="00766D96" w:rsidRPr="00BE01B9" w:rsidRDefault="00766D96" w:rsidP="00766D96">
      <w:pPr>
        <w:pStyle w:val="NormalHanging12a"/>
      </w:pPr>
      <w:r w:rsidRPr="00BE01B9">
        <w:t>2.</w:t>
      </w:r>
      <w:r w:rsidRPr="00BE01B9">
        <w:tab/>
        <w:t>pålægger sin formand straks at sende denne afgørelse og det kompetente udvalgs betænkning til Republikken Østrigs kompetente myndighed og Harald </w:t>
      </w:r>
      <w:proofErr w:type="spellStart"/>
      <w:r w:rsidRPr="00BE01B9">
        <w:t>Vilimsky</w:t>
      </w:r>
      <w:proofErr w:type="spellEnd"/>
      <w:r w:rsidRPr="00BE01B9">
        <w:t xml:space="preserve">. </w:t>
      </w:r>
    </w:p>
    <w:sectPr w:rsidR="00766D96" w:rsidRPr="00BE01B9" w:rsidSect="005C7A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547DA" w14:textId="77777777" w:rsidR="00411072" w:rsidRPr="00BE01B9" w:rsidRDefault="00411072">
      <w:r w:rsidRPr="00BE01B9">
        <w:separator/>
      </w:r>
    </w:p>
  </w:endnote>
  <w:endnote w:type="continuationSeparator" w:id="0">
    <w:p w14:paraId="5E168AB8" w14:textId="77777777" w:rsidR="00411072" w:rsidRPr="00BE01B9" w:rsidRDefault="00411072">
      <w:r w:rsidRPr="00BE01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1866B" w14:textId="77777777" w:rsidR="00064002" w:rsidRPr="00BE01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92671" w14:textId="77777777" w:rsidR="00064002" w:rsidRPr="00BE01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5A4AB" w14:textId="77777777" w:rsidR="00064002" w:rsidRPr="00BE01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481D6" w14:textId="77777777" w:rsidR="00411072" w:rsidRPr="00BE01B9" w:rsidRDefault="00411072">
      <w:r w:rsidRPr="00BE01B9">
        <w:separator/>
      </w:r>
    </w:p>
  </w:footnote>
  <w:footnote w:type="continuationSeparator" w:id="0">
    <w:p w14:paraId="01CD6F9E" w14:textId="77777777" w:rsidR="00411072" w:rsidRPr="00BE01B9" w:rsidRDefault="00411072">
      <w:r w:rsidRPr="00BE01B9">
        <w:continuationSeparator/>
      </w:r>
    </w:p>
  </w:footnote>
  <w:footnote w:id="1">
    <w:p w14:paraId="3B4D4238" w14:textId="4CFA194E" w:rsidR="00766D96" w:rsidRPr="00BE01B9" w:rsidRDefault="00766D96" w:rsidP="00BE01B9">
      <w:pPr>
        <w:pStyle w:val="FootnoteText"/>
        <w:ind w:left="567" w:hanging="567"/>
        <w:rPr>
          <w:sz w:val="24"/>
          <w:lang w:val="da-DK"/>
        </w:rPr>
      </w:pPr>
      <w:r w:rsidRPr="00BE01B9">
        <w:rPr>
          <w:rStyle w:val="FootnoteReference"/>
          <w:sz w:val="24"/>
          <w:lang w:val="da-DK"/>
        </w:rPr>
        <w:footnoteRef/>
      </w:r>
      <w:r w:rsidR="00BE01B9" w:rsidRPr="00BE01B9">
        <w:rPr>
          <w:sz w:val="24"/>
          <w:lang w:val="da-DK"/>
        </w:rPr>
        <w:t xml:space="preserve"> </w:t>
      </w:r>
      <w:r w:rsidR="00BE01B9" w:rsidRPr="00BE01B9">
        <w:rPr>
          <w:sz w:val="24"/>
          <w:lang w:val="da-DK"/>
        </w:rPr>
        <w:tab/>
      </w:r>
      <w:r w:rsidRPr="00BE01B9">
        <w:rPr>
          <w:sz w:val="24"/>
          <w:lang w:val="da-DK"/>
        </w:rPr>
        <w:t xml:space="preserve">Domstolens dom af 21. oktober 2008, </w:t>
      </w:r>
      <w:proofErr w:type="spellStart"/>
      <w:r w:rsidRPr="00BE01B9">
        <w:rPr>
          <w:sz w:val="24"/>
          <w:lang w:val="da-DK"/>
        </w:rPr>
        <w:t>Marra</w:t>
      </w:r>
      <w:proofErr w:type="spellEnd"/>
      <w:r w:rsidRPr="00BE01B9">
        <w:rPr>
          <w:sz w:val="24"/>
          <w:lang w:val="da-DK"/>
        </w:rPr>
        <w:t xml:space="preserve"> mod De </w:t>
      </w:r>
      <w:proofErr w:type="spellStart"/>
      <w:r w:rsidRPr="00BE01B9">
        <w:rPr>
          <w:sz w:val="24"/>
          <w:lang w:val="da-DK"/>
        </w:rPr>
        <w:t>Gregorio</w:t>
      </w:r>
      <w:proofErr w:type="spellEnd"/>
      <w:r w:rsidRPr="00BE01B9">
        <w:rPr>
          <w:sz w:val="24"/>
          <w:lang w:val="da-DK"/>
        </w:rPr>
        <w:t xml:space="preserve"> og </w:t>
      </w:r>
      <w:proofErr w:type="spellStart"/>
      <w:r w:rsidRPr="00BE01B9">
        <w:rPr>
          <w:sz w:val="24"/>
          <w:lang w:val="da-DK"/>
        </w:rPr>
        <w:t>Clemente</w:t>
      </w:r>
      <w:proofErr w:type="spellEnd"/>
      <w:r w:rsidRPr="00BE01B9">
        <w:rPr>
          <w:sz w:val="24"/>
          <w:lang w:val="da-DK"/>
        </w:rPr>
        <w:t xml:space="preserve">, C-200/07 og C-201/07, ECLI:EU:C:2008:579, Rettens dom af 19. marts 2010, </w:t>
      </w:r>
      <w:proofErr w:type="spellStart"/>
      <w:r w:rsidRPr="00BE01B9">
        <w:rPr>
          <w:sz w:val="24"/>
          <w:lang w:val="da-DK"/>
        </w:rPr>
        <w:t>Gollnisch</w:t>
      </w:r>
      <w:proofErr w:type="spellEnd"/>
      <w:r w:rsidRPr="00BE01B9">
        <w:rPr>
          <w:sz w:val="24"/>
          <w:lang w:val="da-DK"/>
        </w:rPr>
        <w:t xml:space="preserve"> mod Parlamentet, T-42/06, ECLI:EU:T:2010:102, Domstolens dom af 6. september 2011, </w:t>
      </w:r>
      <w:proofErr w:type="spellStart"/>
      <w:r w:rsidRPr="00BE01B9">
        <w:rPr>
          <w:sz w:val="24"/>
          <w:lang w:val="da-DK"/>
        </w:rPr>
        <w:t>Patriciello</w:t>
      </w:r>
      <w:proofErr w:type="spellEnd"/>
      <w:r w:rsidRPr="00BE01B9">
        <w:rPr>
          <w:sz w:val="24"/>
          <w:lang w:val="da-DK"/>
        </w:rPr>
        <w:t xml:space="preserve">, C-163/10, ECLI: EU:C:2011:543, Rettens dom af 17. januar 2013, </w:t>
      </w:r>
      <w:proofErr w:type="spellStart"/>
      <w:r w:rsidRPr="00BE01B9">
        <w:rPr>
          <w:sz w:val="24"/>
          <w:lang w:val="da-DK"/>
        </w:rPr>
        <w:t>Gollnisch</w:t>
      </w:r>
      <w:proofErr w:type="spellEnd"/>
      <w:r w:rsidRPr="00BE01B9">
        <w:rPr>
          <w:sz w:val="24"/>
          <w:lang w:val="da-DK"/>
        </w:rPr>
        <w:t xml:space="preserve"> mod Parlamentet, T-346/11 og T-347/11, ECLI:EU:T:2013:23, og Domstolens dom af 19. december 2019, </w:t>
      </w:r>
      <w:proofErr w:type="spellStart"/>
      <w:r w:rsidRPr="00BE01B9">
        <w:rPr>
          <w:sz w:val="24"/>
          <w:lang w:val="da-DK"/>
        </w:rPr>
        <w:t>Junqueras</w:t>
      </w:r>
      <w:proofErr w:type="spellEnd"/>
      <w:r w:rsidRPr="00BE01B9">
        <w:rPr>
          <w:sz w:val="24"/>
          <w:lang w:val="da-DK"/>
        </w:rPr>
        <w:t xml:space="preserve"> Vies, C-502/19, ECLI:EU:C:2019:1115.</w:t>
      </w:r>
    </w:p>
  </w:footnote>
  <w:footnote w:id="2">
    <w:p w14:paraId="1DF24380" w14:textId="54F2E002" w:rsidR="00766D96" w:rsidRPr="00BE01B9" w:rsidRDefault="00766D96" w:rsidP="00BE01B9">
      <w:pPr>
        <w:pStyle w:val="FootnoteText"/>
        <w:ind w:left="567" w:hanging="567"/>
        <w:rPr>
          <w:sz w:val="24"/>
          <w:lang w:val="da-DK"/>
        </w:rPr>
      </w:pPr>
      <w:r w:rsidRPr="00BE01B9">
        <w:rPr>
          <w:rStyle w:val="FootnoteReference"/>
          <w:sz w:val="24"/>
          <w:lang w:val="da-DK"/>
        </w:rPr>
        <w:footnoteRef/>
      </w:r>
      <w:r w:rsidR="00BE01B9" w:rsidRPr="00BE01B9">
        <w:rPr>
          <w:sz w:val="24"/>
          <w:lang w:val="da-DK"/>
        </w:rPr>
        <w:t xml:space="preserve"> </w:t>
      </w:r>
      <w:r w:rsidR="00BE01B9" w:rsidRPr="00BE01B9">
        <w:rPr>
          <w:sz w:val="24"/>
          <w:lang w:val="da-DK"/>
        </w:rPr>
        <w:tab/>
      </w:r>
      <w:r w:rsidRPr="00BE01B9">
        <w:rPr>
          <w:sz w:val="24"/>
          <w:lang w:val="da-DK"/>
        </w:rPr>
        <w:t xml:space="preserve">Rettens dom af 30. april 2019, </w:t>
      </w:r>
      <w:proofErr w:type="spellStart"/>
      <w:r w:rsidRPr="00BE01B9">
        <w:rPr>
          <w:sz w:val="24"/>
          <w:lang w:val="da-DK"/>
        </w:rPr>
        <w:t>Briois</w:t>
      </w:r>
      <w:proofErr w:type="spellEnd"/>
      <w:r w:rsidRPr="00BE01B9">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9B09" w14:textId="77777777" w:rsidR="00064002" w:rsidRPr="00BE01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C6D3" w14:textId="77777777" w:rsidR="00064002" w:rsidRPr="00BE01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FFF1A" w14:textId="77777777" w:rsidR="00064002" w:rsidRPr="00BE01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7384614">
    <w:abstractNumId w:val="9"/>
  </w:num>
  <w:num w:numId="2" w16cid:durableId="1732384329">
    <w:abstractNumId w:val="9"/>
  </w:num>
  <w:num w:numId="3" w16cid:durableId="75905600">
    <w:abstractNumId w:val="7"/>
  </w:num>
  <w:num w:numId="4" w16cid:durableId="291832684">
    <w:abstractNumId w:val="7"/>
  </w:num>
  <w:num w:numId="5" w16cid:durableId="849218056">
    <w:abstractNumId w:val="6"/>
  </w:num>
  <w:num w:numId="6" w16cid:durableId="1736469345">
    <w:abstractNumId w:val="6"/>
  </w:num>
  <w:num w:numId="7" w16cid:durableId="1522354067">
    <w:abstractNumId w:val="5"/>
  </w:num>
  <w:num w:numId="8" w16cid:durableId="111096045">
    <w:abstractNumId w:val="5"/>
  </w:num>
  <w:num w:numId="9" w16cid:durableId="729306288">
    <w:abstractNumId w:val="4"/>
  </w:num>
  <w:num w:numId="10" w16cid:durableId="1648515933">
    <w:abstractNumId w:val="4"/>
  </w:num>
  <w:num w:numId="11" w16cid:durableId="1732117504">
    <w:abstractNumId w:val="8"/>
  </w:num>
  <w:num w:numId="12" w16cid:durableId="2146772753">
    <w:abstractNumId w:val="8"/>
  </w:num>
  <w:num w:numId="13" w16cid:durableId="103381413">
    <w:abstractNumId w:val="3"/>
  </w:num>
  <w:num w:numId="14" w16cid:durableId="1736120393">
    <w:abstractNumId w:val="3"/>
  </w:num>
  <w:num w:numId="15" w16cid:durableId="27150445">
    <w:abstractNumId w:val="2"/>
  </w:num>
  <w:num w:numId="16" w16cid:durableId="1165631239">
    <w:abstractNumId w:val="2"/>
  </w:num>
  <w:num w:numId="17" w16cid:durableId="1655522164">
    <w:abstractNumId w:val="1"/>
  </w:num>
  <w:num w:numId="18" w16cid:durableId="57022208">
    <w:abstractNumId w:val="1"/>
  </w:num>
  <w:num w:numId="19" w16cid:durableId="1873105534">
    <w:abstractNumId w:val="0"/>
  </w:num>
  <w:num w:numId="20" w16cid:durableId="671489596">
    <w:abstractNumId w:val="0"/>
  </w:num>
  <w:num w:numId="21" w16cid:durableId="749156136">
    <w:abstractNumId w:val="9"/>
  </w:num>
  <w:num w:numId="22" w16cid:durableId="1940748482">
    <w:abstractNumId w:val="7"/>
  </w:num>
  <w:num w:numId="23" w16cid:durableId="473764597">
    <w:abstractNumId w:val="6"/>
  </w:num>
  <w:num w:numId="24" w16cid:durableId="113983959">
    <w:abstractNumId w:val="5"/>
  </w:num>
  <w:num w:numId="25" w16cid:durableId="794907297">
    <w:abstractNumId w:val="4"/>
  </w:num>
  <w:num w:numId="26" w16cid:durableId="1049499986">
    <w:abstractNumId w:val="8"/>
  </w:num>
  <w:num w:numId="27" w16cid:durableId="330833639">
    <w:abstractNumId w:val="3"/>
  </w:num>
  <w:num w:numId="28" w16cid:durableId="1533878223">
    <w:abstractNumId w:val="2"/>
  </w:num>
  <w:num w:numId="29" w16cid:durableId="2073767458">
    <w:abstractNumId w:val="1"/>
  </w:num>
  <w:num w:numId="30" w16cid:durableId="688414683">
    <w:abstractNumId w:val="0"/>
  </w:num>
  <w:num w:numId="31" w16cid:durableId="1271157110">
    <w:abstractNumId w:val="9"/>
  </w:num>
  <w:num w:numId="32" w16cid:durableId="1441224800">
    <w:abstractNumId w:val="7"/>
  </w:num>
  <w:num w:numId="33" w16cid:durableId="905339956">
    <w:abstractNumId w:val="6"/>
  </w:num>
  <w:num w:numId="34" w16cid:durableId="456722042">
    <w:abstractNumId w:val="5"/>
  </w:num>
  <w:num w:numId="35" w16cid:durableId="1057629439">
    <w:abstractNumId w:val="4"/>
  </w:num>
  <w:num w:numId="36" w16cid:durableId="1762945219">
    <w:abstractNumId w:val="8"/>
  </w:num>
  <w:num w:numId="37" w16cid:durableId="467402947">
    <w:abstractNumId w:val="3"/>
  </w:num>
  <w:num w:numId="38" w16cid:durableId="1658415660">
    <w:abstractNumId w:val="2"/>
  </w:num>
  <w:num w:numId="39" w16cid:durableId="1226919349">
    <w:abstractNumId w:val="1"/>
  </w:num>
  <w:num w:numId="40" w16cid:durableId="967706637">
    <w:abstractNumId w:val="0"/>
  </w:num>
  <w:num w:numId="41" w16cid:durableId="1438720012">
    <w:abstractNumId w:val="10"/>
  </w:num>
  <w:num w:numId="42" w16cid:durableId="1307667030">
    <w:abstractNumId w:val="10"/>
  </w:num>
  <w:num w:numId="43" w16cid:durableId="81416474">
    <w:abstractNumId w:val="10"/>
  </w:num>
  <w:num w:numId="44" w16cid:durableId="18862180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5/2026"/>
    <w:docVar w:name="dvlangue" w:val="DA"/>
    <w:docVar w:name="dvnumam" w:val="0"/>
    <w:docVar w:name="dvpe" w:val="784.495"/>
    <w:docVar w:name="dvrapporteur" w:val="Ordfører: "/>
    <w:docVar w:name="dvtitre" w:val="Europa-Parlamentets afgørelse af xx.xx 2026 om anmodning om ophævelse af Harald Vilimskys immunitet(2025/2158(IMM))"/>
  </w:docVars>
  <w:rsids>
    <w:rsidRoot w:val="00411072"/>
    <w:rsid w:val="00002272"/>
    <w:rsid w:val="00064002"/>
    <w:rsid w:val="000677B9"/>
    <w:rsid w:val="000831BA"/>
    <w:rsid w:val="000A42CC"/>
    <w:rsid w:val="000E7DD9"/>
    <w:rsid w:val="0010095E"/>
    <w:rsid w:val="00115447"/>
    <w:rsid w:val="00125B37"/>
    <w:rsid w:val="00187494"/>
    <w:rsid w:val="001A124F"/>
    <w:rsid w:val="001C5717"/>
    <w:rsid w:val="001F32AE"/>
    <w:rsid w:val="002767FF"/>
    <w:rsid w:val="002A6E1C"/>
    <w:rsid w:val="002B18FE"/>
    <w:rsid w:val="002B5493"/>
    <w:rsid w:val="00343214"/>
    <w:rsid w:val="003462E7"/>
    <w:rsid w:val="00352FA2"/>
    <w:rsid w:val="00361C00"/>
    <w:rsid w:val="00395FA1"/>
    <w:rsid w:val="003C0248"/>
    <w:rsid w:val="003E15D4"/>
    <w:rsid w:val="00411072"/>
    <w:rsid w:val="00411CCE"/>
    <w:rsid w:val="0041666E"/>
    <w:rsid w:val="00421060"/>
    <w:rsid w:val="00471C19"/>
    <w:rsid w:val="00472CDC"/>
    <w:rsid w:val="004867E3"/>
    <w:rsid w:val="00494A28"/>
    <w:rsid w:val="004C0004"/>
    <w:rsid w:val="004C5D52"/>
    <w:rsid w:val="0050519A"/>
    <w:rsid w:val="005072A1"/>
    <w:rsid w:val="00514517"/>
    <w:rsid w:val="00545827"/>
    <w:rsid w:val="00560270"/>
    <w:rsid w:val="005C2568"/>
    <w:rsid w:val="005C7AF6"/>
    <w:rsid w:val="005F1B17"/>
    <w:rsid w:val="006037C0"/>
    <w:rsid w:val="00641EDA"/>
    <w:rsid w:val="00644F38"/>
    <w:rsid w:val="006631B6"/>
    <w:rsid w:val="00680577"/>
    <w:rsid w:val="00690D29"/>
    <w:rsid w:val="006F74FA"/>
    <w:rsid w:val="00704D86"/>
    <w:rsid w:val="00731ADD"/>
    <w:rsid w:val="00734777"/>
    <w:rsid w:val="00747932"/>
    <w:rsid w:val="00751A4A"/>
    <w:rsid w:val="00756632"/>
    <w:rsid w:val="00762C74"/>
    <w:rsid w:val="00766D96"/>
    <w:rsid w:val="00786EC0"/>
    <w:rsid w:val="007D1690"/>
    <w:rsid w:val="007E22AD"/>
    <w:rsid w:val="008164AD"/>
    <w:rsid w:val="00817416"/>
    <w:rsid w:val="00842779"/>
    <w:rsid w:val="00865F67"/>
    <w:rsid w:val="00881A7B"/>
    <w:rsid w:val="008840E5"/>
    <w:rsid w:val="00887B3E"/>
    <w:rsid w:val="008C2AC6"/>
    <w:rsid w:val="008D0D09"/>
    <w:rsid w:val="00930C23"/>
    <w:rsid w:val="0093193B"/>
    <w:rsid w:val="00941171"/>
    <w:rsid w:val="00945574"/>
    <w:rsid w:val="009509D8"/>
    <w:rsid w:val="00950B64"/>
    <w:rsid w:val="0097167A"/>
    <w:rsid w:val="00981893"/>
    <w:rsid w:val="00A1687D"/>
    <w:rsid w:val="00A43E52"/>
    <w:rsid w:val="00A4678D"/>
    <w:rsid w:val="00A778C7"/>
    <w:rsid w:val="00AA3520"/>
    <w:rsid w:val="00AB441E"/>
    <w:rsid w:val="00AB6293"/>
    <w:rsid w:val="00AC7925"/>
    <w:rsid w:val="00AE0928"/>
    <w:rsid w:val="00AF3B82"/>
    <w:rsid w:val="00B07A82"/>
    <w:rsid w:val="00B12E95"/>
    <w:rsid w:val="00B22876"/>
    <w:rsid w:val="00B558F0"/>
    <w:rsid w:val="00BA1922"/>
    <w:rsid w:val="00BD48FE"/>
    <w:rsid w:val="00BD7BD8"/>
    <w:rsid w:val="00BE01B9"/>
    <w:rsid w:val="00BE6ADC"/>
    <w:rsid w:val="00C05BFE"/>
    <w:rsid w:val="00C23CD4"/>
    <w:rsid w:val="00C56603"/>
    <w:rsid w:val="00C61C0C"/>
    <w:rsid w:val="00C941CB"/>
    <w:rsid w:val="00CC2357"/>
    <w:rsid w:val="00CF071A"/>
    <w:rsid w:val="00CF58A0"/>
    <w:rsid w:val="00D058B8"/>
    <w:rsid w:val="00D56C11"/>
    <w:rsid w:val="00D834A0"/>
    <w:rsid w:val="00D872DF"/>
    <w:rsid w:val="00D91E21"/>
    <w:rsid w:val="00DA7FCD"/>
    <w:rsid w:val="00E365E1"/>
    <w:rsid w:val="00E755BF"/>
    <w:rsid w:val="00E820A4"/>
    <w:rsid w:val="00EB006A"/>
    <w:rsid w:val="00EB4772"/>
    <w:rsid w:val="00ED169E"/>
    <w:rsid w:val="00ED4235"/>
    <w:rsid w:val="00F04346"/>
    <w:rsid w:val="00F075DC"/>
    <w:rsid w:val="00F149E9"/>
    <w:rsid w:val="00F228EC"/>
    <w:rsid w:val="00F2488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0D866"/>
  <w15:chartTrackingRefBased/>
  <w15:docId w15:val="{4851579E-D16F-4A31-A187-1E53940A9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66D9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66D96"/>
    <w:pPr>
      <w:keepNext/>
      <w:spacing w:after="480"/>
      <w:jc w:val="center"/>
    </w:pPr>
    <w:rPr>
      <w:rFonts w:ascii="Arial" w:hAnsi="Arial" w:cs="Arial"/>
      <w:b/>
    </w:rPr>
  </w:style>
  <w:style w:type="paragraph" w:customStyle="1" w:styleId="NormalHanging12a">
    <w:name w:val="NormalHanging12a"/>
    <w:basedOn w:val="Normal"/>
    <w:rsid w:val="00766D96"/>
    <w:pPr>
      <w:spacing w:after="240"/>
      <w:ind w:left="567" w:hanging="567"/>
    </w:pPr>
  </w:style>
  <w:style w:type="paragraph" w:styleId="Header">
    <w:name w:val="header"/>
    <w:basedOn w:val="Normal"/>
    <w:link w:val="HeaderChar"/>
    <w:rsid w:val="00766D96"/>
    <w:pPr>
      <w:tabs>
        <w:tab w:val="center" w:pos="4513"/>
        <w:tab w:val="right" w:pos="9026"/>
      </w:tabs>
    </w:pPr>
  </w:style>
  <w:style w:type="character" w:customStyle="1" w:styleId="HeaderChar">
    <w:name w:val="Header Char"/>
    <w:basedOn w:val="DefaultParagraphFont"/>
    <w:link w:val="Header"/>
    <w:rsid w:val="00766D96"/>
    <w:rPr>
      <w:sz w:val="24"/>
      <w:lang w:val="da-DK"/>
    </w:rPr>
  </w:style>
  <w:style w:type="paragraph" w:customStyle="1" w:styleId="EPFooter">
    <w:name w:val="EPFooter"/>
    <w:basedOn w:val="Normal"/>
    <w:rsid w:val="00766D96"/>
    <w:pPr>
      <w:tabs>
        <w:tab w:val="center" w:pos="4535"/>
        <w:tab w:val="right" w:pos="9071"/>
      </w:tabs>
      <w:spacing w:before="240" w:after="240"/>
    </w:pPr>
    <w:rPr>
      <w:color w:val="010000"/>
      <w:sz w:val="22"/>
    </w:rPr>
  </w:style>
  <w:style w:type="paragraph" w:customStyle="1" w:styleId="EPComma">
    <w:name w:val="EPComma"/>
    <w:basedOn w:val="Normal"/>
    <w:rsid w:val="00766D96"/>
    <w:pPr>
      <w:spacing w:before="480" w:after="240"/>
    </w:pPr>
  </w:style>
  <w:style w:type="paragraph" w:styleId="Revision">
    <w:name w:val="Revision"/>
    <w:hidden/>
    <w:uiPriority w:val="99"/>
    <w:semiHidden/>
    <w:rsid w:val="005C7AF6"/>
    <w:rPr>
      <w:sz w:val="24"/>
      <w:lang w:val="da-DK"/>
    </w:rPr>
  </w:style>
  <w:style w:type="character" w:styleId="CommentReference">
    <w:name w:val="annotation reference"/>
    <w:basedOn w:val="DefaultParagraphFont"/>
    <w:rsid w:val="00AA3520"/>
    <w:rPr>
      <w:sz w:val="16"/>
      <w:szCs w:val="16"/>
    </w:rPr>
  </w:style>
  <w:style w:type="paragraph" w:styleId="CommentText">
    <w:name w:val="annotation text"/>
    <w:basedOn w:val="Normal"/>
    <w:link w:val="CommentTextChar"/>
    <w:rsid w:val="00AA3520"/>
    <w:rPr>
      <w:sz w:val="20"/>
    </w:rPr>
  </w:style>
  <w:style w:type="character" w:customStyle="1" w:styleId="CommentTextChar">
    <w:name w:val="Comment Text Char"/>
    <w:basedOn w:val="DefaultParagraphFont"/>
    <w:link w:val="CommentText"/>
    <w:rsid w:val="00AA3520"/>
    <w:rPr>
      <w:lang w:val="da-DK"/>
    </w:rPr>
  </w:style>
  <w:style w:type="paragraph" w:styleId="CommentSubject">
    <w:name w:val="annotation subject"/>
    <w:basedOn w:val="CommentText"/>
    <w:next w:val="CommentText"/>
    <w:link w:val="CommentSubjectChar"/>
    <w:rsid w:val="00AA3520"/>
    <w:rPr>
      <w:b/>
      <w:bCs/>
    </w:rPr>
  </w:style>
  <w:style w:type="character" w:customStyle="1" w:styleId="CommentSubjectChar">
    <w:name w:val="Comment Subject Char"/>
    <w:basedOn w:val="CommentTextChar"/>
    <w:link w:val="CommentSubject"/>
    <w:rsid w:val="00AA3520"/>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861</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2026-05-19T09:37:00Z</dcterms:created>
  <dcterms:modified xsi:type="dcterms:W3CDTF">2026-05-19T09:37:00Z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A10-0125/2026</vt:lpwstr>
  </property>
  <property fmtid="{D5CDD505-2E9C-101B-9397-08002B2CF9AE}" pid="4" name="&lt;Type&gt;">
    <vt:lpwstr>RR</vt:lpwstr>
  </property>
</Properties>
</file>