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7A4C" w14:paraId="3AA7311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0560B5" w14:textId="77777777" w:rsidR="00751A4A" w:rsidRPr="004F7A4C" w:rsidRDefault="00066D51" w:rsidP="0010095E">
            <w:pPr>
              <w:pStyle w:val="EPName"/>
            </w:pPr>
            <w:r w:rsidRPr="004F7A4C">
              <w:t>Euroopan parlamentti</w:t>
            </w:r>
          </w:p>
          <w:p w14:paraId="385BBCE5" w14:textId="77777777" w:rsidR="00751A4A" w:rsidRPr="004F7A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7A4C">
              <w:t>2024</w:t>
            </w:r>
            <w:r w:rsidR="00817416" w:rsidRPr="004F7A4C">
              <w:t>-202</w:t>
            </w:r>
            <w:r w:rsidRPr="004F7A4C">
              <w:t>9</w:t>
            </w:r>
          </w:p>
        </w:tc>
        <w:tc>
          <w:tcPr>
            <w:tcW w:w="2268" w:type="dxa"/>
            <w:shd w:val="clear" w:color="auto" w:fill="auto"/>
          </w:tcPr>
          <w:p w14:paraId="326A7F6C" w14:textId="77777777" w:rsidR="00751A4A" w:rsidRPr="004F7A4C" w:rsidRDefault="00187494" w:rsidP="0010095E">
            <w:pPr>
              <w:pStyle w:val="EPLogo"/>
            </w:pPr>
            <w:r w:rsidRPr="004F7A4C">
              <w:rPr>
                <w:noProof/>
                <w:lang w:eastAsia="ja-JP"/>
              </w:rPr>
              <w:drawing>
                <wp:inline distT="0" distB="0" distL="0" distR="0" wp14:anchorId="0EAE4288" wp14:editId="4E3B16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133DE9" w14:textId="77777777" w:rsidR="00D058B8" w:rsidRPr="004F7A4C" w:rsidRDefault="00D058B8" w:rsidP="004C5D52">
      <w:pPr>
        <w:pStyle w:val="LineTop"/>
      </w:pPr>
    </w:p>
    <w:p w14:paraId="6C3AE577" w14:textId="77777777" w:rsidR="00680577" w:rsidRPr="004F7A4C" w:rsidRDefault="00066D51" w:rsidP="00680577">
      <w:pPr>
        <w:pStyle w:val="EPBodyTA1"/>
      </w:pPr>
      <w:r w:rsidRPr="004F7A4C">
        <w:t>HYVÄKSYTYT TEKSTIT</w:t>
      </w:r>
    </w:p>
    <w:p w14:paraId="2A81ED8F" w14:textId="77777777" w:rsidR="00D058B8" w:rsidRPr="004F7A4C" w:rsidRDefault="00D058B8" w:rsidP="00D058B8">
      <w:pPr>
        <w:pStyle w:val="LineBottom"/>
      </w:pPr>
    </w:p>
    <w:p w14:paraId="55834D02" w14:textId="31F16647" w:rsidR="00066D51" w:rsidRPr="004F7A4C" w:rsidRDefault="00066D51" w:rsidP="00066D51">
      <w:pPr>
        <w:pStyle w:val="ATHeading1"/>
      </w:pPr>
      <w:bookmarkStart w:id="0" w:name="TANumber"/>
      <w:r w:rsidRPr="004F7A4C">
        <w:t>P10_TA(2026)0</w:t>
      </w:r>
      <w:r w:rsidR="004F7A4C">
        <w:t>164</w:t>
      </w:r>
      <w:bookmarkEnd w:id="0"/>
    </w:p>
    <w:p w14:paraId="292E1933" w14:textId="77777777" w:rsidR="00066D51" w:rsidRPr="004F7A4C" w:rsidRDefault="00066D51" w:rsidP="00066D51">
      <w:pPr>
        <w:pStyle w:val="ATHeading2"/>
      </w:pPr>
      <w:bookmarkStart w:id="1" w:name="title"/>
      <w:r w:rsidRPr="004F7A4C">
        <w:t>Harald </w:t>
      </w:r>
      <w:proofErr w:type="spellStart"/>
      <w:r w:rsidRPr="004F7A4C">
        <w:t>Vilimskyn</w:t>
      </w:r>
      <w:proofErr w:type="spellEnd"/>
      <w:r w:rsidRPr="004F7A4C">
        <w:t xml:space="preserve"> koskemattomuuden pidättämistä koskeva pyyntö</w:t>
      </w:r>
      <w:bookmarkEnd w:id="1"/>
    </w:p>
    <w:p w14:paraId="68897A57" w14:textId="77777777" w:rsidR="00066D51" w:rsidRPr="004F7A4C" w:rsidRDefault="00066D51" w:rsidP="00066D51">
      <w:pPr>
        <w:rPr>
          <w:i/>
          <w:vanish/>
        </w:rPr>
      </w:pPr>
      <w:r w:rsidRPr="004F7A4C">
        <w:rPr>
          <w:i/>
        </w:rPr>
        <w:fldChar w:fldCharType="begin"/>
      </w:r>
      <w:r w:rsidRPr="004F7A4C">
        <w:rPr>
          <w:i/>
        </w:rPr>
        <w:instrText xml:space="preserve"> TC"(</w:instrText>
      </w:r>
      <w:bookmarkStart w:id="2" w:name="DocNumber"/>
      <w:r w:rsidRPr="004F7A4C">
        <w:rPr>
          <w:i/>
        </w:rPr>
        <w:instrText>A10-0125/2026</w:instrText>
      </w:r>
      <w:bookmarkEnd w:id="2"/>
      <w:r w:rsidRPr="004F7A4C">
        <w:rPr>
          <w:i/>
        </w:rPr>
        <w:instrText xml:space="preserve"> - Esittelijä: David Cormand)"\l3 \n&gt; \* MERGEFORMAT </w:instrText>
      </w:r>
      <w:r w:rsidRPr="004F7A4C">
        <w:rPr>
          <w:i/>
        </w:rPr>
        <w:fldChar w:fldCharType="end"/>
      </w:r>
    </w:p>
    <w:p w14:paraId="7D273A03" w14:textId="77777777" w:rsidR="00066D51" w:rsidRPr="004F7A4C" w:rsidRDefault="00066D51" w:rsidP="00066D51">
      <w:pPr>
        <w:rPr>
          <w:vanish/>
        </w:rPr>
      </w:pPr>
      <w:bookmarkStart w:id="3" w:name="Commission"/>
      <w:r w:rsidRPr="004F7A4C">
        <w:rPr>
          <w:vanish/>
        </w:rPr>
        <w:t>Oikeudellisten asioiden valiokunta</w:t>
      </w:r>
      <w:bookmarkEnd w:id="3"/>
    </w:p>
    <w:p w14:paraId="64E98032" w14:textId="77777777" w:rsidR="00066D51" w:rsidRPr="004F7A4C" w:rsidRDefault="00066D51" w:rsidP="00066D51">
      <w:pPr>
        <w:rPr>
          <w:vanish/>
        </w:rPr>
      </w:pPr>
      <w:bookmarkStart w:id="4" w:name="PE"/>
      <w:r w:rsidRPr="004F7A4C">
        <w:rPr>
          <w:vanish/>
        </w:rPr>
        <w:t>PE784.495</w:t>
      </w:r>
      <w:bookmarkEnd w:id="4"/>
    </w:p>
    <w:p w14:paraId="6CE7E8C9" w14:textId="1B76CE59" w:rsidR="00066D51" w:rsidRPr="004F7A4C" w:rsidRDefault="00066D51" w:rsidP="00066D51">
      <w:pPr>
        <w:pStyle w:val="ATHeading3"/>
      </w:pPr>
      <w:bookmarkStart w:id="5" w:name="Sujet"/>
      <w:r w:rsidRPr="004F7A4C">
        <w:t xml:space="preserve">Euroopan parlamentin päätös </w:t>
      </w:r>
      <w:r w:rsidR="00553FC6" w:rsidRPr="004F7A4C">
        <w:t>19</w:t>
      </w:r>
      <w:r w:rsidRPr="004F7A4C">
        <w:t>. toukokuuta 2026 Harald </w:t>
      </w:r>
      <w:proofErr w:type="spellStart"/>
      <w:r w:rsidRPr="004F7A4C">
        <w:t>Vilimskyn</w:t>
      </w:r>
      <w:proofErr w:type="spellEnd"/>
      <w:r w:rsidRPr="004F7A4C">
        <w:t xml:space="preserve"> koskemattomuuden pidättämistä koskevasta pyynnöstä</w:t>
      </w:r>
      <w:bookmarkEnd w:id="5"/>
      <w:r w:rsidRPr="004F7A4C">
        <w:t xml:space="preserve"> </w:t>
      </w:r>
      <w:bookmarkStart w:id="6" w:name="References"/>
      <w:r w:rsidRPr="004F7A4C">
        <w:t>(2025/2158(IMM))</w:t>
      </w:r>
      <w:bookmarkEnd w:id="6"/>
    </w:p>
    <w:p w14:paraId="0C8382A7" w14:textId="77777777" w:rsidR="00536356" w:rsidRPr="004F7A4C" w:rsidRDefault="00536356" w:rsidP="00536356">
      <w:pPr>
        <w:pStyle w:val="EPComma"/>
        <w:widowControl/>
      </w:pPr>
      <w:bookmarkStart w:id="7" w:name="TextBodyBegin"/>
      <w:bookmarkEnd w:id="7"/>
      <w:r w:rsidRPr="004F7A4C">
        <w:rPr>
          <w:i/>
        </w:rPr>
        <w:t>Euroopan parlamentti</w:t>
      </w:r>
      <w:r w:rsidRPr="004F7A4C">
        <w:t>, joka</w:t>
      </w:r>
    </w:p>
    <w:p w14:paraId="2C37ED2D" w14:textId="77777777" w:rsidR="00536356" w:rsidRPr="004F7A4C" w:rsidRDefault="00536356" w:rsidP="00536356">
      <w:pPr>
        <w:pStyle w:val="NormalHanging12a"/>
        <w:widowControl/>
      </w:pPr>
      <w:r w:rsidRPr="004F7A4C">
        <w:t>–</w:t>
      </w:r>
      <w:r w:rsidRPr="004F7A4C">
        <w:tab/>
        <w:t>ottaa huomioon Harald </w:t>
      </w:r>
      <w:proofErr w:type="spellStart"/>
      <w:r w:rsidRPr="004F7A4C">
        <w:t>Vilimskyn</w:t>
      </w:r>
      <w:proofErr w:type="spellEnd"/>
      <w:r w:rsidRPr="004F7A4C">
        <w:t xml:space="preserve"> koskemattomuuden pidättämistä koskevan pyynnön, jonka Itävallan pysyvä edustusto Euroopan unionissa vastaanotti 1. heinäkuuta 2025 päivätyllä kirjeellä, jolla välitettiin Wienin syyttäjänviraston Harald </w:t>
      </w:r>
      <w:proofErr w:type="spellStart"/>
      <w:r w:rsidRPr="004F7A4C">
        <w:t>Vilimskya</w:t>
      </w:r>
      <w:proofErr w:type="spellEnd"/>
      <w:r w:rsidRPr="004F7A4C">
        <w:t xml:space="preserve"> vastaan aloitetun rikosoikeudellisen menettelyn yhteydessä esittämä pyyntö, ja josta ilmoitettiin täysistunnossa 9. heinäkuuta 2025,</w:t>
      </w:r>
    </w:p>
    <w:p w14:paraId="7892AD23" w14:textId="77777777" w:rsidR="00536356" w:rsidRPr="004F7A4C" w:rsidRDefault="00536356" w:rsidP="00536356">
      <w:pPr>
        <w:pStyle w:val="NormalHanging12a"/>
        <w:widowControl/>
      </w:pPr>
      <w:r w:rsidRPr="004F7A4C">
        <w:t>–</w:t>
      </w:r>
      <w:r w:rsidRPr="004F7A4C">
        <w:tab/>
        <w:t>on kuullut Harald </w:t>
      </w:r>
      <w:proofErr w:type="spellStart"/>
      <w:r w:rsidRPr="004F7A4C">
        <w:t>Vilimskya</w:t>
      </w:r>
      <w:proofErr w:type="spellEnd"/>
      <w:r w:rsidRPr="004F7A4C">
        <w:t xml:space="preserve"> 15. huhtikuuta 2026 työjärjestyksen 9 artiklan 6 kohdan mukaisesti,</w:t>
      </w:r>
    </w:p>
    <w:p w14:paraId="2E091718" w14:textId="77777777" w:rsidR="00536356" w:rsidRPr="004F7A4C" w:rsidRDefault="00536356" w:rsidP="00536356">
      <w:pPr>
        <w:pStyle w:val="NormalHanging12a"/>
        <w:widowControl/>
      </w:pPr>
      <w:r w:rsidRPr="004F7A4C">
        <w:t>–</w:t>
      </w:r>
      <w:r w:rsidRPr="004F7A4C">
        <w:tab/>
        <w:t>ottaa huomioon Euroopan unionin erioikeuksista ja vapauksista tehdyssä pöytäkirjassa N:o 7 olevan 8 ja 9 artiklan sekä Euroopan parlamentin jäsenten valitsemisesta yleisillä välittömillä vaaleilla 20. syyskuuta 1976 annetun säädöksen 6 artiklan 2 kohdan,</w:t>
      </w:r>
    </w:p>
    <w:p w14:paraId="2DC7C578" w14:textId="77777777" w:rsidR="00536356" w:rsidRPr="004F7A4C" w:rsidRDefault="00536356" w:rsidP="00536356">
      <w:pPr>
        <w:pStyle w:val="NormalHanging12a"/>
        <w:widowControl/>
      </w:pPr>
      <w:r w:rsidRPr="004F7A4C">
        <w:t>–</w:t>
      </w:r>
      <w:r w:rsidRPr="004F7A4C">
        <w:tab/>
        <w:t>ottaa huomioon Euroopan unionin tuomioistuimen 21. lokakuuta 2008, 19. maaliskuuta 2010, 6. syyskuuta 2011, 17. tammikuuta 2013 ja 19. joulukuuta 2019 antamat tuomiot</w:t>
      </w:r>
      <w:r w:rsidRPr="004F7A4C">
        <w:rPr>
          <w:vertAlign w:val="superscript"/>
        </w:rPr>
        <w:footnoteReference w:id="1"/>
      </w:r>
      <w:r w:rsidRPr="004F7A4C">
        <w:t>,</w:t>
      </w:r>
    </w:p>
    <w:p w14:paraId="63EF4696" w14:textId="77777777" w:rsidR="00536356" w:rsidRPr="004F7A4C" w:rsidRDefault="00536356" w:rsidP="00536356">
      <w:pPr>
        <w:pStyle w:val="NormalHanging12a"/>
        <w:widowControl/>
      </w:pPr>
      <w:r w:rsidRPr="004F7A4C">
        <w:t>–</w:t>
      </w:r>
      <w:r w:rsidRPr="004F7A4C">
        <w:tab/>
        <w:t>ottaa huomioon työjärjestyksen 5 artiklan 2 kohdan, 6 artiklan 1 kohdan ja 9 artiklan,</w:t>
      </w:r>
    </w:p>
    <w:p w14:paraId="6D73D8F5" w14:textId="77777777" w:rsidR="00536356" w:rsidRPr="004F7A4C" w:rsidRDefault="00536356" w:rsidP="00536356">
      <w:pPr>
        <w:pStyle w:val="NormalHanging12a"/>
        <w:widowControl/>
      </w:pPr>
      <w:r w:rsidRPr="004F7A4C">
        <w:t>–</w:t>
      </w:r>
      <w:r w:rsidRPr="004F7A4C">
        <w:tab/>
        <w:t>ottaa huomioon oikeudellisten asioiden valiokunnan mietinnön (A10-0125/2026),</w:t>
      </w:r>
    </w:p>
    <w:p w14:paraId="1057217F" w14:textId="4A5BF69F" w:rsidR="00536356" w:rsidRPr="004F7A4C" w:rsidRDefault="00536356" w:rsidP="00536356">
      <w:pPr>
        <w:pStyle w:val="NormalHanging12a"/>
        <w:widowControl/>
      </w:pPr>
      <w:r w:rsidRPr="004F7A4C">
        <w:t>A.</w:t>
      </w:r>
      <w:r w:rsidRPr="004F7A4C">
        <w:tab/>
        <w:t xml:space="preserve">ottaa huomioon, että Itävallan pysyvä edustusto Euroopan unionissa on välittänyt Wienin syyttäjänviraston syyttäjän pyynnön pidättää </w:t>
      </w:r>
      <w:r w:rsidR="004437CB" w:rsidRPr="004F7A4C">
        <w:t xml:space="preserve">Itävallasta valitun </w:t>
      </w:r>
      <w:r w:rsidRPr="004F7A4C">
        <w:t xml:space="preserve">Euroopan </w:t>
      </w:r>
      <w:r w:rsidRPr="004F7A4C">
        <w:lastRenderedPageBreak/>
        <w:t>parlamentin jäsenen Harald </w:t>
      </w:r>
      <w:proofErr w:type="spellStart"/>
      <w:r w:rsidRPr="004F7A4C">
        <w:t>Vilimskyn</w:t>
      </w:r>
      <w:proofErr w:type="spellEnd"/>
      <w:r w:rsidRPr="004F7A4C">
        <w:t xml:space="preserve"> koskemattomuus väitet</w:t>
      </w:r>
      <w:r w:rsidR="00ED62A0" w:rsidRPr="004F7A4C">
        <w:t>t</w:t>
      </w:r>
      <w:r w:rsidRPr="004F7A4C">
        <w:t>y</w:t>
      </w:r>
      <w:r w:rsidR="00ED62A0" w:rsidRPr="004F7A4C">
        <w:t>je</w:t>
      </w:r>
      <w:r w:rsidRPr="004F7A4C">
        <w:t>n kavallus</w:t>
      </w:r>
      <w:r w:rsidR="00ED62A0" w:rsidRPr="004F7A4C">
        <w:t>t</w:t>
      </w:r>
      <w:r w:rsidRPr="004F7A4C">
        <w:t xml:space="preserve">en </w:t>
      </w:r>
      <w:proofErr w:type="gramStart"/>
      <w:r w:rsidRPr="004F7A4C">
        <w:t>johdosta</w:t>
      </w:r>
      <w:proofErr w:type="gramEnd"/>
      <w:r w:rsidRPr="004F7A4C">
        <w:t>, jotka ovat Itävallan rikoslain 153 §:n 1 ja 3 momentissa tarkoitettuja rikoksia ja perustuvat hänen väitettyyn osallisuuteensa rikoslain 12 §:ssä tarkoitet</w:t>
      </w:r>
      <w:r w:rsidR="00AD61CF" w:rsidRPr="004F7A4C">
        <w:t>tuihin rikoksiin</w:t>
      </w:r>
      <w:r w:rsidRPr="004F7A4C">
        <w:t>;</w:t>
      </w:r>
    </w:p>
    <w:p w14:paraId="79ACCD97" w14:textId="12A40EFB" w:rsidR="00536356" w:rsidRPr="004F7A4C" w:rsidRDefault="00536356" w:rsidP="00536356">
      <w:pPr>
        <w:pStyle w:val="NormalHanging12a"/>
        <w:widowControl/>
      </w:pPr>
      <w:r w:rsidRPr="004F7A4C">
        <w:t>B.</w:t>
      </w:r>
      <w:r w:rsidRPr="004F7A4C">
        <w:tab/>
        <w:t>ottaa huomioon, että pyynnön mukaan Wienin syyttäjänviraston vuonna 2021 esittämien aiempien Harald </w:t>
      </w:r>
      <w:proofErr w:type="spellStart"/>
      <w:r w:rsidRPr="004F7A4C">
        <w:t>Vilimskyn</w:t>
      </w:r>
      <w:proofErr w:type="spellEnd"/>
      <w:r w:rsidRPr="004F7A4C">
        <w:t xml:space="preserve"> koskemattomuuden pidättämistä koskevien pyyntöjen sekä Euroopan parlamentin 11. marraskuuta 2021 tekemän hänen koskemattomuutensa pidättämistä koskevan päätöksen jälkeen on ilmennyt uusia tosiseikkoja, joiden vuoksi on aiheellista pyytää Harald </w:t>
      </w:r>
      <w:proofErr w:type="spellStart"/>
      <w:r w:rsidRPr="004F7A4C">
        <w:t>Vilimskyn</w:t>
      </w:r>
      <w:proofErr w:type="spellEnd"/>
      <w:r w:rsidRPr="004F7A4C">
        <w:t xml:space="preserve"> koskemattomuuden pidättämistä myös näiden uusien </w:t>
      </w:r>
      <w:r w:rsidR="00553FC6" w:rsidRPr="004F7A4C">
        <w:t xml:space="preserve">todisteiden </w:t>
      </w:r>
      <w:r w:rsidRPr="004F7A4C">
        <w:t>perusteella; toteaa, että tutkinnasta saatujen tietojen mukaan Harald </w:t>
      </w:r>
      <w:proofErr w:type="spellStart"/>
      <w:r w:rsidRPr="004F7A4C">
        <w:t>Vilimskyn</w:t>
      </w:r>
      <w:proofErr w:type="spellEnd"/>
      <w:r w:rsidRPr="004F7A4C">
        <w:t xml:space="preserve"> epäillään käyttäneen valtuuksiaan väärin käyttämällä poliittisen puolueensa </w:t>
      </w:r>
      <w:proofErr w:type="spellStart"/>
      <w:r w:rsidRPr="004F7A4C">
        <w:t>FPÖ:n</w:t>
      </w:r>
      <w:proofErr w:type="spellEnd"/>
      <w:r w:rsidRPr="004F7A4C">
        <w:t xml:space="preserve"> (</w:t>
      </w:r>
      <w:proofErr w:type="spellStart"/>
      <w:r w:rsidRPr="004F7A4C">
        <w:t>Freiheitliche</w:t>
      </w:r>
      <w:proofErr w:type="spellEnd"/>
      <w:r w:rsidRPr="004F7A4C">
        <w:t xml:space="preserve"> </w:t>
      </w:r>
      <w:proofErr w:type="spellStart"/>
      <w:r w:rsidRPr="004F7A4C">
        <w:t>Partei</w:t>
      </w:r>
      <w:proofErr w:type="spellEnd"/>
      <w:r w:rsidRPr="004F7A4C">
        <w:t xml:space="preserve"> </w:t>
      </w:r>
      <w:proofErr w:type="spellStart"/>
      <w:r w:rsidRPr="004F7A4C">
        <w:t>Österreichs</w:t>
      </w:r>
      <w:proofErr w:type="spellEnd"/>
      <w:r w:rsidRPr="004F7A4C">
        <w:t xml:space="preserve"> – </w:t>
      </w:r>
      <w:proofErr w:type="spellStart"/>
      <w:r w:rsidRPr="004F7A4C">
        <w:t>Die</w:t>
      </w:r>
      <w:proofErr w:type="spellEnd"/>
      <w:r w:rsidRPr="004F7A4C">
        <w:t xml:space="preserve"> </w:t>
      </w:r>
      <w:proofErr w:type="spellStart"/>
      <w:r w:rsidRPr="004F7A4C">
        <w:t>Freiheitlichen</w:t>
      </w:r>
      <w:proofErr w:type="spellEnd"/>
      <w:r w:rsidRPr="004F7A4C">
        <w:t>) varoja tarkoituksiin, jotka eivät liity sen toimintaan, ja tämä olisi tapahtunut vuonna 2013 vielä tarkemmin määrittämättöminä ajankohtina, sekä toteaa, että kyse on etenkin siitä, että Harald </w:t>
      </w:r>
      <w:proofErr w:type="spellStart"/>
      <w:r w:rsidRPr="004F7A4C">
        <w:t>Vilimsky</w:t>
      </w:r>
      <w:proofErr w:type="spellEnd"/>
      <w:r w:rsidRPr="004F7A4C">
        <w:t xml:space="preserve"> olisi hyväksynyt yksityisluonteisia ja muita kuin puolueen toimintaan liittyviä maksuja, jotka koskivat oven ja lukon asentamista hänen yksityiseen osoitteeseensa, mihin kului yhteensä 9 434 euroa </w:t>
      </w:r>
      <w:proofErr w:type="spellStart"/>
      <w:r w:rsidRPr="004F7A4C">
        <w:t>FPÖ:n</w:t>
      </w:r>
      <w:proofErr w:type="spellEnd"/>
      <w:r w:rsidRPr="004F7A4C">
        <w:t xml:space="preserve"> varoja;</w:t>
      </w:r>
    </w:p>
    <w:p w14:paraId="75580C7E" w14:textId="7055084E" w:rsidR="00536356" w:rsidRPr="004F7A4C" w:rsidRDefault="00536356" w:rsidP="00536356">
      <w:pPr>
        <w:pStyle w:val="NormalHanging12a"/>
        <w:widowControl/>
      </w:pPr>
      <w:r w:rsidRPr="004F7A4C">
        <w:t>C.</w:t>
      </w:r>
      <w:r w:rsidRPr="004F7A4C">
        <w:tab/>
        <w:t>ottaa huomioon, että Harald </w:t>
      </w:r>
      <w:proofErr w:type="spellStart"/>
      <w:r w:rsidRPr="004F7A4C">
        <w:t>Vilimsky</w:t>
      </w:r>
      <w:proofErr w:type="spellEnd"/>
      <w:r w:rsidRPr="004F7A4C">
        <w:t xml:space="preserve"> valittiin Euroopan parlamenttiin Euroopan parlamentin vaaleissa vuoden 2019 toukokuussa ja uudelleen vuoden 2024 kesäkuussa</w:t>
      </w:r>
      <w:r w:rsidR="00AD61CF" w:rsidRPr="004F7A4C">
        <w:t>,</w:t>
      </w:r>
      <w:r w:rsidRPr="004F7A4C">
        <w:t xml:space="preserve"> j</w:t>
      </w:r>
      <w:r w:rsidR="00553FC6" w:rsidRPr="004F7A4C">
        <w:t>oten</w:t>
      </w:r>
      <w:r w:rsidRPr="004F7A4C">
        <w:t xml:space="preserve"> hän </w:t>
      </w:r>
      <w:r w:rsidR="00553FC6" w:rsidRPr="004F7A4C">
        <w:t xml:space="preserve">ei </w:t>
      </w:r>
      <w:r w:rsidRPr="004F7A4C">
        <w:t>ollut Euroopan parlamentin jäsen väitetyn rikoksen tekohetkellä;</w:t>
      </w:r>
    </w:p>
    <w:p w14:paraId="4DE43AAE" w14:textId="77777777" w:rsidR="00536356" w:rsidRPr="004F7A4C" w:rsidRDefault="00536356" w:rsidP="00536356">
      <w:pPr>
        <w:pStyle w:val="NormalHanging12a"/>
        <w:widowControl/>
      </w:pPr>
      <w:r w:rsidRPr="004F7A4C">
        <w:t>D.</w:t>
      </w:r>
      <w:r w:rsidRPr="004F7A4C">
        <w:tab/>
        <w:t xml:space="preserve">ottaa huomioon, että väitetty rikos ja sen </w:t>
      </w:r>
      <w:proofErr w:type="gramStart"/>
      <w:r w:rsidRPr="004F7A4C">
        <w:t>johdosta</w:t>
      </w:r>
      <w:proofErr w:type="gramEnd"/>
      <w:r w:rsidRPr="004F7A4C">
        <w:t xml:space="preserve"> esitetty Harald </w:t>
      </w:r>
      <w:proofErr w:type="spellStart"/>
      <w:r w:rsidRPr="004F7A4C">
        <w:t>Vilimskyn</w:t>
      </w:r>
      <w:proofErr w:type="spellEnd"/>
      <w:r w:rsidRPr="004F7A4C">
        <w:t xml:space="preserve"> koskemattomuuden pidättämistä koskeva pyyntö eivät liity Harald </w:t>
      </w:r>
      <w:proofErr w:type="spellStart"/>
      <w:r w:rsidRPr="004F7A4C">
        <w:t>Vilimskyn</w:t>
      </w:r>
      <w:proofErr w:type="spellEnd"/>
      <w:r w:rsidRPr="004F7A4C">
        <w:t xml:space="preserve"> tehtäviään hoitaessaan ilmaisemaan mielipiteeseen tai hänen äänestykseensä Euroopan unionin erioikeuksista ja vapauksista tehdyssä pöytäkirjassa N:o 7 olevassa 8 artiklassa tarkoitetulla tavalla;</w:t>
      </w:r>
    </w:p>
    <w:p w14:paraId="47ABF742" w14:textId="550444A7" w:rsidR="00536356" w:rsidRPr="004F7A4C" w:rsidRDefault="00536356" w:rsidP="00536356">
      <w:pPr>
        <w:pStyle w:val="NormalHanging12a"/>
        <w:widowControl/>
      </w:pPr>
      <w:r w:rsidRPr="004F7A4C">
        <w:t>E.</w:t>
      </w:r>
      <w:r w:rsidRPr="004F7A4C">
        <w:tab/>
        <w:t xml:space="preserve">ottaa huomioon, että Euroopan unionin erioikeuksista ja vapauksista tehdyssä pöytäkirjassa N:o 7 olevan 9 artiklan ensimmäisen kohdan a alakohdassa määrätään, että Euroopan parlamentin </w:t>
      </w:r>
      <w:r w:rsidR="00ED62A0" w:rsidRPr="004F7A4C">
        <w:t xml:space="preserve">istuntojen ajan sen </w:t>
      </w:r>
      <w:r w:rsidRPr="004F7A4C">
        <w:t>jäsenillä on oman valtionsa alueella kansanedustajille myönnetty koskemattomuus;</w:t>
      </w:r>
    </w:p>
    <w:p w14:paraId="2B3974D9" w14:textId="77777777" w:rsidR="00536356" w:rsidRPr="004F7A4C" w:rsidRDefault="00536356" w:rsidP="00536356">
      <w:pPr>
        <w:pStyle w:val="NormalHanging12a"/>
        <w:widowControl/>
      </w:pPr>
      <w:r w:rsidRPr="004F7A4C">
        <w:t>F.</w:t>
      </w:r>
      <w:r w:rsidRPr="004F7A4C">
        <w:tab/>
        <w:t>ottaa huomioon Itävallan perustuslain 57 §:n 2 ja 3 momentin, joissa todetaan seuraavaa:</w:t>
      </w:r>
    </w:p>
    <w:p w14:paraId="56446273" w14:textId="39958038" w:rsidR="00536356" w:rsidRPr="004F7A4C" w:rsidRDefault="00536356" w:rsidP="00553FC6">
      <w:pPr>
        <w:pStyle w:val="NormalHanging12a"/>
        <w:widowControl/>
        <w:ind w:left="1134"/>
        <w:rPr>
          <w:i/>
          <w:iCs/>
        </w:rPr>
      </w:pPr>
      <w:r w:rsidRPr="004F7A4C">
        <w:rPr>
          <w:i/>
        </w:rPr>
        <w:t>”2.</w:t>
      </w:r>
      <w:r w:rsidRPr="004F7A4C">
        <w:rPr>
          <w:i/>
        </w:rPr>
        <w:tab/>
        <w:t>Kansallisneuvoston jäsenet voidaan pidättää rangaistava</w:t>
      </w:r>
      <w:r w:rsidR="00AD61CF" w:rsidRPr="004F7A4C">
        <w:rPr>
          <w:i/>
        </w:rPr>
        <w:t xml:space="preserve">n teon </w:t>
      </w:r>
      <w:proofErr w:type="gramStart"/>
      <w:r w:rsidR="00AD61CF" w:rsidRPr="004F7A4C">
        <w:rPr>
          <w:i/>
        </w:rPr>
        <w:t>johdosta</w:t>
      </w:r>
      <w:proofErr w:type="gramEnd"/>
      <w:r w:rsidRPr="004F7A4C">
        <w:rPr>
          <w:i/>
        </w:rPr>
        <w:t xml:space="preserve"> ainoastaan kansallisneuvoston suostumuksella</w:t>
      </w:r>
      <w:r w:rsidR="00AD61CF" w:rsidRPr="004F7A4C">
        <w:rPr>
          <w:i/>
        </w:rPr>
        <w:t>, paitsi milloin he jäävät verekseltään kiinni rikoksen teosta</w:t>
      </w:r>
      <w:r w:rsidRPr="004F7A4C">
        <w:rPr>
          <w:i/>
        </w:rPr>
        <w:t xml:space="preserve">. </w:t>
      </w:r>
      <w:r w:rsidR="00AD61CF" w:rsidRPr="004F7A4C">
        <w:rPr>
          <w:i/>
        </w:rPr>
        <w:t>K</w:t>
      </w:r>
      <w:r w:rsidRPr="004F7A4C">
        <w:rPr>
          <w:i/>
        </w:rPr>
        <w:t>ansallisneuvoston jäseni</w:t>
      </w:r>
      <w:r w:rsidR="00AD61CF" w:rsidRPr="004F7A4C">
        <w:rPr>
          <w:i/>
        </w:rPr>
        <w:t xml:space="preserve">ä koskee immuniteetti </w:t>
      </w:r>
      <w:r w:rsidRPr="004F7A4C">
        <w:rPr>
          <w:i/>
        </w:rPr>
        <w:t>kotietsin</w:t>
      </w:r>
      <w:r w:rsidR="00AD61CF" w:rsidRPr="004F7A4C">
        <w:rPr>
          <w:i/>
        </w:rPr>
        <w:t xml:space="preserve">töjen osalta, ellei </w:t>
      </w:r>
      <w:r w:rsidRPr="004F7A4C">
        <w:rPr>
          <w:i/>
        </w:rPr>
        <w:t>kansallisneuvosto</w:t>
      </w:r>
      <w:r w:rsidR="00AD61CF" w:rsidRPr="004F7A4C">
        <w:rPr>
          <w:i/>
        </w:rPr>
        <w:t xml:space="preserve"> anna tähän </w:t>
      </w:r>
      <w:r w:rsidRPr="004F7A4C">
        <w:rPr>
          <w:i/>
        </w:rPr>
        <w:t>suostumusta.</w:t>
      </w:r>
    </w:p>
    <w:p w14:paraId="1881C9C5" w14:textId="69B94A01" w:rsidR="00536356" w:rsidRPr="004F7A4C" w:rsidRDefault="00536356" w:rsidP="00553FC6">
      <w:pPr>
        <w:pStyle w:val="NormalHanging12a"/>
        <w:widowControl/>
        <w:ind w:left="1134"/>
        <w:rPr>
          <w:i/>
          <w:iCs/>
        </w:rPr>
      </w:pPr>
      <w:r w:rsidRPr="004F7A4C">
        <w:rPr>
          <w:i/>
        </w:rPr>
        <w:t>3.</w:t>
      </w:r>
      <w:r w:rsidRPr="004F7A4C">
        <w:rPr>
          <w:i/>
        </w:rPr>
        <w:tab/>
      </w:r>
      <w:r w:rsidR="002F6E81" w:rsidRPr="004F7A4C">
        <w:rPr>
          <w:i/>
        </w:rPr>
        <w:t xml:space="preserve">Kaikissa muissa tapauksissa </w:t>
      </w:r>
      <w:r w:rsidRPr="004F7A4C">
        <w:rPr>
          <w:i/>
        </w:rPr>
        <w:t xml:space="preserve">kansallisneuvoston jäseniä voidaan virallisesti syyttää rangaistavasta teosta ilman kansallisneuvoston suostumusta vain, jos teolla ei ole </w:t>
      </w:r>
      <w:r w:rsidR="002F6E81" w:rsidRPr="004F7A4C">
        <w:rPr>
          <w:i/>
        </w:rPr>
        <w:t>ilmeistä</w:t>
      </w:r>
      <w:r w:rsidRPr="004F7A4C">
        <w:rPr>
          <w:i/>
        </w:rPr>
        <w:t xml:space="preserve"> yhteyttä kyseisen jäsenen </w:t>
      </w:r>
      <w:r w:rsidR="002F6E81" w:rsidRPr="004F7A4C">
        <w:rPr>
          <w:i/>
        </w:rPr>
        <w:t>poliittiseen</w:t>
      </w:r>
      <w:r w:rsidRPr="004F7A4C">
        <w:rPr>
          <w:i/>
        </w:rPr>
        <w:t xml:space="preserve"> toimintaan. </w:t>
      </w:r>
      <w:r w:rsidR="002F6E81" w:rsidRPr="004F7A4C">
        <w:rPr>
          <w:i/>
        </w:rPr>
        <w:t>Syyttäjäv</w:t>
      </w:r>
      <w:r w:rsidRPr="004F7A4C">
        <w:rPr>
          <w:i/>
        </w:rPr>
        <w:t xml:space="preserve">iranomaisen on kuitenkin </w:t>
      </w:r>
      <w:r w:rsidR="002F6E81" w:rsidRPr="004F7A4C">
        <w:rPr>
          <w:i/>
        </w:rPr>
        <w:t xml:space="preserve">saatava </w:t>
      </w:r>
      <w:r w:rsidRPr="004F7A4C">
        <w:rPr>
          <w:i/>
        </w:rPr>
        <w:t xml:space="preserve">kansallisneuvostolta päätös siitä, onko tällainen yhteys olemassa, jos asianomainen jäsen tai näistä asioista vastaavan pysyvän valiokunnan jäsenistä kolmannes näin vaatii. Jos tällainen vaatimus esitetään, </w:t>
      </w:r>
      <w:r w:rsidR="002F6E81" w:rsidRPr="004F7A4C">
        <w:rPr>
          <w:i/>
        </w:rPr>
        <w:lastRenderedPageBreak/>
        <w:t xml:space="preserve">syyttäjäviranomaisen on välittömästi pidättäydyttävä </w:t>
      </w:r>
      <w:r w:rsidR="00622DA9" w:rsidRPr="004F7A4C">
        <w:rPr>
          <w:i/>
        </w:rPr>
        <w:t>ryhtymästä toimenpiteisiin tai keskeytettävä toimenpiteet, joihin on jo ryhdytty</w:t>
      </w:r>
      <w:r w:rsidRPr="004F7A4C">
        <w:rPr>
          <w:i/>
        </w:rPr>
        <w:t>.”;</w:t>
      </w:r>
    </w:p>
    <w:p w14:paraId="462644EF" w14:textId="77777777" w:rsidR="00536356" w:rsidRPr="004F7A4C" w:rsidRDefault="00536356" w:rsidP="00536356">
      <w:pPr>
        <w:pStyle w:val="NormalHanging12a"/>
        <w:widowControl/>
      </w:pPr>
      <w:r w:rsidRPr="004F7A4C">
        <w:t>G.</w:t>
      </w:r>
      <w:r w:rsidRPr="004F7A4C">
        <w:tab/>
        <w:t>ottaa huomioon, että Euroopan unionin erioikeuksista ja vapauksista tehdyssä pöytäkirjassa N:o 7 määrätyn parlamentaarisen koskemattomuuden tarkoituksena on suojella parlamenttia ja sen jäseniä oikeudenkäynneiltä, jotka liittyvät toimintaan, jota harjoitetaan hoidettaessa parlamentin jäsenten tehtäviä ja jota ei voida erottaa kyseisistä tehtävistä;</w:t>
      </w:r>
    </w:p>
    <w:p w14:paraId="452F71C5" w14:textId="77777777" w:rsidR="00536356" w:rsidRPr="004F7A4C" w:rsidRDefault="00536356" w:rsidP="00536356">
      <w:pPr>
        <w:pStyle w:val="NormalHanging12a"/>
        <w:widowControl/>
      </w:pPr>
      <w:r w:rsidRPr="004F7A4C">
        <w:t>H.</w:t>
      </w:r>
      <w:r w:rsidRPr="004F7A4C">
        <w:tab/>
        <w:t>ottaa huomioon, että Euroopan parlamentin työjärjestyksen 5 artiklan 2 kohdan mukaan parlamentaarinen koskemattomuus ei ole jäsenen henkilökohtainen erioikeus vaan tae koko parlamentin ja sen jäsenten riippumattomuudesta;</w:t>
      </w:r>
    </w:p>
    <w:p w14:paraId="482C7074" w14:textId="2AD81644" w:rsidR="00536356" w:rsidRPr="004F7A4C" w:rsidRDefault="00536356" w:rsidP="00536356">
      <w:pPr>
        <w:pStyle w:val="NormalHanging12a"/>
        <w:widowControl/>
      </w:pPr>
      <w:r w:rsidRPr="004F7A4C">
        <w:t>I.</w:t>
      </w:r>
      <w:r w:rsidRPr="004F7A4C">
        <w:tab/>
        <w:t xml:space="preserve">ottaa huomioon, että tässä tapauksessa parlamentti ei ole löytänyt todisteita </w:t>
      </w:r>
      <w:proofErr w:type="spellStart"/>
      <w:r w:rsidRPr="004F7A4C">
        <w:t>fumus</w:t>
      </w:r>
      <w:proofErr w:type="spellEnd"/>
      <w:r w:rsidRPr="004F7A4C">
        <w:t xml:space="preserve"> </w:t>
      </w:r>
      <w:proofErr w:type="spellStart"/>
      <w:r w:rsidRPr="004F7A4C">
        <w:t>persecutionis</w:t>
      </w:r>
      <w:proofErr w:type="spellEnd"/>
      <w:r w:rsidRPr="004F7A4C">
        <w:t xml:space="preserve"> -tilanteesta eli tosiseikkoja, jotka viittaisivat siihen, että kyseisen oikeusmenettelyn tarkoituksena olisi vahingoittaa Harald </w:t>
      </w:r>
      <w:proofErr w:type="spellStart"/>
      <w:r w:rsidRPr="004F7A4C">
        <w:t>Vilimskyn</w:t>
      </w:r>
      <w:proofErr w:type="spellEnd"/>
      <w:r w:rsidRPr="004F7A4C">
        <w:t xml:space="preserve"> poliittista toimintaa Euroopan parlamentin jäsenenä</w:t>
      </w:r>
      <w:r w:rsidR="00553FC6" w:rsidRPr="004F7A4C">
        <w:t xml:space="preserve"> ja siten parlamentin riippumattomuutta</w:t>
      </w:r>
      <w:r w:rsidRPr="004F7A4C">
        <w:t>;</w:t>
      </w:r>
    </w:p>
    <w:p w14:paraId="6BE2DC78" w14:textId="77777777" w:rsidR="00536356" w:rsidRPr="004F7A4C" w:rsidRDefault="00536356" w:rsidP="00536356">
      <w:pPr>
        <w:pStyle w:val="NormalHanging12a"/>
        <w:widowControl/>
      </w:pPr>
      <w:r w:rsidRPr="004F7A4C">
        <w:t>J.</w:t>
      </w:r>
      <w:r w:rsidRPr="004F7A4C">
        <w:tab/>
        <w:t>ottaa huomioon, että parlamenttia ei voida rinnastaa tuomioistuimeen eikä parlamentin jäsentä voida pitää koskemattomuuden pidättämistä koskevassa menettelyssä ”syytettynä”</w:t>
      </w:r>
      <w:r w:rsidRPr="004F7A4C">
        <w:rPr>
          <w:vertAlign w:val="superscript"/>
        </w:rPr>
        <w:footnoteReference w:id="2"/>
      </w:r>
      <w:r w:rsidRPr="004F7A4C">
        <w:t>;</w:t>
      </w:r>
    </w:p>
    <w:p w14:paraId="7930C89F" w14:textId="77777777" w:rsidR="00536356" w:rsidRPr="004F7A4C" w:rsidRDefault="00536356" w:rsidP="00536356">
      <w:pPr>
        <w:pStyle w:val="NormalHanging12a"/>
        <w:widowControl/>
      </w:pPr>
      <w:r w:rsidRPr="004F7A4C">
        <w:t>1.</w:t>
      </w:r>
      <w:r w:rsidRPr="004F7A4C">
        <w:tab/>
        <w:t>päättää pidättää Harald </w:t>
      </w:r>
      <w:proofErr w:type="spellStart"/>
      <w:r w:rsidRPr="004F7A4C">
        <w:t>Vilimskyn</w:t>
      </w:r>
      <w:proofErr w:type="spellEnd"/>
      <w:r w:rsidRPr="004F7A4C">
        <w:t xml:space="preserve"> koskemattomuuden;</w:t>
      </w:r>
    </w:p>
    <w:p w14:paraId="0F1428C9" w14:textId="2E5E23E9" w:rsidR="00E365E1" w:rsidRPr="004F7A4C" w:rsidRDefault="00536356" w:rsidP="000F34E7">
      <w:pPr>
        <w:pStyle w:val="NormalHanging12a"/>
        <w:widowControl/>
      </w:pPr>
      <w:r w:rsidRPr="004F7A4C">
        <w:t>2.</w:t>
      </w:r>
      <w:r w:rsidRPr="004F7A4C">
        <w:tab/>
        <w:t>kehottaa puhemiestä välittämään tämän päätöksen sekä asiasta vastaavan valiokunnan mietinnön viipymättä Itävallan tasavallan toimivaltais</w:t>
      </w:r>
      <w:r w:rsidR="00553FC6" w:rsidRPr="004F7A4C">
        <w:t>e</w:t>
      </w:r>
      <w:r w:rsidRPr="004F7A4C">
        <w:t>lle viranomais</w:t>
      </w:r>
      <w:r w:rsidR="00553FC6" w:rsidRPr="004F7A4C">
        <w:t>e</w:t>
      </w:r>
      <w:r w:rsidRPr="004F7A4C">
        <w:t>lle ja Harald </w:t>
      </w:r>
      <w:proofErr w:type="spellStart"/>
      <w:r w:rsidRPr="004F7A4C">
        <w:t>Vilimskylle</w:t>
      </w:r>
      <w:proofErr w:type="spellEnd"/>
      <w:r w:rsidRPr="004F7A4C">
        <w:t>.</w:t>
      </w:r>
    </w:p>
    <w:sectPr w:rsidR="00E365E1" w:rsidRPr="004F7A4C" w:rsidSect="006A304D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BD6BB" w14:textId="77777777" w:rsidR="00066D51" w:rsidRPr="006A304D" w:rsidRDefault="00066D51">
      <w:r w:rsidRPr="006A304D">
        <w:separator/>
      </w:r>
    </w:p>
  </w:endnote>
  <w:endnote w:type="continuationSeparator" w:id="0">
    <w:p w14:paraId="35C7943E" w14:textId="77777777" w:rsidR="00066D51" w:rsidRPr="006A304D" w:rsidRDefault="00066D51">
      <w:r w:rsidRPr="006A30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C589E" w14:textId="77777777" w:rsidR="00066D51" w:rsidRPr="006A304D" w:rsidRDefault="00066D51">
      <w:r w:rsidRPr="006A304D">
        <w:separator/>
      </w:r>
    </w:p>
  </w:footnote>
  <w:footnote w:type="continuationSeparator" w:id="0">
    <w:p w14:paraId="040267C4" w14:textId="77777777" w:rsidR="00066D51" w:rsidRPr="006A304D" w:rsidRDefault="00066D51">
      <w:r w:rsidRPr="006A304D">
        <w:continuationSeparator/>
      </w:r>
    </w:p>
  </w:footnote>
  <w:footnote w:id="1">
    <w:p w14:paraId="5326F579" w14:textId="04C0AD84" w:rsidR="00536356" w:rsidRPr="006A304D" w:rsidRDefault="00536356" w:rsidP="006A304D">
      <w:pPr>
        <w:pStyle w:val="FootnoteText"/>
        <w:ind w:left="567" w:hanging="567"/>
        <w:rPr>
          <w:sz w:val="24"/>
          <w:lang w:val="fi-FI"/>
        </w:rPr>
      </w:pPr>
      <w:r w:rsidRPr="006A304D">
        <w:rPr>
          <w:rStyle w:val="FootnoteReference"/>
          <w:sz w:val="24"/>
          <w:lang w:val="fi-FI"/>
        </w:rPr>
        <w:footnoteRef/>
      </w:r>
      <w:r w:rsidR="006A304D" w:rsidRPr="006A304D">
        <w:rPr>
          <w:sz w:val="24"/>
          <w:lang w:val="fi-FI"/>
        </w:rPr>
        <w:t xml:space="preserve"> </w:t>
      </w:r>
      <w:r w:rsidR="006A304D" w:rsidRPr="006A304D">
        <w:rPr>
          <w:sz w:val="24"/>
          <w:lang w:val="fi-FI"/>
        </w:rPr>
        <w:tab/>
      </w:r>
      <w:r w:rsidRPr="006A304D">
        <w:rPr>
          <w:sz w:val="24"/>
          <w:lang w:val="fi-FI"/>
        </w:rPr>
        <w:t xml:space="preserve">Yhteisöjen tuomioistuimen tuomio 21.10.2008, </w:t>
      </w:r>
      <w:proofErr w:type="spellStart"/>
      <w:r w:rsidRPr="006A304D">
        <w:rPr>
          <w:sz w:val="24"/>
          <w:lang w:val="fi-FI"/>
        </w:rPr>
        <w:t>Marra</w:t>
      </w:r>
      <w:proofErr w:type="spellEnd"/>
      <w:r w:rsidRPr="006A304D">
        <w:rPr>
          <w:sz w:val="24"/>
          <w:lang w:val="fi-FI"/>
        </w:rPr>
        <w:t xml:space="preserve"> v. De </w:t>
      </w:r>
      <w:proofErr w:type="spellStart"/>
      <w:r w:rsidRPr="006A304D">
        <w:rPr>
          <w:sz w:val="24"/>
          <w:lang w:val="fi-FI"/>
        </w:rPr>
        <w:t>Gregorio</w:t>
      </w:r>
      <w:proofErr w:type="spellEnd"/>
      <w:r w:rsidRPr="006A304D">
        <w:rPr>
          <w:sz w:val="24"/>
          <w:lang w:val="fi-FI"/>
        </w:rPr>
        <w:t xml:space="preserve"> ja </w:t>
      </w:r>
      <w:proofErr w:type="spellStart"/>
      <w:r w:rsidRPr="006A304D">
        <w:rPr>
          <w:sz w:val="24"/>
          <w:lang w:val="fi-FI"/>
        </w:rPr>
        <w:t>Clemente</w:t>
      </w:r>
      <w:proofErr w:type="spellEnd"/>
      <w:r w:rsidRPr="006A304D">
        <w:rPr>
          <w:sz w:val="24"/>
          <w:lang w:val="fi-FI"/>
        </w:rPr>
        <w:t xml:space="preserve">, C-200/07 ja C–201/07, ECLI:EU:C:2008:579; unionin yleisen tuomioistuimen tuomio 19.3.2010, </w:t>
      </w:r>
      <w:proofErr w:type="spellStart"/>
      <w:r w:rsidRPr="006A304D">
        <w:rPr>
          <w:sz w:val="24"/>
          <w:lang w:val="fi-FI"/>
        </w:rPr>
        <w:t>Gollnisch</w:t>
      </w:r>
      <w:proofErr w:type="spellEnd"/>
      <w:r w:rsidRPr="006A304D">
        <w:rPr>
          <w:sz w:val="24"/>
          <w:lang w:val="fi-FI"/>
        </w:rPr>
        <w:t xml:space="preserve"> v. parlamentti, T-42/06, ECLI:EU:T:2010:102; unionin tuomioistuimen tuomio 6.9.2011, </w:t>
      </w:r>
      <w:proofErr w:type="spellStart"/>
      <w:r w:rsidRPr="006A304D">
        <w:rPr>
          <w:sz w:val="24"/>
          <w:lang w:val="fi-FI"/>
        </w:rPr>
        <w:t>Patriciello</w:t>
      </w:r>
      <w:proofErr w:type="spellEnd"/>
      <w:r w:rsidRPr="006A304D">
        <w:rPr>
          <w:sz w:val="24"/>
          <w:lang w:val="fi-FI"/>
        </w:rPr>
        <w:t xml:space="preserve">, C-163/10, ECLI: EU:C:2011:543; unionin yleisen tuomioistuimen tuomio 17.1.2013, </w:t>
      </w:r>
      <w:proofErr w:type="spellStart"/>
      <w:r w:rsidRPr="006A304D">
        <w:rPr>
          <w:sz w:val="24"/>
          <w:lang w:val="fi-FI"/>
        </w:rPr>
        <w:t>Gollnisch</w:t>
      </w:r>
      <w:proofErr w:type="spellEnd"/>
      <w:r w:rsidRPr="006A304D">
        <w:rPr>
          <w:sz w:val="24"/>
          <w:lang w:val="fi-FI"/>
        </w:rPr>
        <w:t xml:space="preserve"> v. parlamentti, T-346/11 ja T-347/11, ECLI:EU:T:2013:23 sekä unionin tuomioistuimen tuomio 19.12.2019, </w:t>
      </w:r>
      <w:proofErr w:type="spellStart"/>
      <w:r w:rsidRPr="006A304D">
        <w:rPr>
          <w:sz w:val="24"/>
          <w:lang w:val="fi-FI"/>
        </w:rPr>
        <w:t>Junqueras</w:t>
      </w:r>
      <w:proofErr w:type="spellEnd"/>
      <w:r w:rsidRPr="006A304D">
        <w:rPr>
          <w:sz w:val="24"/>
          <w:lang w:val="fi-FI"/>
        </w:rPr>
        <w:t xml:space="preserve"> Vies, C-502/19, ECLI:EU:C:2019:1115.</w:t>
      </w:r>
    </w:p>
  </w:footnote>
  <w:footnote w:id="2">
    <w:p w14:paraId="18A417FF" w14:textId="542D28A7" w:rsidR="00536356" w:rsidRPr="006A304D" w:rsidRDefault="00536356" w:rsidP="006A304D">
      <w:pPr>
        <w:pStyle w:val="FootnoteText"/>
        <w:ind w:left="567" w:hanging="567"/>
        <w:rPr>
          <w:sz w:val="24"/>
          <w:lang w:val="fi-FI"/>
        </w:rPr>
      </w:pPr>
      <w:r w:rsidRPr="006A304D">
        <w:rPr>
          <w:rStyle w:val="FootnoteReference"/>
          <w:sz w:val="24"/>
          <w:lang w:val="fi-FI"/>
        </w:rPr>
        <w:footnoteRef/>
      </w:r>
      <w:r w:rsidR="006A304D" w:rsidRPr="006A304D">
        <w:rPr>
          <w:sz w:val="24"/>
          <w:lang w:val="fi-FI"/>
        </w:rPr>
        <w:t xml:space="preserve"> </w:t>
      </w:r>
      <w:r w:rsidR="006A304D" w:rsidRPr="006A304D">
        <w:rPr>
          <w:sz w:val="24"/>
          <w:lang w:val="fi-FI"/>
        </w:rPr>
        <w:tab/>
      </w:r>
      <w:r w:rsidRPr="006A304D">
        <w:rPr>
          <w:sz w:val="24"/>
          <w:lang w:val="fi-FI"/>
        </w:rPr>
        <w:t xml:space="preserve">Unionin yleisen tuomioistuimen tuomio 30.4.2019, </w:t>
      </w:r>
      <w:proofErr w:type="spellStart"/>
      <w:r w:rsidRPr="006A304D">
        <w:rPr>
          <w:sz w:val="24"/>
          <w:lang w:val="fi-FI"/>
        </w:rPr>
        <w:t>Briois</w:t>
      </w:r>
      <w:proofErr w:type="spellEnd"/>
      <w:r w:rsidRPr="006A304D">
        <w:rPr>
          <w:sz w:val="24"/>
          <w:lang w:val="fi-FI"/>
        </w:rPr>
        <w:t xml:space="preserve"> v. parlamentti, T-214/18, ECLI:EU:T:2019:266, 91 kohta.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82824824">
    <w:abstractNumId w:val="9"/>
  </w:num>
  <w:num w:numId="2" w16cid:durableId="338041920">
    <w:abstractNumId w:val="9"/>
  </w:num>
  <w:num w:numId="3" w16cid:durableId="1544249285">
    <w:abstractNumId w:val="7"/>
  </w:num>
  <w:num w:numId="4" w16cid:durableId="2107997338">
    <w:abstractNumId w:val="7"/>
  </w:num>
  <w:num w:numId="5" w16cid:durableId="293682605">
    <w:abstractNumId w:val="6"/>
  </w:num>
  <w:num w:numId="6" w16cid:durableId="852575932">
    <w:abstractNumId w:val="6"/>
  </w:num>
  <w:num w:numId="7" w16cid:durableId="964576992">
    <w:abstractNumId w:val="5"/>
  </w:num>
  <w:num w:numId="8" w16cid:durableId="1677148541">
    <w:abstractNumId w:val="5"/>
  </w:num>
  <w:num w:numId="9" w16cid:durableId="1931809082">
    <w:abstractNumId w:val="4"/>
  </w:num>
  <w:num w:numId="10" w16cid:durableId="537546060">
    <w:abstractNumId w:val="4"/>
  </w:num>
  <w:num w:numId="11" w16cid:durableId="95053701">
    <w:abstractNumId w:val="8"/>
  </w:num>
  <w:num w:numId="12" w16cid:durableId="1675456927">
    <w:abstractNumId w:val="8"/>
  </w:num>
  <w:num w:numId="13" w16cid:durableId="1266042060">
    <w:abstractNumId w:val="3"/>
  </w:num>
  <w:num w:numId="14" w16cid:durableId="302467886">
    <w:abstractNumId w:val="3"/>
  </w:num>
  <w:num w:numId="15" w16cid:durableId="1574848764">
    <w:abstractNumId w:val="2"/>
  </w:num>
  <w:num w:numId="16" w16cid:durableId="192117376">
    <w:abstractNumId w:val="2"/>
  </w:num>
  <w:num w:numId="17" w16cid:durableId="1851945469">
    <w:abstractNumId w:val="1"/>
  </w:num>
  <w:num w:numId="18" w16cid:durableId="249899364">
    <w:abstractNumId w:val="1"/>
  </w:num>
  <w:num w:numId="19" w16cid:durableId="201019692">
    <w:abstractNumId w:val="0"/>
  </w:num>
  <w:num w:numId="20" w16cid:durableId="1139764831">
    <w:abstractNumId w:val="0"/>
  </w:num>
  <w:num w:numId="21" w16cid:durableId="1061636432">
    <w:abstractNumId w:val="9"/>
  </w:num>
  <w:num w:numId="22" w16cid:durableId="620451923">
    <w:abstractNumId w:val="7"/>
  </w:num>
  <w:num w:numId="23" w16cid:durableId="1644039475">
    <w:abstractNumId w:val="6"/>
  </w:num>
  <w:num w:numId="24" w16cid:durableId="390924896">
    <w:abstractNumId w:val="5"/>
  </w:num>
  <w:num w:numId="25" w16cid:durableId="240066875">
    <w:abstractNumId w:val="4"/>
  </w:num>
  <w:num w:numId="26" w16cid:durableId="1842234217">
    <w:abstractNumId w:val="8"/>
  </w:num>
  <w:num w:numId="27" w16cid:durableId="82144947">
    <w:abstractNumId w:val="3"/>
  </w:num>
  <w:num w:numId="28" w16cid:durableId="1867132107">
    <w:abstractNumId w:val="2"/>
  </w:num>
  <w:num w:numId="29" w16cid:durableId="2062904721">
    <w:abstractNumId w:val="1"/>
  </w:num>
  <w:num w:numId="30" w16cid:durableId="12733959">
    <w:abstractNumId w:val="0"/>
  </w:num>
  <w:num w:numId="31" w16cid:durableId="1013066750">
    <w:abstractNumId w:val="9"/>
  </w:num>
  <w:num w:numId="32" w16cid:durableId="279187855">
    <w:abstractNumId w:val="7"/>
  </w:num>
  <w:num w:numId="33" w16cid:durableId="308558909">
    <w:abstractNumId w:val="6"/>
  </w:num>
  <w:num w:numId="34" w16cid:durableId="1164013194">
    <w:abstractNumId w:val="5"/>
  </w:num>
  <w:num w:numId="35" w16cid:durableId="1872264087">
    <w:abstractNumId w:val="4"/>
  </w:num>
  <w:num w:numId="36" w16cid:durableId="1063138142">
    <w:abstractNumId w:val="8"/>
  </w:num>
  <w:num w:numId="37" w16cid:durableId="1839884898">
    <w:abstractNumId w:val="3"/>
  </w:num>
  <w:num w:numId="38" w16cid:durableId="410124974">
    <w:abstractNumId w:val="2"/>
  </w:num>
  <w:num w:numId="39" w16cid:durableId="645352000">
    <w:abstractNumId w:val="1"/>
  </w:num>
  <w:num w:numId="40" w16cid:durableId="1317296771">
    <w:abstractNumId w:val="0"/>
  </w:num>
  <w:num w:numId="41" w16cid:durableId="52434168">
    <w:abstractNumId w:val="10"/>
  </w:num>
  <w:num w:numId="42" w16cid:durableId="175968248">
    <w:abstractNumId w:val="10"/>
  </w:num>
  <w:num w:numId="43" w16cid:durableId="518158220">
    <w:abstractNumId w:val="10"/>
  </w:num>
  <w:num w:numId="44" w16cid:durableId="12067220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6"/>
    <w:docVar w:name="dvlangue" w:val="FI"/>
    <w:docVar w:name="dvnumam" w:val="0"/>
    <w:docVar w:name="dvpe" w:val="784.495"/>
    <w:docVar w:name="dvrapporteur" w:val="Esittelijä: "/>
    <w:docVar w:name="dvtitre" w:val="Euroopan parlamentin päätöslauselma xx. toukokuuta 2026 Harald Vilimskyn koskemattomuuden pidättämistä koskevasta pyynnöstä(2025/2158(IMM))"/>
  </w:docVars>
  <w:rsids>
    <w:rsidRoot w:val="00066D51"/>
    <w:rsid w:val="00002272"/>
    <w:rsid w:val="00064002"/>
    <w:rsid w:val="00066D51"/>
    <w:rsid w:val="000677B9"/>
    <w:rsid w:val="000831BA"/>
    <w:rsid w:val="000A42CC"/>
    <w:rsid w:val="000E7DD9"/>
    <w:rsid w:val="000F34E7"/>
    <w:rsid w:val="0010095E"/>
    <w:rsid w:val="00125B37"/>
    <w:rsid w:val="00187494"/>
    <w:rsid w:val="001F32AE"/>
    <w:rsid w:val="002767FF"/>
    <w:rsid w:val="002B18FE"/>
    <w:rsid w:val="002B5493"/>
    <w:rsid w:val="002F6E81"/>
    <w:rsid w:val="00343214"/>
    <w:rsid w:val="00361C00"/>
    <w:rsid w:val="00395FA1"/>
    <w:rsid w:val="003A4933"/>
    <w:rsid w:val="003E15D4"/>
    <w:rsid w:val="00411CCE"/>
    <w:rsid w:val="0041666E"/>
    <w:rsid w:val="00421060"/>
    <w:rsid w:val="00437457"/>
    <w:rsid w:val="004437CB"/>
    <w:rsid w:val="00471C19"/>
    <w:rsid w:val="004867E3"/>
    <w:rsid w:val="00494A28"/>
    <w:rsid w:val="004C0004"/>
    <w:rsid w:val="004C5D52"/>
    <w:rsid w:val="004F7A4C"/>
    <w:rsid w:val="0050519A"/>
    <w:rsid w:val="005072A1"/>
    <w:rsid w:val="00514517"/>
    <w:rsid w:val="00536356"/>
    <w:rsid w:val="00545827"/>
    <w:rsid w:val="00553FC6"/>
    <w:rsid w:val="00560270"/>
    <w:rsid w:val="005C2568"/>
    <w:rsid w:val="005F1B17"/>
    <w:rsid w:val="006037C0"/>
    <w:rsid w:val="00622DA9"/>
    <w:rsid w:val="006631B6"/>
    <w:rsid w:val="00680577"/>
    <w:rsid w:val="00695F24"/>
    <w:rsid w:val="006A304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4A9"/>
    <w:rsid w:val="00817416"/>
    <w:rsid w:val="00842779"/>
    <w:rsid w:val="00846D0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2EEA"/>
    <w:rsid w:val="00A43E52"/>
    <w:rsid w:val="00A4678D"/>
    <w:rsid w:val="00A778C7"/>
    <w:rsid w:val="00AB441E"/>
    <w:rsid w:val="00AB6293"/>
    <w:rsid w:val="00AD61C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2A0"/>
    <w:rsid w:val="00F04346"/>
    <w:rsid w:val="00F075DC"/>
    <w:rsid w:val="00F149E9"/>
    <w:rsid w:val="00F5134D"/>
    <w:rsid w:val="00F74202"/>
    <w:rsid w:val="00F87713"/>
    <w:rsid w:val="00FB4360"/>
    <w:rsid w:val="00FD0C70"/>
    <w:rsid w:val="00FD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FEF1B"/>
  <w15:chartTrackingRefBased/>
  <w15:docId w15:val="{88C2642A-E3BF-4C4D-9AA4-5BF04551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34E7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36356"/>
    <w:pPr>
      <w:spacing w:after="240"/>
      <w:ind w:left="567" w:hanging="567"/>
    </w:pPr>
  </w:style>
  <w:style w:type="paragraph" w:customStyle="1" w:styleId="EPComma">
    <w:name w:val="EPComma"/>
    <w:basedOn w:val="Normal"/>
    <w:rsid w:val="00536356"/>
    <w:pPr>
      <w:spacing w:before="480" w:after="240"/>
    </w:pPr>
  </w:style>
  <w:style w:type="paragraph" w:styleId="Footer">
    <w:name w:val="footer"/>
    <w:basedOn w:val="Normal"/>
    <w:link w:val="FooterChar"/>
    <w:rsid w:val="000F34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F34E7"/>
    <w:rPr>
      <w:sz w:val="24"/>
      <w:lang w:val="fi-FI"/>
    </w:rPr>
  </w:style>
  <w:style w:type="paragraph" w:styleId="Revision">
    <w:name w:val="Revision"/>
    <w:hidden/>
    <w:uiPriority w:val="99"/>
    <w:semiHidden/>
    <w:rsid w:val="00553FC6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696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2026-05-19T09:54:00Z</dcterms:created>
  <dcterms:modified xsi:type="dcterms:W3CDTF">2026-05-19T09:54:00Z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A10-0125/2026</vt:lpwstr>
  </property>
  <property fmtid="{D5CDD505-2E9C-101B-9397-08002B2CF9AE}" pid="4" name="&lt;Type&gt;">
    <vt:lpwstr>RR</vt:lpwstr>
  </property>
</Properties>
</file>