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615C" w14:paraId="42D832B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BC4C31" w14:textId="77777777" w:rsidR="00751A4A" w:rsidRPr="001E615C" w:rsidRDefault="003A6478" w:rsidP="0010095E">
            <w:pPr>
              <w:pStyle w:val="EPName"/>
            </w:pPr>
            <w:r w:rsidRPr="001E615C">
              <w:t>Parlement européen</w:t>
            </w:r>
          </w:p>
          <w:p w14:paraId="7DC3CAF0" w14:textId="77777777" w:rsidR="00751A4A" w:rsidRPr="001E615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615C">
              <w:t>2024</w:t>
            </w:r>
            <w:r w:rsidR="00817416" w:rsidRPr="001E615C">
              <w:t>-202</w:t>
            </w:r>
            <w:r w:rsidRPr="001E615C">
              <w:t>9</w:t>
            </w:r>
          </w:p>
        </w:tc>
        <w:tc>
          <w:tcPr>
            <w:tcW w:w="2268" w:type="dxa"/>
            <w:shd w:val="clear" w:color="auto" w:fill="auto"/>
          </w:tcPr>
          <w:p w14:paraId="5B4D62E8" w14:textId="77777777" w:rsidR="00751A4A" w:rsidRPr="001E615C" w:rsidRDefault="00187494" w:rsidP="0010095E">
            <w:pPr>
              <w:pStyle w:val="EPLogo"/>
            </w:pPr>
            <w:r w:rsidRPr="001E615C">
              <w:rPr>
                <w:noProof/>
                <w:lang w:eastAsia="ja-JP"/>
              </w:rPr>
              <w:drawing>
                <wp:inline distT="0" distB="0" distL="0" distR="0" wp14:anchorId="03129E52" wp14:editId="7C5063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1ED83E" w14:textId="77777777" w:rsidR="00D058B8" w:rsidRPr="001E615C" w:rsidRDefault="00D058B8" w:rsidP="004C5D52">
      <w:pPr>
        <w:pStyle w:val="LineTop"/>
      </w:pPr>
    </w:p>
    <w:p w14:paraId="695AB815" w14:textId="77777777" w:rsidR="00680577" w:rsidRPr="001E615C" w:rsidRDefault="003A6478" w:rsidP="00680577">
      <w:pPr>
        <w:pStyle w:val="EPBodyTA1"/>
      </w:pPr>
      <w:r w:rsidRPr="001E615C">
        <w:t>TEXTES ADOPTÉS</w:t>
      </w:r>
    </w:p>
    <w:p w14:paraId="5854FDAE" w14:textId="77777777" w:rsidR="00D058B8" w:rsidRPr="001E615C" w:rsidRDefault="00D058B8" w:rsidP="00D058B8">
      <w:pPr>
        <w:pStyle w:val="LineBottom"/>
      </w:pPr>
    </w:p>
    <w:p w14:paraId="4F94E64F" w14:textId="77350A9C" w:rsidR="003A6478" w:rsidRPr="001E615C" w:rsidRDefault="003A6478" w:rsidP="003A6478">
      <w:pPr>
        <w:pStyle w:val="ATHeading1"/>
      </w:pPr>
      <w:bookmarkStart w:id="0" w:name="TANumber"/>
      <w:r w:rsidRPr="001E615C">
        <w:t>P10_TA(2026)0</w:t>
      </w:r>
      <w:r w:rsidR="00B271CF">
        <w:t>164</w:t>
      </w:r>
      <w:bookmarkEnd w:id="0"/>
    </w:p>
    <w:p w14:paraId="1E544655" w14:textId="4C2A3243" w:rsidR="003A6478" w:rsidRPr="001E615C" w:rsidRDefault="00C50D41" w:rsidP="003A6478">
      <w:pPr>
        <w:pStyle w:val="ATHeading2"/>
      </w:pPr>
      <w:bookmarkStart w:id="1" w:name="title"/>
      <w:r>
        <w:t>D</w:t>
      </w:r>
      <w:r w:rsidR="003A6478" w:rsidRPr="001E615C">
        <w:t>emande de levée de l’immunité d’Harald </w:t>
      </w:r>
      <w:proofErr w:type="spellStart"/>
      <w:r w:rsidR="003A6478" w:rsidRPr="001E615C">
        <w:t>Vilimsky</w:t>
      </w:r>
      <w:bookmarkEnd w:id="1"/>
      <w:proofErr w:type="spellEnd"/>
    </w:p>
    <w:p w14:paraId="221AF85B" w14:textId="77777777" w:rsidR="003A6478" w:rsidRPr="001E615C" w:rsidRDefault="003A6478" w:rsidP="003A6478">
      <w:pPr>
        <w:rPr>
          <w:i/>
          <w:vanish/>
        </w:rPr>
      </w:pPr>
      <w:r w:rsidRPr="001E615C">
        <w:rPr>
          <w:i/>
        </w:rPr>
        <w:fldChar w:fldCharType="begin"/>
      </w:r>
      <w:r w:rsidRPr="001E615C">
        <w:rPr>
          <w:i/>
        </w:rPr>
        <w:instrText xml:space="preserve"> TC</w:instrText>
      </w:r>
      <w:proofErr w:type="gramStart"/>
      <w:r w:rsidRPr="001E615C">
        <w:rPr>
          <w:i/>
        </w:rPr>
        <w:instrText>"(</w:instrText>
      </w:r>
      <w:bookmarkStart w:id="2" w:name="DocNumber"/>
      <w:proofErr w:type="gramEnd"/>
      <w:r w:rsidRPr="001E615C">
        <w:rPr>
          <w:i/>
        </w:rPr>
        <w:instrText>A10-0125/2026</w:instrText>
      </w:r>
      <w:bookmarkEnd w:id="2"/>
      <w:r w:rsidRPr="001E615C">
        <w:rPr>
          <w:i/>
        </w:rPr>
        <w:instrText xml:space="preserve"> - Rapporteur: David </w:instrText>
      </w:r>
      <w:proofErr w:type="spellStart"/>
      <w:r w:rsidRPr="001E615C">
        <w:rPr>
          <w:i/>
        </w:rPr>
        <w:instrText>Cormand</w:instrText>
      </w:r>
      <w:proofErr w:type="spellEnd"/>
      <w:r w:rsidRPr="001E615C">
        <w:rPr>
          <w:i/>
        </w:rPr>
        <w:instrText xml:space="preserve">)"\l3 \n&gt; \* MERGEFORMAT </w:instrText>
      </w:r>
      <w:r w:rsidRPr="001E615C">
        <w:rPr>
          <w:i/>
        </w:rPr>
        <w:fldChar w:fldCharType="end"/>
      </w:r>
    </w:p>
    <w:p w14:paraId="7FB68DDA" w14:textId="77777777" w:rsidR="003A6478" w:rsidRPr="001E615C" w:rsidRDefault="003A6478" w:rsidP="003A6478">
      <w:pPr>
        <w:rPr>
          <w:vanish/>
        </w:rPr>
      </w:pPr>
      <w:bookmarkStart w:id="3" w:name="Commission"/>
      <w:r w:rsidRPr="001E615C">
        <w:rPr>
          <w:vanish/>
        </w:rPr>
        <w:t>Commission des affaires juridiques</w:t>
      </w:r>
      <w:bookmarkEnd w:id="3"/>
    </w:p>
    <w:p w14:paraId="196CD963" w14:textId="77777777" w:rsidR="003A6478" w:rsidRPr="001E615C" w:rsidRDefault="003A6478" w:rsidP="003A6478">
      <w:pPr>
        <w:rPr>
          <w:vanish/>
        </w:rPr>
      </w:pPr>
      <w:bookmarkStart w:id="4" w:name="PE"/>
      <w:r w:rsidRPr="001E615C">
        <w:rPr>
          <w:vanish/>
        </w:rPr>
        <w:t>PE784.495</w:t>
      </w:r>
      <w:bookmarkEnd w:id="4"/>
    </w:p>
    <w:p w14:paraId="7FDC61BC" w14:textId="276AA782" w:rsidR="003A6478" w:rsidRPr="001E615C" w:rsidRDefault="003A6478" w:rsidP="00995F0E">
      <w:pPr>
        <w:pStyle w:val="ATHeading3"/>
      </w:pPr>
      <w:bookmarkStart w:id="5" w:name="Sujet"/>
      <w:r w:rsidRPr="001E615C">
        <w:t xml:space="preserve">Décision du Parlement européen du </w:t>
      </w:r>
      <w:r w:rsidR="00FC06BA">
        <w:t>19 mai</w:t>
      </w:r>
      <w:r w:rsidRPr="001E615C">
        <w:t xml:space="preserve"> 2026 sur la demande de levée de l’immunité d’Harald </w:t>
      </w:r>
      <w:proofErr w:type="spellStart"/>
      <w:r w:rsidRPr="001E615C">
        <w:t>Vilimsky</w:t>
      </w:r>
      <w:bookmarkEnd w:id="5"/>
      <w:proofErr w:type="spellEnd"/>
      <w:r w:rsidRPr="001E615C">
        <w:t xml:space="preserve"> </w:t>
      </w:r>
      <w:bookmarkStart w:id="6" w:name="References"/>
      <w:r w:rsidRPr="001E615C">
        <w:t>(2025/2158(IMM))</w:t>
      </w:r>
      <w:bookmarkEnd w:id="6"/>
    </w:p>
    <w:p w14:paraId="20630087" w14:textId="77777777" w:rsidR="00542213" w:rsidRPr="001E615C" w:rsidRDefault="00542213" w:rsidP="00542213">
      <w:pPr>
        <w:pStyle w:val="EPComma"/>
        <w:rPr>
          <w:lang w:val="fr-FR"/>
        </w:rPr>
      </w:pPr>
      <w:bookmarkStart w:id="7" w:name="TextBodyBegin"/>
      <w:bookmarkEnd w:id="7"/>
      <w:r w:rsidRPr="001E615C">
        <w:rPr>
          <w:i/>
          <w:lang w:val="fr-FR"/>
        </w:rPr>
        <w:t>Le Parlement européen</w:t>
      </w:r>
      <w:r w:rsidRPr="001E615C">
        <w:rPr>
          <w:lang w:val="fr-FR"/>
        </w:rPr>
        <w:t>,</w:t>
      </w:r>
    </w:p>
    <w:p w14:paraId="1117F80A" w14:textId="575A0AEC" w:rsidR="00542213" w:rsidRPr="001E615C" w:rsidRDefault="00542213" w:rsidP="00542213">
      <w:pPr>
        <w:pStyle w:val="NormalHanging12a"/>
        <w:rPr>
          <w:lang w:val="fr-FR"/>
        </w:rPr>
      </w:pPr>
      <w:r w:rsidRPr="001E615C">
        <w:rPr>
          <w:lang w:val="fr-FR"/>
        </w:rPr>
        <w:t>–</w:t>
      </w:r>
      <w:r w:rsidRPr="001E615C">
        <w:rPr>
          <w:lang w:val="fr-FR"/>
        </w:rPr>
        <w:tab/>
        <w:t>vu la demande de levée de l’immunité d’Harald </w:t>
      </w:r>
      <w:proofErr w:type="spellStart"/>
      <w:r w:rsidRPr="001E615C">
        <w:rPr>
          <w:lang w:val="fr-FR"/>
        </w:rPr>
        <w:t>Vilimsky</w:t>
      </w:r>
      <w:proofErr w:type="spellEnd"/>
      <w:r w:rsidRPr="001E615C">
        <w:rPr>
          <w:lang w:val="fr-FR"/>
        </w:rPr>
        <w:t>, reçue par lettre du 1</w:t>
      </w:r>
      <w:r w:rsidRPr="001E615C">
        <w:rPr>
          <w:vertAlign w:val="superscript"/>
          <w:lang w:val="fr-FR"/>
        </w:rPr>
        <w:t>er</w:t>
      </w:r>
      <w:r w:rsidRPr="001E615C">
        <w:rPr>
          <w:lang w:val="fr-FR"/>
        </w:rPr>
        <w:t xml:space="preserve"> juillet 2025 de la représentation permanente de l’Autriche auprès de l’Union européenne, transmettant une demande </w:t>
      </w:r>
      <w:r w:rsidR="001129A3">
        <w:rPr>
          <w:lang w:val="fr-FR"/>
        </w:rPr>
        <w:t>du</w:t>
      </w:r>
      <w:r w:rsidRPr="001E615C">
        <w:rPr>
          <w:lang w:val="fr-FR"/>
        </w:rPr>
        <w:t xml:space="preserve"> parquet de Vienne en liaison avec la procédure pénale devant être engagée contre Harald </w:t>
      </w:r>
      <w:proofErr w:type="spellStart"/>
      <w:r w:rsidRPr="001E615C">
        <w:rPr>
          <w:lang w:val="fr-FR"/>
        </w:rPr>
        <w:t>Vilimsky</w:t>
      </w:r>
      <w:proofErr w:type="spellEnd"/>
      <w:r w:rsidRPr="001E615C">
        <w:rPr>
          <w:lang w:val="fr-FR"/>
        </w:rPr>
        <w:t>, et communiquée en séance plénière le 9 juillet 2025,</w:t>
      </w:r>
    </w:p>
    <w:p w14:paraId="5F934590" w14:textId="77777777" w:rsidR="00542213" w:rsidRPr="001E615C" w:rsidRDefault="00542213" w:rsidP="00542213">
      <w:pPr>
        <w:pStyle w:val="NormalHanging12a"/>
        <w:rPr>
          <w:lang w:val="fr-FR"/>
        </w:rPr>
      </w:pPr>
      <w:r w:rsidRPr="001E615C">
        <w:rPr>
          <w:lang w:val="fr-FR"/>
        </w:rPr>
        <w:t>–</w:t>
      </w:r>
      <w:r w:rsidRPr="001E615C">
        <w:rPr>
          <w:lang w:val="fr-FR"/>
        </w:rPr>
        <w:tab/>
        <w:t>ayant entendu Harald </w:t>
      </w:r>
      <w:proofErr w:type="spellStart"/>
      <w:r w:rsidRPr="001E615C">
        <w:rPr>
          <w:lang w:val="fr-FR"/>
        </w:rPr>
        <w:t>Vilimsky</w:t>
      </w:r>
      <w:proofErr w:type="spellEnd"/>
      <w:r w:rsidRPr="001E615C">
        <w:rPr>
          <w:lang w:val="fr-FR"/>
        </w:rPr>
        <w:t xml:space="preserve"> le 15 avril 2026, conformément à l’article 9, paragraphe 6, de son règlement intérieur,</w:t>
      </w:r>
    </w:p>
    <w:p w14:paraId="2FE08C6A" w14:textId="0CDBA8B0" w:rsidR="00542213" w:rsidRPr="001E615C" w:rsidRDefault="00542213" w:rsidP="00542213">
      <w:pPr>
        <w:pStyle w:val="NormalHanging12a"/>
        <w:rPr>
          <w:lang w:val="fr-FR"/>
        </w:rPr>
      </w:pPr>
      <w:r w:rsidRPr="001E615C">
        <w:rPr>
          <w:lang w:val="fr-FR"/>
        </w:rPr>
        <w:t>–</w:t>
      </w:r>
      <w:r w:rsidRPr="001E615C">
        <w:rPr>
          <w:lang w:val="fr-FR"/>
        </w:rPr>
        <w:tab/>
        <w:t>vu les articles 8 et 9 du protocole nº 7 sur les privilèges et immunités de l’Union européenne ainsi que l’article 6, paragraphe 2, de l’acte portant élection des membres du Parlement européen au suffrage universel direct</w:t>
      </w:r>
      <w:r w:rsidR="001129A3">
        <w:rPr>
          <w:lang w:val="fr-FR"/>
        </w:rPr>
        <w:t>,</w:t>
      </w:r>
      <w:r w:rsidRPr="001E615C">
        <w:rPr>
          <w:lang w:val="fr-FR"/>
        </w:rPr>
        <w:t xml:space="preserve"> du 20 septembre 1976,</w:t>
      </w:r>
    </w:p>
    <w:p w14:paraId="547795F3" w14:textId="77777777" w:rsidR="00542213" w:rsidRPr="001E615C" w:rsidRDefault="00542213" w:rsidP="00542213">
      <w:pPr>
        <w:pStyle w:val="NormalHanging12a"/>
        <w:rPr>
          <w:lang w:val="fr-FR"/>
        </w:rPr>
      </w:pPr>
      <w:r w:rsidRPr="001E615C">
        <w:rPr>
          <w:lang w:val="fr-FR"/>
        </w:rPr>
        <w:t>–</w:t>
      </w:r>
      <w:r w:rsidRPr="001E615C">
        <w:rPr>
          <w:lang w:val="fr-FR"/>
        </w:rPr>
        <w:tab/>
        <w:t>vu les arrêts rendus par la Cour de justice de l’Union européenne les 21 octobre 2008, 19 mars 2010, 6 septembre 2011, 17 janvier 2013 et 19 décembre 2019</w:t>
      </w:r>
      <w:r w:rsidRPr="001E615C">
        <w:rPr>
          <w:vertAlign w:val="superscript"/>
          <w:lang w:val="fr-FR"/>
        </w:rPr>
        <w:footnoteReference w:id="1"/>
      </w:r>
      <w:r w:rsidRPr="001E615C">
        <w:rPr>
          <w:lang w:val="fr-FR"/>
        </w:rPr>
        <w:t>,</w:t>
      </w:r>
    </w:p>
    <w:p w14:paraId="0AC06425" w14:textId="77777777" w:rsidR="00542213" w:rsidRPr="001E615C" w:rsidRDefault="00542213" w:rsidP="00542213">
      <w:pPr>
        <w:pStyle w:val="NormalHanging12a"/>
        <w:rPr>
          <w:lang w:val="fr-FR"/>
        </w:rPr>
      </w:pPr>
      <w:r w:rsidRPr="001E615C">
        <w:rPr>
          <w:lang w:val="fr-FR"/>
        </w:rPr>
        <w:t>–</w:t>
      </w:r>
      <w:r w:rsidRPr="001E615C">
        <w:rPr>
          <w:lang w:val="fr-FR"/>
        </w:rPr>
        <w:tab/>
        <w:t>vu l’article 5, paragraphe 2, l’article 6, paragraphe 1, et l’article 9 de son règlement intérieur,</w:t>
      </w:r>
    </w:p>
    <w:p w14:paraId="11CEA341" w14:textId="77777777" w:rsidR="00542213" w:rsidRPr="001E615C" w:rsidRDefault="00542213" w:rsidP="00542213">
      <w:pPr>
        <w:pStyle w:val="NormalHanging12a"/>
        <w:rPr>
          <w:lang w:val="fr-FR"/>
        </w:rPr>
      </w:pPr>
      <w:r w:rsidRPr="001E615C">
        <w:rPr>
          <w:lang w:val="fr-FR"/>
        </w:rPr>
        <w:t>–</w:t>
      </w:r>
      <w:r w:rsidRPr="001E615C">
        <w:rPr>
          <w:lang w:val="fr-FR"/>
        </w:rPr>
        <w:tab/>
        <w:t>vu le rapport de la commission des affaires juridiques (A10-0125/2026),</w:t>
      </w:r>
    </w:p>
    <w:p w14:paraId="3F59B6DA" w14:textId="0719FDB8" w:rsidR="00542213" w:rsidRPr="001E615C" w:rsidRDefault="00542213" w:rsidP="00542213">
      <w:pPr>
        <w:pStyle w:val="NormalHanging12a"/>
        <w:rPr>
          <w:lang w:val="fr-FR"/>
        </w:rPr>
      </w:pPr>
      <w:r w:rsidRPr="001E615C">
        <w:rPr>
          <w:lang w:val="fr-FR"/>
        </w:rPr>
        <w:t>A.</w:t>
      </w:r>
      <w:r w:rsidRPr="001E615C">
        <w:rPr>
          <w:lang w:val="fr-FR"/>
        </w:rPr>
        <w:tab/>
        <w:t xml:space="preserve">considérant que la représentation permanente de l’Autriche auprès de l’Union </w:t>
      </w:r>
      <w:r w:rsidRPr="001E615C">
        <w:rPr>
          <w:lang w:val="fr-FR"/>
        </w:rPr>
        <w:lastRenderedPageBreak/>
        <w:t>européenne a transmis une demande du parquet de Vienne en vue de la levée de l’immunité d’Harald </w:t>
      </w:r>
      <w:proofErr w:type="spellStart"/>
      <w:r w:rsidRPr="001E615C">
        <w:rPr>
          <w:lang w:val="fr-FR"/>
        </w:rPr>
        <w:t>Vilimsky</w:t>
      </w:r>
      <w:proofErr w:type="spellEnd"/>
      <w:r w:rsidRPr="001E615C">
        <w:rPr>
          <w:lang w:val="fr-FR"/>
        </w:rPr>
        <w:t>, député au Parlement européen</w:t>
      </w:r>
      <w:r w:rsidR="001129A3">
        <w:rPr>
          <w:lang w:val="fr-FR"/>
        </w:rPr>
        <w:t xml:space="preserve"> élu en Autriche</w:t>
      </w:r>
      <w:r w:rsidRPr="001E615C">
        <w:rPr>
          <w:lang w:val="fr-FR"/>
        </w:rPr>
        <w:t>, pour des actes de détournement de fonds présumés, qui constituent des infractions en vertu de l’article 153, paragraphes 1 et 3</w:t>
      </w:r>
      <w:r w:rsidR="00E617A0">
        <w:rPr>
          <w:lang w:val="fr-FR"/>
        </w:rPr>
        <w:t>,</w:t>
      </w:r>
      <w:r w:rsidRPr="001E615C">
        <w:rPr>
          <w:lang w:val="fr-FR"/>
        </w:rPr>
        <w:t xml:space="preserve"> du Code pénal autrichien, au titre de sa participation présumée </w:t>
      </w:r>
      <w:r w:rsidR="00E617A0">
        <w:rPr>
          <w:lang w:val="fr-FR"/>
        </w:rPr>
        <w:t xml:space="preserve">aux </w:t>
      </w:r>
      <w:r w:rsidRPr="001E615C">
        <w:rPr>
          <w:lang w:val="fr-FR"/>
        </w:rPr>
        <w:t>infraction</w:t>
      </w:r>
      <w:r w:rsidR="00E617A0">
        <w:rPr>
          <w:lang w:val="fr-FR"/>
        </w:rPr>
        <w:t>s</w:t>
      </w:r>
      <w:r w:rsidRPr="001E615C">
        <w:rPr>
          <w:lang w:val="fr-FR"/>
        </w:rPr>
        <w:t xml:space="preserve"> au sens de l’article 12 </w:t>
      </w:r>
      <w:r w:rsidR="00E617A0">
        <w:rPr>
          <w:lang w:val="fr-FR"/>
        </w:rPr>
        <w:t>dudit</w:t>
      </w:r>
      <w:r w:rsidRPr="001E615C">
        <w:rPr>
          <w:lang w:val="fr-FR"/>
        </w:rPr>
        <w:t xml:space="preserve"> </w:t>
      </w:r>
      <w:proofErr w:type="gramStart"/>
      <w:r w:rsidRPr="001E615C">
        <w:rPr>
          <w:lang w:val="fr-FR"/>
        </w:rPr>
        <w:t>Code;</w:t>
      </w:r>
      <w:proofErr w:type="gramEnd"/>
    </w:p>
    <w:p w14:paraId="6FC8928C" w14:textId="2ABB98E3" w:rsidR="00542213" w:rsidRPr="001E615C" w:rsidRDefault="00542213" w:rsidP="00542213">
      <w:pPr>
        <w:pStyle w:val="NormalHanging12a"/>
        <w:rPr>
          <w:lang w:val="fr-FR"/>
        </w:rPr>
      </w:pPr>
      <w:r w:rsidRPr="001E615C">
        <w:rPr>
          <w:lang w:val="fr-FR"/>
        </w:rPr>
        <w:t>B.</w:t>
      </w:r>
      <w:r w:rsidRPr="001E615C">
        <w:rPr>
          <w:lang w:val="fr-FR"/>
        </w:rPr>
        <w:tab/>
        <w:t xml:space="preserve">considérant que, </w:t>
      </w:r>
      <w:r w:rsidR="00E617A0">
        <w:rPr>
          <w:lang w:val="fr-FR"/>
        </w:rPr>
        <w:t>selon</w:t>
      </w:r>
      <w:r w:rsidRPr="001E615C">
        <w:rPr>
          <w:lang w:val="fr-FR"/>
        </w:rPr>
        <w:t xml:space="preserve"> la demande, à la suite des demandes précédentes du parquet de Vienne de 2021 tendant à la levée de l’immunité d’Harald </w:t>
      </w:r>
      <w:proofErr w:type="spellStart"/>
      <w:r w:rsidRPr="001E615C">
        <w:rPr>
          <w:lang w:val="fr-FR"/>
        </w:rPr>
        <w:t>Vilimsky</w:t>
      </w:r>
      <w:proofErr w:type="spellEnd"/>
      <w:r w:rsidRPr="001E615C">
        <w:rPr>
          <w:lang w:val="fr-FR"/>
        </w:rPr>
        <w:t xml:space="preserve">, ainsi qu’à la décision du Parlement européen du 11 novembre 2021 levant son immunité, </w:t>
      </w:r>
      <w:r w:rsidR="00E617A0">
        <w:rPr>
          <w:lang w:val="fr-FR"/>
        </w:rPr>
        <w:t xml:space="preserve">et </w:t>
      </w:r>
      <w:r w:rsidRPr="001E615C">
        <w:rPr>
          <w:lang w:val="fr-FR"/>
        </w:rPr>
        <w:t>compte tenu de l’apparition de faits nouveaux, il convient de demander également la levée de l’immunité d’Harald </w:t>
      </w:r>
      <w:proofErr w:type="spellStart"/>
      <w:r w:rsidRPr="001E615C">
        <w:rPr>
          <w:lang w:val="fr-FR"/>
        </w:rPr>
        <w:t>Vilimsky</w:t>
      </w:r>
      <w:proofErr w:type="spellEnd"/>
      <w:r w:rsidRPr="001E615C">
        <w:rPr>
          <w:lang w:val="fr-FR"/>
        </w:rPr>
        <w:t xml:space="preserve"> au titre de ces nouveaux éléments</w:t>
      </w:r>
      <w:r w:rsidR="00E617A0">
        <w:rPr>
          <w:lang w:val="fr-FR"/>
        </w:rPr>
        <w:t xml:space="preserve"> de preuve</w:t>
      </w:r>
      <w:r w:rsidRPr="001E615C">
        <w:rPr>
          <w:lang w:val="fr-FR"/>
        </w:rPr>
        <w:t>; que, d’après les informations de l’enquête, Harald </w:t>
      </w:r>
      <w:proofErr w:type="spellStart"/>
      <w:r w:rsidRPr="001E615C">
        <w:rPr>
          <w:lang w:val="fr-FR"/>
        </w:rPr>
        <w:t>Vilimsky</w:t>
      </w:r>
      <w:proofErr w:type="spellEnd"/>
      <w:r w:rsidRPr="001E615C">
        <w:rPr>
          <w:lang w:val="fr-FR"/>
        </w:rPr>
        <w:t xml:space="preserve"> est soupçonné d’avoir abusé de son pouvoir en </w:t>
      </w:r>
      <w:r w:rsidR="00E617A0">
        <w:rPr>
          <w:lang w:val="fr-FR"/>
        </w:rPr>
        <w:t>utilisant</w:t>
      </w:r>
      <w:r w:rsidRPr="001E615C">
        <w:rPr>
          <w:lang w:val="fr-FR"/>
        </w:rPr>
        <w:t xml:space="preserve"> de</w:t>
      </w:r>
      <w:r w:rsidR="00E617A0">
        <w:rPr>
          <w:lang w:val="fr-FR"/>
        </w:rPr>
        <w:t>s</w:t>
      </w:r>
      <w:r w:rsidRPr="001E615C">
        <w:rPr>
          <w:lang w:val="fr-FR"/>
        </w:rPr>
        <w:t xml:space="preserve"> fonds de son parti politique FPÖ (</w:t>
      </w:r>
      <w:proofErr w:type="spellStart"/>
      <w:r w:rsidRPr="001E615C">
        <w:rPr>
          <w:lang w:val="fr-FR"/>
        </w:rPr>
        <w:t>Freiheitliche</w:t>
      </w:r>
      <w:proofErr w:type="spellEnd"/>
      <w:r w:rsidRPr="001E615C">
        <w:rPr>
          <w:lang w:val="fr-FR"/>
        </w:rPr>
        <w:t xml:space="preserve"> </w:t>
      </w:r>
      <w:proofErr w:type="spellStart"/>
      <w:r w:rsidRPr="001E615C">
        <w:rPr>
          <w:lang w:val="fr-FR"/>
        </w:rPr>
        <w:t>Partei</w:t>
      </w:r>
      <w:proofErr w:type="spellEnd"/>
      <w:r w:rsidRPr="001E615C">
        <w:rPr>
          <w:lang w:val="fr-FR"/>
        </w:rPr>
        <w:t xml:space="preserve"> </w:t>
      </w:r>
      <w:proofErr w:type="spellStart"/>
      <w:r w:rsidRPr="001E615C">
        <w:rPr>
          <w:lang w:val="fr-FR"/>
        </w:rPr>
        <w:t>Österreichs</w:t>
      </w:r>
      <w:proofErr w:type="spellEnd"/>
      <w:r w:rsidRPr="001E615C">
        <w:rPr>
          <w:lang w:val="fr-FR"/>
        </w:rPr>
        <w:t xml:space="preserve"> – Die </w:t>
      </w:r>
      <w:proofErr w:type="spellStart"/>
      <w:r w:rsidRPr="001E615C">
        <w:rPr>
          <w:lang w:val="fr-FR"/>
        </w:rPr>
        <w:t>Freiheitlichen</w:t>
      </w:r>
      <w:proofErr w:type="spellEnd"/>
      <w:r w:rsidRPr="001E615C">
        <w:rPr>
          <w:lang w:val="fr-FR"/>
        </w:rPr>
        <w:t>) à des fins étrangères aux activités de celui-ci, à des dates en 2013 qu’il reste encore à établir précisément, notamment en autorisant des paiements à caractère privé et étranger</w:t>
      </w:r>
      <w:r w:rsidR="00E617A0">
        <w:rPr>
          <w:lang w:val="fr-FR"/>
        </w:rPr>
        <w:t>s</w:t>
      </w:r>
      <w:r w:rsidRPr="001E615C">
        <w:rPr>
          <w:lang w:val="fr-FR"/>
        </w:rPr>
        <w:t xml:space="preserve"> aux activités du parti, concernant l’installation d’une porte et d’une serrure à </w:t>
      </w:r>
      <w:r w:rsidR="00E617A0">
        <w:rPr>
          <w:lang w:val="fr-FR"/>
        </w:rPr>
        <w:t xml:space="preserve">son </w:t>
      </w:r>
      <w:r w:rsidRPr="001E615C">
        <w:rPr>
          <w:lang w:val="fr-FR"/>
        </w:rPr>
        <w:t>adresse privée, portant ainsi préjudice pour un montant total de 9 434 EUR au patrimoine du FPÖ;</w:t>
      </w:r>
    </w:p>
    <w:p w14:paraId="7CAAFE64" w14:textId="16DB440E" w:rsidR="00542213" w:rsidRPr="001E615C" w:rsidRDefault="00542213" w:rsidP="00542213">
      <w:pPr>
        <w:pStyle w:val="NormalHanging12a"/>
        <w:rPr>
          <w:lang w:val="fr-FR"/>
        </w:rPr>
      </w:pPr>
      <w:r w:rsidRPr="001E615C">
        <w:rPr>
          <w:lang w:val="fr-FR"/>
        </w:rPr>
        <w:t>C.</w:t>
      </w:r>
      <w:r w:rsidRPr="001E615C">
        <w:rPr>
          <w:lang w:val="fr-FR"/>
        </w:rPr>
        <w:tab/>
        <w:t>considérant qu’Harald </w:t>
      </w:r>
      <w:proofErr w:type="spellStart"/>
      <w:r w:rsidRPr="001E615C">
        <w:rPr>
          <w:lang w:val="fr-FR"/>
        </w:rPr>
        <w:t>Vilimsky</w:t>
      </w:r>
      <w:proofErr w:type="spellEnd"/>
      <w:r w:rsidRPr="001E615C">
        <w:rPr>
          <w:lang w:val="fr-FR"/>
        </w:rPr>
        <w:t xml:space="preserve"> a été élu au Parlement européen lors des élections européennes de mai 2019 et réélu en juin 2024, et qu’il n’était </w:t>
      </w:r>
      <w:r w:rsidR="00E617A0">
        <w:rPr>
          <w:lang w:val="fr-FR"/>
        </w:rPr>
        <w:t xml:space="preserve">dès lors </w:t>
      </w:r>
      <w:r w:rsidRPr="001E615C">
        <w:rPr>
          <w:lang w:val="fr-FR"/>
        </w:rPr>
        <w:t xml:space="preserve">pas député au Parlement européen au moment des infractions </w:t>
      </w:r>
      <w:proofErr w:type="gramStart"/>
      <w:r w:rsidRPr="001E615C">
        <w:rPr>
          <w:lang w:val="fr-FR"/>
        </w:rPr>
        <w:t>présumées;</w:t>
      </w:r>
      <w:proofErr w:type="gramEnd"/>
      <w:r w:rsidRPr="001E615C">
        <w:rPr>
          <w:lang w:val="fr-FR"/>
        </w:rPr>
        <w:t xml:space="preserve"> </w:t>
      </w:r>
    </w:p>
    <w:p w14:paraId="46EE3425" w14:textId="6125E794" w:rsidR="00542213" w:rsidRPr="001E615C" w:rsidRDefault="00542213" w:rsidP="00542213">
      <w:pPr>
        <w:pStyle w:val="NormalHanging12a"/>
        <w:rPr>
          <w:lang w:val="fr-FR"/>
        </w:rPr>
      </w:pPr>
      <w:r w:rsidRPr="001E615C">
        <w:rPr>
          <w:lang w:val="fr-FR"/>
        </w:rPr>
        <w:t>D.</w:t>
      </w:r>
      <w:r w:rsidRPr="001E615C">
        <w:rPr>
          <w:lang w:val="fr-FR"/>
        </w:rPr>
        <w:tab/>
        <w:t xml:space="preserve">considérant que </w:t>
      </w:r>
      <w:r w:rsidR="00E617A0" w:rsidRPr="001E615C">
        <w:rPr>
          <w:lang w:val="fr-FR"/>
        </w:rPr>
        <w:t>l</w:t>
      </w:r>
      <w:r w:rsidR="00E617A0">
        <w:rPr>
          <w:lang w:val="fr-FR"/>
        </w:rPr>
        <w:t xml:space="preserve">es </w:t>
      </w:r>
      <w:r w:rsidR="00E617A0" w:rsidRPr="001E615C">
        <w:rPr>
          <w:lang w:val="fr-FR"/>
        </w:rPr>
        <w:t>infraction</w:t>
      </w:r>
      <w:r w:rsidR="00E617A0">
        <w:rPr>
          <w:lang w:val="fr-FR"/>
        </w:rPr>
        <w:t>s</w:t>
      </w:r>
      <w:r w:rsidR="00E617A0" w:rsidRPr="001E615C">
        <w:rPr>
          <w:lang w:val="fr-FR"/>
        </w:rPr>
        <w:t xml:space="preserve"> </w:t>
      </w:r>
      <w:r w:rsidRPr="001E615C">
        <w:rPr>
          <w:lang w:val="fr-FR"/>
        </w:rPr>
        <w:t>présumée</w:t>
      </w:r>
      <w:r w:rsidR="00E617A0">
        <w:rPr>
          <w:lang w:val="fr-FR"/>
        </w:rPr>
        <w:t>s</w:t>
      </w:r>
      <w:r w:rsidRPr="001E615C">
        <w:rPr>
          <w:lang w:val="fr-FR"/>
        </w:rPr>
        <w:t xml:space="preserve"> </w:t>
      </w:r>
      <w:r w:rsidR="00E617A0">
        <w:rPr>
          <w:lang w:val="fr-FR"/>
        </w:rPr>
        <w:t>ne sont</w:t>
      </w:r>
      <w:r w:rsidR="00E617A0" w:rsidRPr="001E615C">
        <w:rPr>
          <w:lang w:val="fr-FR"/>
        </w:rPr>
        <w:t xml:space="preserve"> </w:t>
      </w:r>
      <w:r w:rsidRPr="001E615C">
        <w:rPr>
          <w:lang w:val="fr-FR"/>
        </w:rPr>
        <w:t>pas constitutive</w:t>
      </w:r>
      <w:r w:rsidR="00E617A0">
        <w:rPr>
          <w:lang w:val="fr-FR"/>
        </w:rPr>
        <w:t>s</w:t>
      </w:r>
      <w:r w:rsidRPr="001E615C">
        <w:rPr>
          <w:lang w:val="fr-FR"/>
        </w:rPr>
        <w:t xml:space="preserve"> d’une opinion ou d’un vote émis par Harald </w:t>
      </w:r>
      <w:proofErr w:type="spellStart"/>
      <w:r w:rsidRPr="001E615C">
        <w:rPr>
          <w:lang w:val="fr-FR"/>
        </w:rPr>
        <w:t>Vilimsky</w:t>
      </w:r>
      <w:proofErr w:type="spellEnd"/>
      <w:r w:rsidRPr="001E615C">
        <w:rPr>
          <w:lang w:val="fr-FR"/>
        </w:rPr>
        <w:t xml:space="preserve"> dans l’exercice de ses fonctions au sens de l’article 8 du protocole nº 7 sur les privilèges et immunités de l’Union européenne et que la demande de levée de son immunité qui en découle n’est pas liée à une telle opinion ou à un tel </w:t>
      </w:r>
      <w:proofErr w:type="gramStart"/>
      <w:r w:rsidRPr="001E615C">
        <w:rPr>
          <w:lang w:val="fr-FR"/>
        </w:rPr>
        <w:t>vote;</w:t>
      </w:r>
      <w:proofErr w:type="gramEnd"/>
    </w:p>
    <w:p w14:paraId="3B5345FC" w14:textId="06321394" w:rsidR="00542213" w:rsidRPr="001E615C" w:rsidRDefault="00542213" w:rsidP="00542213">
      <w:pPr>
        <w:pStyle w:val="NormalHanging12a"/>
        <w:rPr>
          <w:lang w:val="fr-FR"/>
        </w:rPr>
      </w:pPr>
      <w:r w:rsidRPr="001E615C">
        <w:rPr>
          <w:lang w:val="fr-FR"/>
        </w:rPr>
        <w:t>E.</w:t>
      </w:r>
      <w:r w:rsidRPr="001E615C">
        <w:rPr>
          <w:lang w:val="fr-FR"/>
        </w:rPr>
        <w:tab/>
        <w:t xml:space="preserve">considérant que l’article 9, premier alinéa, point a), du protocole nº 7 sur les privilèges et immunités de l’Union européenne dispose que, pendant la durée des sessions du Parlement européen, les </w:t>
      </w:r>
      <w:r w:rsidR="006371E9">
        <w:rPr>
          <w:lang w:val="fr-FR"/>
        </w:rPr>
        <w:t>membres de celui-ci</w:t>
      </w:r>
      <w:r w:rsidRPr="001E615C">
        <w:rPr>
          <w:lang w:val="fr-FR"/>
        </w:rPr>
        <w:t xml:space="preserve"> bénéficient, sur leur territoire national, des immunités reconnues aux membres du parlement de leur </w:t>
      </w:r>
      <w:proofErr w:type="gramStart"/>
      <w:r w:rsidRPr="001E615C">
        <w:rPr>
          <w:lang w:val="fr-FR"/>
        </w:rPr>
        <w:t>pays;</w:t>
      </w:r>
      <w:proofErr w:type="gramEnd"/>
    </w:p>
    <w:p w14:paraId="04B0A686" w14:textId="77777777" w:rsidR="00542213" w:rsidRPr="001E615C" w:rsidRDefault="00542213" w:rsidP="00542213">
      <w:pPr>
        <w:pStyle w:val="NormalHanging12a"/>
        <w:rPr>
          <w:lang w:val="fr-FR"/>
        </w:rPr>
      </w:pPr>
      <w:r w:rsidRPr="001E615C">
        <w:rPr>
          <w:lang w:val="fr-FR"/>
        </w:rPr>
        <w:t>F.</w:t>
      </w:r>
      <w:r w:rsidRPr="001E615C">
        <w:rPr>
          <w:lang w:val="fr-FR"/>
        </w:rPr>
        <w:tab/>
        <w:t xml:space="preserve">considérant que, aux termes de l’article 57, paragraphes 2 et 3, de la Constitution </w:t>
      </w:r>
      <w:proofErr w:type="gramStart"/>
      <w:r w:rsidRPr="001E615C">
        <w:rPr>
          <w:lang w:val="fr-FR"/>
        </w:rPr>
        <w:t>autrichienne:</w:t>
      </w:r>
      <w:proofErr w:type="gramEnd"/>
    </w:p>
    <w:p w14:paraId="07F10B38" w14:textId="4A25BD14" w:rsidR="00542213" w:rsidRPr="001E615C" w:rsidRDefault="00542213" w:rsidP="00B271CF">
      <w:pPr>
        <w:pStyle w:val="NormalHanging12a"/>
        <w:ind w:left="1134"/>
        <w:rPr>
          <w:i/>
          <w:iCs/>
          <w:lang w:val="fr-FR"/>
        </w:rPr>
      </w:pPr>
      <w:r w:rsidRPr="001E615C">
        <w:rPr>
          <w:lang w:val="fr-FR"/>
        </w:rPr>
        <w:t>«</w:t>
      </w:r>
      <w:r w:rsidRPr="001E615C">
        <w:rPr>
          <w:i/>
          <w:iCs/>
          <w:lang w:val="fr-FR"/>
        </w:rPr>
        <w:t xml:space="preserve">2. </w:t>
      </w:r>
      <w:r w:rsidRPr="001E615C">
        <w:rPr>
          <w:i/>
          <w:iCs/>
          <w:lang w:val="fr-FR"/>
        </w:rPr>
        <w:tab/>
        <w:t xml:space="preserve">Les membres du Conseil national ne peuvent être arrêtés pour </w:t>
      </w:r>
      <w:r w:rsidR="006371E9">
        <w:rPr>
          <w:i/>
          <w:iCs/>
          <w:lang w:val="fr-FR"/>
        </w:rPr>
        <w:t>une infraction pénale</w:t>
      </w:r>
      <w:r w:rsidRPr="001E615C">
        <w:rPr>
          <w:i/>
          <w:iCs/>
          <w:lang w:val="fr-FR"/>
        </w:rPr>
        <w:t xml:space="preserve"> qu’avec le consentement du Conseil national, à moins qu’ils n’aient été pris en flagrant délit. Le consentement du Conseil national est, en outre, requis pour les perquisitions au domicile des membres du Conseil national.</w:t>
      </w:r>
    </w:p>
    <w:p w14:paraId="45482116" w14:textId="709B4250" w:rsidR="00542213" w:rsidRPr="001E615C" w:rsidRDefault="00542213" w:rsidP="00B271CF">
      <w:pPr>
        <w:pStyle w:val="NormalHanging12a"/>
        <w:ind w:left="1134"/>
        <w:rPr>
          <w:i/>
          <w:iCs/>
          <w:lang w:val="fr-FR"/>
        </w:rPr>
      </w:pPr>
      <w:r w:rsidRPr="001E615C">
        <w:rPr>
          <w:i/>
          <w:iCs/>
          <w:lang w:val="fr-FR"/>
        </w:rPr>
        <w:t xml:space="preserve">3. </w:t>
      </w:r>
      <w:r w:rsidRPr="001E615C">
        <w:rPr>
          <w:i/>
          <w:iCs/>
          <w:lang w:val="fr-FR"/>
        </w:rPr>
        <w:tab/>
      </w:r>
      <w:r w:rsidR="006371E9">
        <w:rPr>
          <w:i/>
          <w:iCs/>
          <w:lang w:val="fr-FR"/>
        </w:rPr>
        <w:t>Dans tous les autres cas</w:t>
      </w:r>
      <w:r w:rsidRPr="001E615C">
        <w:rPr>
          <w:i/>
          <w:iCs/>
          <w:lang w:val="fr-FR"/>
        </w:rPr>
        <w:t xml:space="preserve">, les membres du Conseil national ne peuvent être poursuivis pour </w:t>
      </w:r>
      <w:r w:rsidR="00D67075">
        <w:rPr>
          <w:i/>
          <w:iCs/>
          <w:lang w:val="fr-FR"/>
        </w:rPr>
        <w:t>une infraction pénale</w:t>
      </w:r>
      <w:r w:rsidRPr="001E615C">
        <w:rPr>
          <w:i/>
          <w:iCs/>
          <w:lang w:val="fr-FR"/>
        </w:rPr>
        <w:t xml:space="preserve"> </w:t>
      </w:r>
      <w:r w:rsidR="006371E9">
        <w:rPr>
          <w:i/>
          <w:iCs/>
          <w:lang w:val="fr-FR"/>
        </w:rPr>
        <w:t>s</w:t>
      </w:r>
      <w:r w:rsidR="006371E9" w:rsidRPr="001E615C">
        <w:rPr>
          <w:i/>
          <w:iCs/>
          <w:lang w:val="fr-FR"/>
        </w:rPr>
        <w:t xml:space="preserve">ans le consentement du Conseil national </w:t>
      </w:r>
      <w:r w:rsidRPr="001E615C">
        <w:rPr>
          <w:i/>
          <w:iCs/>
          <w:lang w:val="fr-FR"/>
        </w:rPr>
        <w:t xml:space="preserve">que si </w:t>
      </w:r>
      <w:r w:rsidR="00D67075">
        <w:rPr>
          <w:i/>
          <w:iCs/>
          <w:lang w:val="fr-FR"/>
        </w:rPr>
        <w:t>cette infraction</w:t>
      </w:r>
      <w:r w:rsidRPr="001E615C">
        <w:rPr>
          <w:i/>
          <w:iCs/>
          <w:lang w:val="fr-FR"/>
        </w:rPr>
        <w:t xml:space="preserve"> n’est manifestement pas lié</w:t>
      </w:r>
      <w:r w:rsidR="00D67075">
        <w:rPr>
          <w:i/>
          <w:iCs/>
          <w:lang w:val="fr-FR"/>
        </w:rPr>
        <w:t>e</w:t>
      </w:r>
      <w:r w:rsidRPr="001E615C">
        <w:rPr>
          <w:i/>
          <w:iCs/>
          <w:lang w:val="fr-FR"/>
        </w:rPr>
        <w:t xml:space="preserve"> à l’activité politique du </w:t>
      </w:r>
      <w:r w:rsidR="00D67075">
        <w:rPr>
          <w:i/>
          <w:iCs/>
          <w:lang w:val="fr-FR"/>
        </w:rPr>
        <w:t>membre</w:t>
      </w:r>
      <w:r w:rsidR="00D67075" w:rsidRPr="001E615C">
        <w:rPr>
          <w:i/>
          <w:iCs/>
          <w:lang w:val="fr-FR"/>
        </w:rPr>
        <w:t xml:space="preserve"> </w:t>
      </w:r>
      <w:r w:rsidRPr="001E615C">
        <w:rPr>
          <w:i/>
          <w:iCs/>
          <w:lang w:val="fr-FR"/>
        </w:rPr>
        <w:t xml:space="preserve">concerné. Toutefois, </w:t>
      </w:r>
      <w:r w:rsidR="00D67075">
        <w:rPr>
          <w:i/>
          <w:iCs/>
          <w:lang w:val="fr-FR"/>
        </w:rPr>
        <w:t>l’</w:t>
      </w:r>
      <w:r w:rsidRPr="001E615C">
        <w:rPr>
          <w:i/>
          <w:iCs/>
          <w:lang w:val="fr-FR"/>
        </w:rPr>
        <w:t xml:space="preserve">autorité </w:t>
      </w:r>
      <w:r w:rsidR="006371E9">
        <w:rPr>
          <w:i/>
          <w:iCs/>
          <w:lang w:val="fr-FR"/>
        </w:rPr>
        <w:t xml:space="preserve">poursuivante </w:t>
      </w:r>
      <w:r w:rsidRPr="001E615C">
        <w:rPr>
          <w:i/>
          <w:iCs/>
          <w:lang w:val="fr-FR"/>
        </w:rPr>
        <w:t xml:space="preserve">doit obtenir une décision du Conseil national sur l’existence d’un tel lien si le </w:t>
      </w:r>
      <w:r w:rsidR="00D67075">
        <w:rPr>
          <w:i/>
          <w:iCs/>
          <w:lang w:val="fr-FR"/>
        </w:rPr>
        <w:t>membre</w:t>
      </w:r>
      <w:r w:rsidRPr="001E615C">
        <w:rPr>
          <w:i/>
          <w:iCs/>
          <w:lang w:val="fr-FR"/>
        </w:rPr>
        <w:t xml:space="preserve"> concerné ou un tiers des membres de la commission permanente </w:t>
      </w:r>
      <w:r w:rsidR="00D67075">
        <w:rPr>
          <w:i/>
          <w:iCs/>
          <w:lang w:val="fr-FR"/>
        </w:rPr>
        <w:t>compétente en la matière</w:t>
      </w:r>
      <w:r w:rsidRPr="001E615C">
        <w:rPr>
          <w:i/>
          <w:iCs/>
          <w:lang w:val="fr-FR"/>
        </w:rPr>
        <w:t xml:space="preserve"> en fait la demande. Dans le cas d’une telle demande, l</w:t>
      </w:r>
      <w:r w:rsidR="005C0A41">
        <w:rPr>
          <w:i/>
          <w:iCs/>
          <w:lang w:val="fr-FR"/>
        </w:rPr>
        <w:t>’</w:t>
      </w:r>
      <w:r w:rsidRPr="001E615C">
        <w:rPr>
          <w:i/>
          <w:iCs/>
          <w:lang w:val="fr-FR"/>
        </w:rPr>
        <w:t xml:space="preserve">autorité </w:t>
      </w:r>
      <w:r w:rsidR="006371E9">
        <w:rPr>
          <w:i/>
          <w:iCs/>
          <w:lang w:val="fr-FR"/>
        </w:rPr>
        <w:t xml:space="preserve">poursuivante </w:t>
      </w:r>
      <w:r w:rsidRPr="001E615C">
        <w:rPr>
          <w:i/>
          <w:iCs/>
          <w:lang w:val="fr-FR"/>
        </w:rPr>
        <w:t xml:space="preserve">doit </w:t>
      </w:r>
      <w:r w:rsidR="00D67075">
        <w:rPr>
          <w:i/>
          <w:iCs/>
          <w:lang w:val="fr-FR"/>
        </w:rPr>
        <w:t>immédiatement s’abstenir de</w:t>
      </w:r>
      <w:r w:rsidRPr="001E615C">
        <w:rPr>
          <w:i/>
          <w:iCs/>
          <w:lang w:val="fr-FR"/>
        </w:rPr>
        <w:t xml:space="preserve"> toute </w:t>
      </w:r>
      <w:r w:rsidR="00D67075">
        <w:rPr>
          <w:i/>
          <w:iCs/>
          <w:lang w:val="fr-FR"/>
        </w:rPr>
        <w:t>action</w:t>
      </w:r>
      <w:r w:rsidR="00D67075" w:rsidRPr="001E615C">
        <w:rPr>
          <w:i/>
          <w:iCs/>
          <w:lang w:val="fr-FR"/>
        </w:rPr>
        <w:t xml:space="preserve"> </w:t>
      </w:r>
      <w:r w:rsidRPr="001E615C">
        <w:rPr>
          <w:i/>
          <w:iCs/>
          <w:lang w:val="fr-FR"/>
        </w:rPr>
        <w:t xml:space="preserve">ou </w:t>
      </w:r>
      <w:r w:rsidR="00D67075">
        <w:rPr>
          <w:i/>
          <w:iCs/>
          <w:lang w:val="fr-FR"/>
        </w:rPr>
        <w:t>mettre fin à toute action</w:t>
      </w:r>
      <w:r w:rsidR="00D67075" w:rsidRPr="001E615C">
        <w:rPr>
          <w:i/>
          <w:iCs/>
          <w:lang w:val="fr-FR"/>
        </w:rPr>
        <w:t xml:space="preserve"> </w:t>
      </w:r>
      <w:r w:rsidRPr="001E615C">
        <w:rPr>
          <w:i/>
          <w:iCs/>
          <w:lang w:val="fr-FR"/>
        </w:rPr>
        <w:t>déjà engagée</w:t>
      </w:r>
      <w:proofErr w:type="gramStart"/>
      <w:r w:rsidRPr="001E615C">
        <w:rPr>
          <w:i/>
          <w:iCs/>
          <w:lang w:val="fr-FR"/>
        </w:rPr>
        <w:t>.»</w:t>
      </w:r>
      <w:proofErr w:type="gramEnd"/>
      <w:r w:rsidRPr="001E615C">
        <w:rPr>
          <w:i/>
          <w:iCs/>
          <w:lang w:val="fr-FR"/>
        </w:rPr>
        <w:t>;</w:t>
      </w:r>
    </w:p>
    <w:p w14:paraId="7B2A163D" w14:textId="77777777" w:rsidR="00542213" w:rsidRPr="001E615C" w:rsidRDefault="00542213" w:rsidP="00542213">
      <w:pPr>
        <w:pStyle w:val="NormalHanging12a"/>
        <w:rPr>
          <w:lang w:val="fr-FR"/>
        </w:rPr>
      </w:pPr>
      <w:r w:rsidRPr="001E615C">
        <w:rPr>
          <w:lang w:val="fr-FR"/>
        </w:rPr>
        <w:lastRenderedPageBreak/>
        <w:t>G.</w:t>
      </w:r>
      <w:r w:rsidRPr="001E615C">
        <w:rPr>
          <w:lang w:val="fr-FR"/>
        </w:rPr>
        <w:tab/>
        <w:t>considérant que l’immunité prévue au protocole nº 7 sur les privilèges et immunités de l’Union européenne a pour objet de protéger le Parlement et ses députés contre des procédures judiciaires visant des activités menées dans l’exercice des fonctions parlementaires et indissociables de celles-</w:t>
      </w:r>
      <w:proofErr w:type="gramStart"/>
      <w:r w:rsidRPr="001E615C">
        <w:rPr>
          <w:lang w:val="fr-FR"/>
        </w:rPr>
        <w:t>ci;</w:t>
      </w:r>
      <w:proofErr w:type="gramEnd"/>
    </w:p>
    <w:p w14:paraId="18A42CC8" w14:textId="77777777" w:rsidR="00542213" w:rsidRPr="001E615C" w:rsidRDefault="00542213" w:rsidP="00542213">
      <w:pPr>
        <w:pStyle w:val="NormalHanging12a"/>
        <w:rPr>
          <w:lang w:val="fr-FR"/>
        </w:rPr>
      </w:pPr>
      <w:r w:rsidRPr="001E615C">
        <w:rPr>
          <w:lang w:val="fr-FR"/>
        </w:rPr>
        <w:t>H.</w:t>
      </w:r>
      <w:r w:rsidRPr="001E615C">
        <w:rPr>
          <w:lang w:val="fr-FR"/>
        </w:rPr>
        <w:tab/>
        <w:t xml:space="preserve">considérant que, conformément à l’article 5, paragraphe 2, de son règlement intérieur, l’immunité parlementaire n’est pas un privilège personnel du député, mais une garantie d’indépendance du Parlement dans son ensemble et de ses </w:t>
      </w:r>
      <w:proofErr w:type="gramStart"/>
      <w:r w:rsidRPr="001E615C">
        <w:rPr>
          <w:lang w:val="fr-FR"/>
        </w:rPr>
        <w:t>députés;</w:t>
      </w:r>
      <w:proofErr w:type="gramEnd"/>
    </w:p>
    <w:p w14:paraId="6D56A9A1" w14:textId="0F4BE031" w:rsidR="00542213" w:rsidRPr="001E615C" w:rsidRDefault="00542213" w:rsidP="00542213">
      <w:pPr>
        <w:pStyle w:val="NormalHanging12a"/>
        <w:rPr>
          <w:lang w:val="fr-FR"/>
        </w:rPr>
      </w:pPr>
      <w:r w:rsidRPr="001E615C">
        <w:rPr>
          <w:lang w:val="fr-FR"/>
        </w:rPr>
        <w:t>I.</w:t>
      </w:r>
      <w:r w:rsidRPr="001E615C">
        <w:rPr>
          <w:lang w:val="fr-FR"/>
        </w:rPr>
        <w:tab/>
        <w:t xml:space="preserve">considérant que, en l’espèce, le Parlement n’a trouvé aucun élément de preuve établissant l’existence d’un </w:t>
      </w:r>
      <w:proofErr w:type="spellStart"/>
      <w:r w:rsidRPr="001E615C">
        <w:rPr>
          <w:i/>
          <w:lang w:val="fr-FR"/>
        </w:rPr>
        <w:t>fumus</w:t>
      </w:r>
      <w:proofErr w:type="spellEnd"/>
      <w:r w:rsidRPr="001E615C">
        <w:rPr>
          <w:i/>
          <w:lang w:val="fr-FR"/>
        </w:rPr>
        <w:t> </w:t>
      </w:r>
      <w:proofErr w:type="spellStart"/>
      <w:r w:rsidRPr="001E615C">
        <w:rPr>
          <w:i/>
          <w:lang w:val="fr-FR"/>
        </w:rPr>
        <w:t>persecutionis</w:t>
      </w:r>
      <w:proofErr w:type="spellEnd"/>
      <w:r w:rsidRPr="001E615C">
        <w:rPr>
          <w:lang w:val="fr-FR"/>
        </w:rPr>
        <w:t>, c’est-à-dire des éléments de fait qui permettent de présumer que les poursuites en question ont été engagées dans l’intention de nuire à l’activité politique d’Harald </w:t>
      </w:r>
      <w:proofErr w:type="spellStart"/>
      <w:r w:rsidRPr="001E615C">
        <w:rPr>
          <w:lang w:val="fr-FR"/>
        </w:rPr>
        <w:t>Vilimsky</w:t>
      </w:r>
      <w:proofErr w:type="spellEnd"/>
      <w:r w:rsidRPr="001E615C">
        <w:rPr>
          <w:lang w:val="fr-FR"/>
        </w:rPr>
        <w:t xml:space="preserve"> en sa qualité de député au Parlement européen</w:t>
      </w:r>
      <w:r w:rsidR="005C0A41">
        <w:rPr>
          <w:lang w:val="fr-FR"/>
        </w:rPr>
        <w:t xml:space="preserve"> et partant à l’indépendance du </w:t>
      </w:r>
      <w:proofErr w:type="gramStart"/>
      <w:r w:rsidR="005C0A41">
        <w:rPr>
          <w:lang w:val="fr-FR"/>
        </w:rPr>
        <w:t>Parlement</w:t>
      </w:r>
      <w:r w:rsidRPr="001E615C">
        <w:rPr>
          <w:lang w:val="fr-FR"/>
        </w:rPr>
        <w:t>;</w:t>
      </w:r>
      <w:proofErr w:type="gramEnd"/>
    </w:p>
    <w:p w14:paraId="30B66F70" w14:textId="77777777" w:rsidR="00542213" w:rsidRPr="001E615C" w:rsidRDefault="00542213" w:rsidP="00542213">
      <w:pPr>
        <w:pStyle w:val="NormalHanging12a"/>
        <w:rPr>
          <w:lang w:val="fr-FR"/>
        </w:rPr>
      </w:pPr>
      <w:r w:rsidRPr="001E615C">
        <w:rPr>
          <w:lang w:val="fr-FR"/>
        </w:rPr>
        <w:t>J.</w:t>
      </w:r>
      <w:r w:rsidRPr="001E615C">
        <w:rPr>
          <w:lang w:val="fr-FR"/>
        </w:rPr>
        <w:tab/>
        <w:t>considérant, d’une part, que le Parlement ne saurait être assimilé à un tribunal et, d’autre part, que le député ne saurait, dans le contexte d’une procédure de levée d’immunité, être considéré comme un</w:t>
      </w:r>
      <w:proofErr w:type="gramStart"/>
      <w:r w:rsidRPr="001E615C">
        <w:rPr>
          <w:lang w:val="fr-FR"/>
        </w:rPr>
        <w:t xml:space="preserve"> «accusé</w:t>
      </w:r>
      <w:proofErr w:type="gramEnd"/>
      <w:r w:rsidRPr="001E615C">
        <w:rPr>
          <w:vertAlign w:val="superscript"/>
          <w:lang w:val="fr-FR"/>
        </w:rPr>
        <w:footnoteReference w:id="2"/>
      </w:r>
      <w:r w:rsidRPr="001E615C">
        <w:rPr>
          <w:lang w:val="fr-FR"/>
        </w:rPr>
        <w:t>»;</w:t>
      </w:r>
    </w:p>
    <w:p w14:paraId="61DDEF88" w14:textId="77777777" w:rsidR="00542213" w:rsidRPr="001E615C" w:rsidRDefault="00542213" w:rsidP="00542213">
      <w:pPr>
        <w:pStyle w:val="NormalHanging12a"/>
        <w:rPr>
          <w:lang w:val="fr-FR"/>
        </w:rPr>
      </w:pPr>
      <w:r w:rsidRPr="001E615C">
        <w:rPr>
          <w:lang w:val="fr-FR"/>
        </w:rPr>
        <w:t>1.</w:t>
      </w:r>
      <w:r w:rsidRPr="001E615C">
        <w:rPr>
          <w:lang w:val="fr-FR"/>
        </w:rPr>
        <w:tab/>
        <w:t>décide de lever l’immunité d’Harald </w:t>
      </w:r>
      <w:proofErr w:type="spellStart"/>
      <w:proofErr w:type="gramStart"/>
      <w:r w:rsidRPr="001E615C">
        <w:rPr>
          <w:lang w:val="fr-FR"/>
        </w:rPr>
        <w:t>Vilimsky</w:t>
      </w:r>
      <w:proofErr w:type="spellEnd"/>
      <w:r w:rsidRPr="001E615C">
        <w:rPr>
          <w:lang w:val="fr-FR"/>
        </w:rPr>
        <w:t>;</w:t>
      </w:r>
      <w:proofErr w:type="gramEnd"/>
    </w:p>
    <w:p w14:paraId="3389E479" w14:textId="6F581B84" w:rsidR="00E365E1" w:rsidRPr="001E615C" w:rsidRDefault="00542213" w:rsidP="00C50D41">
      <w:pPr>
        <w:pStyle w:val="NormalHanging12a"/>
        <w:rPr>
          <w:lang w:val="fr-FR"/>
        </w:rPr>
      </w:pPr>
      <w:r w:rsidRPr="001E615C">
        <w:rPr>
          <w:lang w:val="fr-FR"/>
        </w:rPr>
        <w:t>2.</w:t>
      </w:r>
      <w:r w:rsidRPr="001E615C">
        <w:rPr>
          <w:lang w:val="fr-FR"/>
        </w:rPr>
        <w:tab/>
        <w:t xml:space="preserve">charge sa Présidente de transmettre immédiatement la présente décision et le rapport de sa commission compétente </w:t>
      </w:r>
      <w:r w:rsidR="005C0A41">
        <w:rPr>
          <w:lang w:val="fr-FR"/>
        </w:rPr>
        <w:t>à l’</w:t>
      </w:r>
      <w:r w:rsidRPr="001E615C">
        <w:rPr>
          <w:lang w:val="fr-FR"/>
        </w:rPr>
        <w:t>autorité compétente de la République d’Autriche et à Harald </w:t>
      </w:r>
      <w:proofErr w:type="spellStart"/>
      <w:r w:rsidRPr="001E615C">
        <w:rPr>
          <w:lang w:val="fr-FR"/>
        </w:rPr>
        <w:t>Vilimsky</w:t>
      </w:r>
      <w:proofErr w:type="spellEnd"/>
      <w:r w:rsidRPr="001E615C">
        <w:rPr>
          <w:lang w:val="fr-FR"/>
        </w:rPr>
        <w:t xml:space="preserve">. </w:t>
      </w:r>
    </w:p>
    <w:sectPr w:rsidR="00E365E1" w:rsidRPr="001E615C" w:rsidSect="001E61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F0052" w14:textId="77777777" w:rsidR="003A6478" w:rsidRPr="001E615C" w:rsidRDefault="003A6478">
      <w:r w:rsidRPr="001E615C">
        <w:separator/>
      </w:r>
    </w:p>
  </w:endnote>
  <w:endnote w:type="continuationSeparator" w:id="0">
    <w:p w14:paraId="6140C746" w14:textId="77777777" w:rsidR="003A6478" w:rsidRPr="001E615C" w:rsidRDefault="003A6478">
      <w:r w:rsidRPr="001E61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8C278" w14:textId="77777777" w:rsidR="00064002" w:rsidRPr="001E61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196D9" w14:textId="77777777" w:rsidR="00064002" w:rsidRPr="001E61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54F62" w14:textId="77777777" w:rsidR="00064002" w:rsidRPr="001E61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E3229" w14:textId="77777777" w:rsidR="003A6478" w:rsidRPr="001E615C" w:rsidRDefault="003A6478">
      <w:r w:rsidRPr="001E615C">
        <w:separator/>
      </w:r>
    </w:p>
  </w:footnote>
  <w:footnote w:type="continuationSeparator" w:id="0">
    <w:p w14:paraId="25778905" w14:textId="77777777" w:rsidR="003A6478" w:rsidRPr="001E615C" w:rsidRDefault="003A6478">
      <w:r w:rsidRPr="001E615C">
        <w:continuationSeparator/>
      </w:r>
    </w:p>
  </w:footnote>
  <w:footnote w:id="1">
    <w:p w14:paraId="6816E79D" w14:textId="7FBF685E" w:rsidR="00542213" w:rsidRPr="001E615C" w:rsidRDefault="00542213" w:rsidP="001E615C">
      <w:pPr>
        <w:pStyle w:val="FootnoteText"/>
        <w:ind w:left="567" w:hanging="567"/>
        <w:rPr>
          <w:sz w:val="24"/>
        </w:rPr>
      </w:pPr>
      <w:r w:rsidRPr="001E615C">
        <w:rPr>
          <w:rStyle w:val="FootnoteReference"/>
          <w:sz w:val="24"/>
        </w:rPr>
        <w:footnoteRef/>
      </w:r>
      <w:r w:rsidR="001E615C" w:rsidRPr="001E615C">
        <w:rPr>
          <w:sz w:val="24"/>
        </w:rPr>
        <w:t xml:space="preserve"> </w:t>
      </w:r>
      <w:r w:rsidR="001E615C" w:rsidRPr="001E615C">
        <w:rPr>
          <w:sz w:val="24"/>
        </w:rPr>
        <w:tab/>
      </w:r>
      <w:r w:rsidRPr="001E615C">
        <w:rPr>
          <w:sz w:val="24"/>
        </w:rPr>
        <w:t xml:space="preserve">Arrêt de la Cour de justice du 21 octobre 2008, Marra/De Gregorio et </w:t>
      </w:r>
      <w:proofErr w:type="spellStart"/>
      <w:r w:rsidRPr="001E615C">
        <w:rPr>
          <w:sz w:val="24"/>
        </w:rPr>
        <w:t>Clemente</w:t>
      </w:r>
      <w:proofErr w:type="spellEnd"/>
      <w:r w:rsidRPr="001E615C">
        <w:rPr>
          <w:sz w:val="24"/>
        </w:rPr>
        <w:t xml:space="preserve">, C-200/07 et C–201/07, </w:t>
      </w:r>
      <w:proofErr w:type="gramStart"/>
      <w:r w:rsidRPr="001E615C">
        <w:rPr>
          <w:sz w:val="24"/>
        </w:rPr>
        <w:t>ECLI:</w:t>
      </w:r>
      <w:proofErr w:type="gramEnd"/>
      <w:r w:rsidRPr="001E615C">
        <w:rPr>
          <w:sz w:val="24"/>
        </w:rPr>
        <w:t xml:space="preserve">EU:C:2008:579; arrêt du Tribunal du 19 mars 2010, </w:t>
      </w:r>
      <w:proofErr w:type="spellStart"/>
      <w:r w:rsidRPr="001E615C">
        <w:rPr>
          <w:sz w:val="24"/>
        </w:rPr>
        <w:t>Gollnisch</w:t>
      </w:r>
      <w:proofErr w:type="spellEnd"/>
      <w:r w:rsidRPr="001E615C">
        <w:rPr>
          <w:sz w:val="24"/>
        </w:rPr>
        <w:t xml:space="preserve">/Parlement, T-42/06, ECLI:EU:T:2010:102; arrêt de la Cour de justice du 6 septembre 2011, </w:t>
      </w:r>
      <w:proofErr w:type="spellStart"/>
      <w:r w:rsidRPr="001E615C">
        <w:rPr>
          <w:sz w:val="24"/>
        </w:rPr>
        <w:t>Patriciello</w:t>
      </w:r>
      <w:proofErr w:type="spellEnd"/>
      <w:r w:rsidRPr="001E615C">
        <w:rPr>
          <w:sz w:val="24"/>
        </w:rPr>
        <w:t xml:space="preserve">, C-163/10, ECLI: EU:C:2011:543; arrêt du Tribunal du 17 janvier 2013, </w:t>
      </w:r>
      <w:proofErr w:type="spellStart"/>
      <w:r w:rsidRPr="001E615C">
        <w:rPr>
          <w:sz w:val="24"/>
        </w:rPr>
        <w:t>Gollnisch</w:t>
      </w:r>
      <w:proofErr w:type="spellEnd"/>
      <w:r w:rsidRPr="001E615C">
        <w:rPr>
          <w:sz w:val="24"/>
        </w:rPr>
        <w:t xml:space="preserve">/Parlement, T-346/11 et T-347/11, ECLI:EU:T:2013:23; arrêt de la Cour de justice du 19 décembre 2019, </w:t>
      </w:r>
      <w:proofErr w:type="spellStart"/>
      <w:r w:rsidRPr="001E615C">
        <w:rPr>
          <w:sz w:val="24"/>
        </w:rPr>
        <w:t>Junqueras</w:t>
      </w:r>
      <w:proofErr w:type="spellEnd"/>
      <w:r w:rsidRPr="001E615C">
        <w:rPr>
          <w:sz w:val="24"/>
        </w:rPr>
        <w:t xml:space="preserve"> Vies, C-502/19, ECLI:EU:C:2019:1115.</w:t>
      </w:r>
    </w:p>
  </w:footnote>
  <w:footnote w:id="2">
    <w:p w14:paraId="51C06F04" w14:textId="2B017A01" w:rsidR="00542213" w:rsidRPr="001E615C" w:rsidRDefault="00542213" w:rsidP="001E615C">
      <w:pPr>
        <w:pStyle w:val="FootnoteText"/>
        <w:ind w:left="567" w:hanging="567"/>
        <w:rPr>
          <w:sz w:val="24"/>
        </w:rPr>
      </w:pPr>
      <w:r w:rsidRPr="001E615C">
        <w:rPr>
          <w:rStyle w:val="FootnoteReference"/>
          <w:sz w:val="24"/>
        </w:rPr>
        <w:footnoteRef/>
      </w:r>
      <w:r w:rsidR="001E615C" w:rsidRPr="001E615C">
        <w:rPr>
          <w:sz w:val="24"/>
        </w:rPr>
        <w:t xml:space="preserve"> </w:t>
      </w:r>
      <w:r w:rsidR="001E615C" w:rsidRPr="001E615C">
        <w:rPr>
          <w:sz w:val="24"/>
        </w:rPr>
        <w:tab/>
      </w:r>
      <w:r w:rsidRPr="001E615C">
        <w:rPr>
          <w:sz w:val="24"/>
        </w:rPr>
        <w:t xml:space="preserve">Arrêt du Tribunal du 30 avril 2019, Briois/Parlement, T-214/18, </w:t>
      </w:r>
      <w:proofErr w:type="gramStart"/>
      <w:r w:rsidRPr="001E615C">
        <w:rPr>
          <w:sz w:val="24"/>
        </w:rPr>
        <w:t>ECLI:</w:t>
      </w:r>
      <w:proofErr w:type="gramEnd"/>
      <w:r w:rsidRPr="001E615C">
        <w:rPr>
          <w:sz w:val="24"/>
        </w:rPr>
        <w:t>EU:T:2019:266, point 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CCADF" w14:textId="77777777" w:rsidR="00064002" w:rsidRPr="001E61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9A68B" w14:textId="77777777" w:rsidR="00064002" w:rsidRPr="001E61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B95BE" w14:textId="77777777" w:rsidR="00064002" w:rsidRPr="001E61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5700059">
    <w:abstractNumId w:val="9"/>
  </w:num>
  <w:num w:numId="2" w16cid:durableId="1244946529">
    <w:abstractNumId w:val="9"/>
  </w:num>
  <w:num w:numId="3" w16cid:durableId="945187634">
    <w:abstractNumId w:val="7"/>
  </w:num>
  <w:num w:numId="4" w16cid:durableId="1389841722">
    <w:abstractNumId w:val="7"/>
  </w:num>
  <w:num w:numId="5" w16cid:durableId="151606598">
    <w:abstractNumId w:val="6"/>
  </w:num>
  <w:num w:numId="6" w16cid:durableId="803931683">
    <w:abstractNumId w:val="6"/>
  </w:num>
  <w:num w:numId="7" w16cid:durableId="994605207">
    <w:abstractNumId w:val="5"/>
  </w:num>
  <w:num w:numId="8" w16cid:durableId="339159182">
    <w:abstractNumId w:val="5"/>
  </w:num>
  <w:num w:numId="9" w16cid:durableId="661201476">
    <w:abstractNumId w:val="4"/>
  </w:num>
  <w:num w:numId="10" w16cid:durableId="14430415">
    <w:abstractNumId w:val="4"/>
  </w:num>
  <w:num w:numId="11" w16cid:durableId="1264722096">
    <w:abstractNumId w:val="8"/>
  </w:num>
  <w:num w:numId="12" w16cid:durableId="1205754157">
    <w:abstractNumId w:val="8"/>
  </w:num>
  <w:num w:numId="13" w16cid:durableId="230579391">
    <w:abstractNumId w:val="3"/>
  </w:num>
  <w:num w:numId="14" w16cid:durableId="403065912">
    <w:abstractNumId w:val="3"/>
  </w:num>
  <w:num w:numId="15" w16cid:durableId="1739473552">
    <w:abstractNumId w:val="2"/>
  </w:num>
  <w:num w:numId="16" w16cid:durableId="2048336123">
    <w:abstractNumId w:val="2"/>
  </w:num>
  <w:num w:numId="17" w16cid:durableId="1053313938">
    <w:abstractNumId w:val="1"/>
  </w:num>
  <w:num w:numId="18" w16cid:durableId="266624733">
    <w:abstractNumId w:val="1"/>
  </w:num>
  <w:num w:numId="19" w16cid:durableId="748388285">
    <w:abstractNumId w:val="0"/>
  </w:num>
  <w:num w:numId="20" w16cid:durableId="11693419">
    <w:abstractNumId w:val="0"/>
  </w:num>
  <w:num w:numId="21" w16cid:durableId="1205413368">
    <w:abstractNumId w:val="9"/>
  </w:num>
  <w:num w:numId="22" w16cid:durableId="1986083818">
    <w:abstractNumId w:val="7"/>
  </w:num>
  <w:num w:numId="23" w16cid:durableId="766774601">
    <w:abstractNumId w:val="6"/>
  </w:num>
  <w:num w:numId="24" w16cid:durableId="1271009616">
    <w:abstractNumId w:val="5"/>
  </w:num>
  <w:num w:numId="25" w16cid:durableId="463424818">
    <w:abstractNumId w:val="4"/>
  </w:num>
  <w:num w:numId="26" w16cid:durableId="843208380">
    <w:abstractNumId w:val="8"/>
  </w:num>
  <w:num w:numId="27" w16cid:durableId="1291014230">
    <w:abstractNumId w:val="3"/>
  </w:num>
  <w:num w:numId="28" w16cid:durableId="1376350806">
    <w:abstractNumId w:val="2"/>
  </w:num>
  <w:num w:numId="29" w16cid:durableId="1600604294">
    <w:abstractNumId w:val="1"/>
  </w:num>
  <w:num w:numId="30" w16cid:durableId="1123840105">
    <w:abstractNumId w:val="0"/>
  </w:num>
  <w:num w:numId="31" w16cid:durableId="542207834">
    <w:abstractNumId w:val="9"/>
  </w:num>
  <w:num w:numId="32" w16cid:durableId="790905813">
    <w:abstractNumId w:val="7"/>
  </w:num>
  <w:num w:numId="33" w16cid:durableId="1226797077">
    <w:abstractNumId w:val="6"/>
  </w:num>
  <w:num w:numId="34" w16cid:durableId="1289163285">
    <w:abstractNumId w:val="5"/>
  </w:num>
  <w:num w:numId="35" w16cid:durableId="1245840858">
    <w:abstractNumId w:val="4"/>
  </w:num>
  <w:num w:numId="36" w16cid:durableId="184052748">
    <w:abstractNumId w:val="8"/>
  </w:num>
  <w:num w:numId="37" w16cid:durableId="464009776">
    <w:abstractNumId w:val="3"/>
  </w:num>
  <w:num w:numId="38" w16cid:durableId="1747142733">
    <w:abstractNumId w:val="2"/>
  </w:num>
  <w:num w:numId="39" w16cid:durableId="1565067707">
    <w:abstractNumId w:val="1"/>
  </w:num>
  <w:num w:numId="40" w16cid:durableId="27686029">
    <w:abstractNumId w:val="0"/>
  </w:num>
  <w:num w:numId="41" w16cid:durableId="1644581062">
    <w:abstractNumId w:val="10"/>
  </w:num>
  <w:num w:numId="42" w16cid:durableId="73012256">
    <w:abstractNumId w:val="10"/>
  </w:num>
  <w:num w:numId="43" w16cid:durableId="144469613">
    <w:abstractNumId w:val="10"/>
  </w:num>
  <w:num w:numId="44" w16cid:durableId="2921733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5/2026"/>
    <w:docVar w:name="dvlangue" w:val="FR"/>
    <w:docVar w:name="dvnumam" w:val="0"/>
    <w:docVar w:name="dvpe" w:val="784.495"/>
    <w:docVar w:name="dvrapporteur" w:val="Rapporteur: "/>
    <w:docVar w:name="dvtitre" w:val="Décision du Parlement européen du ... 2026 sur la demande de levée de l’immunité d’Harald Vilimsky(2025/2158(IMM))"/>
  </w:docVars>
  <w:rsids>
    <w:rsidRoot w:val="003A6478"/>
    <w:rsid w:val="00002272"/>
    <w:rsid w:val="00064002"/>
    <w:rsid w:val="000677B9"/>
    <w:rsid w:val="000831BA"/>
    <w:rsid w:val="000A42CC"/>
    <w:rsid w:val="000E7DD9"/>
    <w:rsid w:val="0010095E"/>
    <w:rsid w:val="001129A3"/>
    <w:rsid w:val="00125B37"/>
    <w:rsid w:val="00187494"/>
    <w:rsid w:val="001E615C"/>
    <w:rsid w:val="001F32AE"/>
    <w:rsid w:val="002767FF"/>
    <w:rsid w:val="002B18FE"/>
    <w:rsid w:val="002B5493"/>
    <w:rsid w:val="00343214"/>
    <w:rsid w:val="00361C00"/>
    <w:rsid w:val="003925A7"/>
    <w:rsid w:val="00395FA1"/>
    <w:rsid w:val="003A6478"/>
    <w:rsid w:val="003E15D4"/>
    <w:rsid w:val="00411CCE"/>
    <w:rsid w:val="0041666E"/>
    <w:rsid w:val="00421060"/>
    <w:rsid w:val="00471C19"/>
    <w:rsid w:val="004867E3"/>
    <w:rsid w:val="00494A28"/>
    <w:rsid w:val="004B4BF8"/>
    <w:rsid w:val="004C0004"/>
    <w:rsid w:val="004C5D52"/>
    <w:rsid w:val="0050519A"/>
    <w:rsid w:val="005072A1"/>
    <w:rsid w:val="00514517"/>
    <w:rsid w:val="00542213"/>
    <w:rsid w:val="00545827"/>
    <w:rsid w:val="00560270"/>
    <w:rsid w:val="005C0A41"/>
    <w:rsid w:val="005C2568"/>
    <w:rsid w:val="005F1B17"/>
    <w:rsid w:val="006037C0"/>
    <w:rsid w:val="006371E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6B6"/>
    <w:rsid w:val="00817416"/>
    <w:rsid w:val="008249D4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5F0E"/>
    <w:rsid w:val="00A1687D"/>
    <w:rsid w:val="00A43E52"/>
    <w:rsid w:val="00A4678D"/>
    <w:rsid w:val="00A778C7"/>
    <w:rsid w:val="00A820A0"/>
    <w:rsid w:val="00AB441E"/>
    <w:rsid w:val="00AB6293"/>
    <w:rsid w:val="00AE0928"/>
    <w:rsid w:val="00AF3B82"/>
    <w:rsid w:val="00B12E95"/>
    <w:rsid w:val="00B22876"/>
    <w:rsid w:val="00B271CF"/>
    <w:rsid w:val="00B558F0"/>
    <w:rsid w:val="00B91823"/>
    <w:rsid w:val="00BD48FE"/>
    <w:rsid w:val="00BD7BD8"/>
    <w:rsid w:val="00BE6ADC"/>
    <w:rsid w:val="00C05BFE"/>
    <w:rsid w:val="00C23CD4"/>
    <w:rsid w:val="00C50D41"/>
    <w:rsid w:val="00C61C0C"/>
    <w:rsid w:val="00C941CB"/>
    <w:rsid w:val="00CC2357"/>
    <w:rsid w:val="00CF071A"/>
    <w:rsid w:val="00D058B8"/>
    <w:rsid w:val="00D56C11"/>
    <w:rsid w:val="00D67075"/>
    <w:rsid w:val="00D834A0"/>
    <w:rsid w:val="00D872DF"/>
    <w:rsid w:val="00D91E21"/>
    <w:rsid w:val="00DA7FCD"/>
    <w:rsid w:val="00E365E1"/>
    <w:rsid w:val="00E617A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6B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8E84B"/>
  <w15:chartTrackingRefBased/>
  <w15:docId w15:val="{C159A8C4-5B10-4418-8781-BC0F0E52D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42213"/>
    <w:pPr>
      <w:spacing w:after="240"/>
      <w:ind w:left="567" w:hanging="567"/>
    </w:pPr>
    <w:rPr>
      <w:lang w:val="en-GB"/>
    </w:rPr>
  </w:style>
  <w:style w:type="paragraph" w:customStyle="1" w:styleId="EPComma">
    <w:name w:val="EPComma"/>
    <w:basedOn w:val="Normal"/>
    <w:rsid w:val="00542213"/>
    <w:pPr>
      <w:spacing w:before="480" w:after="240"/>
    </w:pPr>
    <w:rPr>
      <w:lang w:val="en-GB"/>
    </w:rPr>
  </w:style>
  <w:style w:type="paragraph" w:styleId="Revision">
    <w:name w:val="Revision"/>
    <w:hidden/>
    <w:uiPriority w:val="99"/>
    <w:semiHidden/>
    <w:rsid w:val="001129A3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955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Start-EP-EF</dc:creator>
  <cp:keywords/>
  <cp:lastModifiedBy>Start-EP-EF</cp:lastModifiedBy>
  <cp:revision>2</cp:revision>
  <cp:lastPrinted>2004-11-19T15:42:00Z</cp:lastPrinted>
  <dcterms:created xsi:type="dcterms:W3CDTF">2026-05-19T10:27:00Z</dcterms:created>
  <dcterms:modified xsi:type="dcterms:W3CDTF">2026-05-19T10:27:00Z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A10-0125/2026</vt:lpwstr>
  </property>
  <property fmtid="{D5CDD505-2E9C-101B-9397-08002B2CF9AE}" pid="4" name="&lt;Type&gt;">
    <vt:lpwstr>RR</vt:lpwstr>
  </property>
</Properties>
</file>