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70A31" w14:paraId="75C046C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B624BF5" w14:textId="77777777" w:rsidR="00751A4A" w:rsidRPr="00370A31" w:rsidRDefault="00233A65" w:rsidP="0010095E">
            <w:pPr>
              <w:pStyle w:val="EPName"/>
            </w:pPr>
            <w:r w:rsidRPr="00370A31">
              <w:t>Parlamento europeo</w:t>
            </w:r>
          </w:p>
          <w:p w14:paraId="3508F130" w14:textId="77777777" w:rsidR="00751A4A" w:rsidRPr="00370A3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70A31">
              <w:t>2024</w:t>
            </w:r>
            <w:r w:rsidR="00817416" w:rsidRPr="00370A31">
              <w:t>-202</w:t>
            </w:r>
            <w:r w:rsidRPr="00370A31">
              <w:t>9</w:t>
            </w:r>
          </w:p>
        </w:tc>
        <w:tc>
          <w:tcPr>
            <w:tcW w:w="2268" w:type="dxa"/>
            <w:shd w:val="clear" w:color="auto" w:fill="auto"/>
          </w:tcPr>
          <w:p w14:paraId="33198997" w14:textId="77777777" w:rsidR="00751A4A" w:rsidRPr="00370A31" w:rsidRDefault="00187494" w:rsidP="0010095E">
            <w:pPr>
              <w:pStyle w:val="EPLogo"/>
            </w:pPr>
            <w:r w:rsidRPr="00370A31">
              <w:rPr>
                <w:noProof/>
                <w:lang w:eastAsia="ja-JP"/>
              </w:rPr>
              <w:drawing>
                <wp:inline distT="0" distB="0" distL="0" distR="0" wp14:anchorId="34B2BEF1" wp14:editId="4853F7F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C69750C" w14:textId="77777777" w:rsidR="00D058B8" w:rsidRPr="00370A31" w:rsidRDefault="00D058B8" w:rsidP="004C5D52">
      <w:pPr>
        <w:pStyle w:val="LineTop"/>
      </w:pPr>
    </w:p>
    <w:p w14:paraId="24BC4552" w14:textId="77777777" w:rsidR="00680577" w:rsidRPr="00370A31" w:rsidRDefault="00233A65" w:rsidP="00680577">
      <w:pPr>
        <w:pStyle w:val="EPBodyTA1"/>
      </w:pPr>
      <w:r w:rsidRPr="00370A31">
        <w:t>TESTI APPROVATI</w:t>
      </w:r>
    </w:p>
    <w:p w14:paraId="65BC2D48" w14:textId="77777777" w:rsidR="00D058B8" w:rsidRPr="00370A31" w:rsidRDefault="00D058B8" w:rsidP="00D058B8">
      <w:pPr>
        <w:pStyle w:val="LineBottom"/>
      </w:pPr>
    </w:p>
    <w:p w14:paraId="7F2222D5" w14:textId="63912FA6" w:rsidR="00233A65" w:rsidRPr="00370A31" w:rsidRDefault="00233A65" w:rsidP="00233A65">
      <w:pPr>
        <w:pStyle w:val="ATHeading1"/>
      </w:pPr>
      <w:bookmarkStart w:id="0" w:name="TANumber"/>
      <w:r w:rsidRPr="00370A31">
        <w:t>P10_TA(2026)0</w:t>
      </w:r>
      <w:bookmarkEnd w:id="0"/>
      <w:r w:rsidR="00FC7B02">
        <w:t>164</w:t>
      </w:r>
    </w:p>
    <w:p w14:paraId="5B9F32FF" w14:textId="77777777" w:rsidR="00233A65" w:rsidRPr="00370A31" w:rsidRDefault="00233A65" w:rsidP="00233A65">
      <w:pPr>
        <w:pStyle w:val="ATHeading2"/>
      </w:pPr>
      <w:bookmarkStart w:id="1" w:name="title"/>
      <w:r w:rsidRPr="00370A31">
        <w:t xml:space="preserve">Richiesta di revoca dell'immunità di Harald </w:t>
      </w:r>
      <w:proofErr w:type="spellStart"/>
      <w:r w:rsidRPr="00370A31">
        <w:t>Vilimsky</w:t>
      </w:r>
      <w:bookmarkEnd w:id="1"/>
      <w:proofErr w:type="spellEnd"/>
    </w:p>
    <w:p w14:paraId="057456F4" w14:textId="77777777" w:rsidR="00233A65" w:rsidRPr="00370A31" w:rsidRDefault="00233A65" w:rsidP="00233A65">
      <w:pPr>
        <w:rPr>
          <w:i/>
          <w:vanish/>
        </w:rPr>
      </w:pPr>
      <w:r w:rsidRPr="00370A31">
        <w:rPr>
          <w:i/>
        </w:rPr>
        <w:fldChar w:fldCharType="begin"/>
      </w:r>
      <w:r w:rsidRPr="00370A31">
        <w:rPr>
          <w:i/>
        </w:rPr>
        <w:instrText xml:space="preserve"> TC"(</w:instrText>
      </w:r>
      <w:bookmarkStart w:id="2" w:name="DocNumber"/>
      <w:r w:rsidRPr="00370A31">
        <w:rPr>
          <w:i/>
        </w:rPr>
        <w:instrText>A10-0125/2026</w:instrText>
      </w:r>
      <w:bookmarkEnd w:id="2"/>
      <w:r w:rsidRPr="00370A31">
        <w:rPr>
          <w:i/>
        </w:rPr>
        <w:instrText xml:space="preserve"> - Relatore: David </w:instrText>
      </w:r>
      <w:proofErr w:type="spellStart"/>
      <w:r w:rsidRPr="00370A31">
        <w:rPr>
          <w:i/>
        </w:rPr>
        <w:instrText>Cormand</w:instrText>
      </w:r>
      <w:proofErr w:type="spellEnd"/>
      <w:r w:rsidRPr="00370A31">
        <w:rPr>
          <w:i/>
        </w:rPr>
        <w:instrText xml:space="preserve">)"\l3 \n&gt; \* MERGEFORMAT </w:instrText>
      </w:r>
      <w:r w:rsidRPr="00370A31">
        <w:rPr>
          <w:i/>
        </w:rPr>
        <w:fldChar w:fldCharType="end"/>
      </w:r>
    </w:p>
    <w:p w14:paraId="5B387AD9" w14:textId="77777777" w:rsidR="00233A65" w:rsidRPr="00370A31" w:rsidRDefault="00233A65" w:rsidP="00233A65">
      <w:pPr>
        <w:rPr>
          <w:vanish/>
        </w:rPr>
      </w:pPr>
      <w:bookmarkStart w:id="3" w:name="Commission"/>
      <w:r w:rsidRPr="00370A31">
        <w:rPr>
          <w:vanish/>
        </w:rPr>
        <w:t>Commissione giuridica</w:t>
      </w:r>
      <w:bookmarkEnd w:id="3"/>
    </w:p>
    <w:p w14:paraId="20CDB71E" w14:textId="77777777" w:rsidR="00233A65" w:rsidRPr="00370A31" w:rsidRDefault="00233A65" w:rsidP="00233A65">
      <w:pPr>
        <w:rPr>
          <w:vanish/>
        </w:rPr>
      </w:pPr>
      <w:bookmarkStart w:id="4" w:name="PE"/>
      <w:r w:rsidRPr="00370A31">
        <w:rPr>
          <w:vanish/>
        </w:rPr>
        <w:t>PE784.495</w:t>
      </w:r>
      <w:bookmarkEnd w:id="4"/>
    </w:p>
    <w:p w14:paraId="2ABED285" w14:textId="1C0FC4EB" w:rsidR="00233A65" w:rsidRPr="00370A31" w:rsidRDefault="00233A65" w:rsidP="00B25B5D">
      <w:pPr>
        <w:pStyle w:val="ATHeading3"/>
      </w:pPr>
      <w:bookmarkStart w:id="5" w:name="Sujet"/>
      <w:r w:rsidRPr="00370A31">
        <w:t xml:space="preserve">Decisione del Parlamento europeo del </w:t>
      </w:r>
      <w:r w:rsidR="00F26C66" w:rsidRPr="00370A31">
        <w:t xml:space="preserve">19 </w:t>
      </w:r>
      <w:r w:rsidRPr="00370A31">
        <w:t xml:space="preserve">maggio 2026 sulla richiesta di revoca dell'immunità di Harald </w:t>
      </w:r>
      <w:proofErr w:type="spellStart"/>
      <w:r w:rsidRPr="00370A31">
        <w:t>Vilimsky</w:t>
      </w:r>
      <w:bookmarkEnd w:id="5"/>
      <w:proofErr w:type="spellEnd"/>
      <w:r w:rsidRPr="00370A31">
        <w:t xml:space="preserve"> </w:t>
      </w:r>
      <w:bookmarkStart w:id="6" w:name="References"/>
      <w:r w:rsidRPr="00370A31">
        <w:t>(2025/2158(IMM))</w:t>
      </w:r>
      <w:bookmarkEnd w:id="6"/>
    </w:p>
    <w:p w14:paraId="24968D31" w14:textId="77777777" w:rsidR="009B446A" w:rsidRPr="00370A31" w:rsidRDefault="009B446A" w:rsidP="009B446A">
      <w:pPr>
        <w:pStyle w:val="EPComma"/>
      </w:pPr>
      <w:bookmarkStart w:id="7" w:name="TextBodyBegin"/>
      <w:bookmarkEnd w:id="7"/>
      <w:r w:rsidRPr="00370A31">
        <w:rPr>
          <w:i/>
        </w:rPr>
        <w:t>Il Parlamento europeo</w:t>
      </w:r>
      <w:r w:rsidRPr="00370A31">
        <w:t>,</w:t>
      </w:r>
    </w:p>
    <w:p w14:paraId="3EB35E0D" w14:textId="590C1FB1" w:rsidR="009B446A" w:rsidRPr="00370A31" w:rsidRDefault="009B446A" w:rsidP="009B446A">
      <w:pPr>
        <w:pStyle w:val="NormalHanging12a"/>
      </w:pPr>
      <w:r w:rsidRPr="00370A31">
        <w:t>–</w:t>
      </w:r>
      <w:r w:rsidRPr="00370A31">
        <w:tab/>
        <w:t xml:space="preserve">vista la richiesta di revoca dell'immunità di Harald </w:t>
      </w:r>
      <w:proofErr w:type="spellStart"/>
      <w:r w:rsidRPr="00370A31">
        <w:t>Vilimsky</w:t>
      </w:r>
      <w:proofErr w:type="spellEnd"/>
      <w:r w:rsidRPr="00370A31">
        <w:t xml:space="preserve">, </w:t>
      </w:r>
      <w:r w:rsidR="009E3C69" w:rsidRPr="00370A31">
        <w:t xml:space="preserve">ricevuta </w:t>
      </w:r>
      <w:r w:rsidRPr="00370A31">
        <w:t>con lettera in data 1° luglio 2025 d</w:t>
      </w:r>
      <w:r w:rsidR="005E7D2F" w:rsidRPr="00370A31">
        <w:t>e</w:t>
      </w:r>
      <w:r w:rsidRPr="00370A31">
        <w:t>lla rappresentanza permanente dell'Austria presso l'Unione europea</w:t>
      </w:r>
      <w:r w:rsidR="009E3C69" w:rsidRPr="00370A31">
        <w:t>,</w:t>
      </w:r>
      <w:r w:rsidRPr="00370A31">
        <w:t xml:space="preserve"> recante una richiesta presentata dalla Procura di Vienna</w:t>
      </w:r>
      <w:r w:rsidR="00F26C66" w:rsidRPr="00370A31">
        <w:t>,</w:t>
      </w:r>
      <w:r w:rsidRPr="00370A31">
        <w:t xml:space="preserve"> </w:t>
      </w:r>
      <w:r w:rsidR="00F26C66" w:rsidRPr="00370A31">
        <w:t xml:space="preserve">nel quadro di un </w:t>
      </w:r>
      <w:r w:rsidRPr="00370A31">
        <w:t xml:space="preserve">procedimento penale da avviare a carico di Harald </w:t>
      </w:r>
      <w:proofErr w:type="spellStart"/>
      <w:r w:rsidRPr="00370A31">
        <w:t>Vilimsky</w:t>
      </w:r>
      <w:proofErr w:type="spellEnd"/>
      <w:r w:rsidRPr="00370A31">
        <w:t>, e comunicata in Aula il 9 luglio 2025,</w:t>
      </w:r>
    </w:p>
    <w:p w14:paraId="022BFCFB" w14:textId="77777777" w:rsidR="009B446A" w:rsidRPr="00370A31" w:rsidRDefault="009B446A" w:rsidP="009B446A">
      <w:pPr>
        <w:pStyle w:val="NormalHanging12a"/>
      </w:pPr>
      <w:r w:rsidRPr="00370A31">
        <w:t>–</w:t>
      </w:r>
      <w:r w:rsidRPr="00370A31">
        <w:tab/>
        <w:t xml:space="preserve">avendo ascoltato Harald </w:t>
      </w:r>
      <w:proofErr w:type="spellStart"/>
      <w:r w:rsidRPr="00370A31">
        <w:t>Vilimsky</w:t>
      </w:r>
      <w:proofErr w:type="spellEnd"/>
      <w:r w:rsidRPr="00370A31">
        <w:t xml:space="preserve"> il 15 aprile 2026 a norma dell'articolo 9, paragrafo 6, del suo regolamento,</w:t>
      </w:r>
    </w:p>
    <w:p w14:paraId="6C94DE01" w14:textId="77777777" w:rsidR="009B446A" w:rsidRPr="00370A31" w:rsidRDefault="009B446A" w:rsidP="009B446A">
      <w:pPr>
        <w:pStyle w:val="NormalHanging12a"/>
      </w:pPr>
      <w:r w:rsidRPr="00370A31">
        <w:t>–</w:t>
      </w:r>
      <w:r w:rsidRPr="00370A31">
        <w:tab/>
        <w:t>visti gli articoli 8 e 9 del protocollo n. 7 sui privilegi e sulle immunità dell'Unione europea e l'articolo 6, paragrafo 2, dell'atto relativo all'elezione dei membri del Parlamento europeo a suffragio universale diretto, del 20 settembre 1976,</w:t>
      </w:r>
    </w:p>
    <w:p w14:paraId="2615CEBE" w14:textId="77777777" w:rsidR="009B446A" w:rsidRPr="00370A31" w:rsidRDefault="009B446A" w:rsidP="009B446A">
      <w:pPr>
        <w:pStyle w:val="NormalHanging12a"/>
      </w:pPr>
      <w:r w:rsidRPr="00370A31">
        <w:t>–</w:t>
      </w:r>
      <w:r w:rsidRPr="00370A31">
        <w:tab/>
        <w:t>viste le sentenze pronunciate dalla Corte di giustizia dell'Unione europea il 21 ottobre 2008, 19 marzo 2010, 6 settembre 2011, 17 gennaio 2013 e 19 dicembre 2019</w:t>
      </w:r>
      <w:r w:rsidRPr="00370A31">
        <w:rPr>
          <w:vertAlign w:val="superscript"/>
        </w:rPr>
        <w:footnoteReference w:id="1"/>
      </w:r>
      <w:r w:rsidRPr="00370A31">
        <w:t>,</w:t>
      </w:r>
    </w:p>
    <w:p w14:paraId="2DA91BAD" w14:textId="77777777" w:rsidR="009B446A" w:rsidRPr="00370A31" w:rsidRDefault="009B446A" w:rsidP="009B446A">
      <w:pPr>
        <w:pStyle w:val="NormalHanging12a"/>
      </w:pPr>
      <w:r w:rsidRPr="00370A31">
        <w:t>–</w:t>
      </w:r>
      <w:r w:rsidRPr="00370A31">
        <w:tab/>
        <w:t>visti l'articolo 5, paragrafo 2, l'articolo 6, paragrafo 1, e l'articolo 9 del suo regolamento,</w:t>
      </w:r>
    </w:p>
    <w:p w14:paraId="4B978EB8" w14:textId="77777777" w:rsidR="009B446A" w:rsidRPr="00370A31" w:rsidRDefault="009B446A" w:rsidP="009B446A">
      <w:pPr>
        <w:pStyle w:val="NormalHanging12a"/>
      </w:pPr>
      <w:r w:rsidRPr="00370A31">
        <w:t>–</w:t>
      </w:r>
      <w:r w:rsidRPr="00370A31">
        <w:tab/>
        <w:t>vista la relazione della commissione giuridica (A10</w:t>
      </w:r>
      <w:r w:rsidRPr="00370A31">
        <w:noBreakHyphen/>
        <w:t>0125/2026),</w:t>
      </w:r>
    </w:p>
    <w:p w14:paraId="104AFEA4" w14:textId="4AE897C8" w:rsidR="009B446A" w:rsidRPr="00370A31" w:rsidRDefault="009B446A" w:rsidP="009B446A">
      <w:pPr>
        <w:pStyle w:val="NormalHanging12a"/>
      </w:pPr>
      <w:r w:rsidRPr="00370A31">
        <w:t>A.</w:t>
      </w:r>
      <w:r w:rsidRPr="00370A31">
        <w:tab/>
        <w:t xml:space="preserve">considerando che la rappresentanza permanente dell'Austria presso l'Unione europea ha trasmesso </w:t>
      </w:r>
      <w:r w:rsidR="009E3C69" w:rsidRPr="00370A31">
        <w:t xml:space="preserve">una </w:t>
      </w:r>
      <w:r w:rsidRPr="00370A31">
        <w:t xml:space="preserve">richiesta della Procura di Vienna di revoca dell'immunità di Harald </w:t>
      </w:r>
      <w:proofErr w:type="spellStart"/>
      <w:r w:rsidRPr="00370A31">
        <w:lastRenderedPageBreak/>
        <w:t>Vilimsky</w:t>
      </w:r>
      <w:proofErr w:type="spellEnd"/>
      <w:r w:rsidRPr="00370A31">
        <w:t>, deputato al Parlamento europeo</w:t>
      </w:r>
      <w:r w:rsidR="009E3C69" w:rsidRPr="00370A31">
        <w:t xml:space="preserve"> eletto in Austria</w:t>
      </w:r>
      <w:r w:rsidRPr="00370A31">
        <w:t xml:space="preserve">, </w:t>
      </w:r>
      <w:r w:rsidR="00936CF4" w:rsidRPr="00370A31">
        <w:t xml:space="preserve">in relazione a </w:t>
      </w:r>
      <w:r w:rsidRPr="00370A31">
        <w:t xml:space="preserve">presunti atti di </w:t>
      </w:r>
      <w:r w:rsidR="006A74A5" w:rsidRPr="00370A31">
        <w:t>malversazione</w:t>
      </w:r>
      <w:r w:rsidRPr="00370A31">
        <w:t>, che costituiscono reat</w:t>
      </w:r>
      <w:r w:rsidR="009E3C69" w:rsidRPr="00370A31">
        <w:t>o</w:t>
      </w:r>
      <w:r w:rsidRPr="00370A31">
        <w:t xml:space="preserve"> a norma dell'articolo 153, paragrafi 1 e 3, del </w:t>
      </w:r>
      <w:proofErr w:type="gramStart"/>
      <w:r w:rsidRPr="00370A31">
        <w:t>codice penale</w:t>
      </w:r>
      <w:proofErr w:type="gramEnd"/>
      <w:r w:rsidRPr="00370A31">
        <w:t xml:space="preserve"> austriaco, </w:t>
      </w:r>
      <w:r w:rsidR="0031432A" w:rsidRPr="00370A31">
        <w:t>sulla base</w:t>
      </w:r>
      <w:r w:rsidRPr="00370A31">
        <w:t xml:space="preserve"> </w:t>
      </w:r>
      <w:r w:rsidR="0031432A" w:rsidRPr="00370A31">
        <w:t>del</w:t>
      </w:r>
      <w:r w:rsidRPr="00370A31">
        <w:t xml:space="preserve"> su</w:t>
      </w:r>
      <w:r w:rsidR="0031432A" w:rsidRPr="00370A31">
        <w:t>o</w:t>
      </w:r>
      <w:r w:rsidRPr="00370A31">
        <w:t xml:space="preserve"> presunt</w:t>
      </w:r>
      <w:r w:rsidR="0031432A" w:rsidRPr="00370A31">
        <w:t>o</w:t>
      </w:r>
      <w:r w:rsidRPr="00370A31">
        <w:t xml:space="preserve"> </w:t>
      </w:r>
      <w:r w:rsidR="0031432A" w:rsidRPr="00370A31">
        <w:t>concorso nel</w:t>
      </w:r>
      <w:r w:rsidRPr="00370A31">
        <w:t xml:space="preserve"> reato </w:t>
      </w:r>
      <w:r w:rsidR="009E3C69" w:rsidRPr="00370A31">
        <w:t>ai sensi</w:t>
      </w:r>
      <w:r w:rsidRPr="00370A31">
        <w:t xml:space="preserve"> dell'articolo 12 </w:t>
      </w:r>
      <w:r w:rsidR="009E3C69" w:rsidRPr="00370A31">
        <w:t xml:space="preserve">di tale </w:t>
      </w:r>
      <w:r w:rsidRPr="00370A31">
        <w:t>codice;</w:t>
      </w:r>
    </w:p>
    <w:p w14:paraId="28178C3B" w14:textId="6E2C8726" w:rsidR="009B446A" w:rsidRPr="00370A31" w:rsidRDefault="009B446A" w:rsidP="009B446A">
      <w:pPr>
        <w:pStyle w:val="NormalHanging12a"/>
      </w:pPr>
      <w:r w:rsidRPr="00370A31">
        <w:t>B.</w:t>
      </w:r>
      <w:r w:rsidRPr="00370A31">
        <w:tab/>
        <w:t xml:space="preserve">considerando che, </w:t>
      </w:r>
      <w:r w:rsidR="0031432A" w:rsidRPr="00370A31">
        <w:t>secondo la</w:t>
      </w:r>
      <w:r w:rsidRPr="00370A31">
        <w:t xml:space="preserve"> richiesta, </w:t>
      </w:r>
      <w:r w:rsidR="0031432A" w:rsidRPr="00370A31">
        <w:t>a seguito</w:t>
      </w:r>
      <w:r w:rsidRPr="00370A31">
        <w:t xml:space="preserve"> delle precedenti richieste presentate dalla Procura di Vienna nel 2021 ai fini della revoca dell'immunità di Harald </w:t>
      </w:r>
      <w:proofErr w:type="spellStart"/>
      <w:r w:rsidRPr="00370A31">
        <w:t>Vilimsky</w:t>
      </w:r>
      <w:proofErr w:type="spellEnd"/>
      <w:r w:rsidRPr="00370A31">
        <w:t xml:space="preserve">, nonché della decisione del Parlamento europeo dell'11 novembre 2021 di revocare la sua immunità, e in considerazione dell'emergere di nuovi fatti, è opportuno chiedere la revoca dell'immunità di Harald </w:t>
      </w:r>
      <w:proofErr w:type="spellStart"/>
      <w:r w:rsidRPr="00370A31">
        <w:t>Vilimsky</w:t>
      </w:r>
      <w:proofErr w:type="spellEnd"/>
      <w:r w:rsidRPr="00370A31">
        <w:t xml:space="preserve"> anche sulla base di tali nuovi </w:t>
      </w:r>
      <w:r w:rsidR="0031432A" w:rsidRPr="00370A31">
        <w:t>prove</w:t>
      </w:r>
      <w:r w:rsidRPr="00370A31">
        <w:t xml:space="preserve">; che, secondo quanto emerge dalle indagini, Harald </w:t>
      </w:r>
      <w:proofErr w:type="spellStart"/>
      <w:r w:rsidRPr="00370A31">
        <w:t>Vilimsky</w:t>
      </w:r>
      <w:proofErr w:type="spellEnd"/>
      <w:r w:rsidRPr="00370A31">
        <w:t xml:space="preserve"> è sospettato di aver abusato dei suoi poteri utilizzando fondi del partito politico FPÖ (</w:t>
      </w:r>
      <w:proofErr w:type="spellStart"/>
      <w:r w:rsidRPr="00370A31">
        <w:t>Freiheitliche</w:t>
      </w:r>
      <w:proofErr w:type="spellEnd"/>
      <w:r w:rsidRPr="00370A31">
        <w:t xml:space="preserve"> </w:t>
      </w:r>
      <w:proofErr w:type="spellStart"/>
      <w:r w:rsidRPr="00370A31">
        <w:t>Partei</w:t>
      </w:r>
      <w:proofErr w:type="spellEnd"/>
      <w:r w:rsidRPr="00370A31">
        <w:t xml:space="preserve"> </w:t>
      </w:r>
      <w:proofErr w:type="spellStart"/>
      <w:r w:rsidRPr="00370A31">
        <w:t>Österreichs</w:t>
      </w:r>
      <w:proofErr w:type="spellEnd"/>
      <w:r w:rsidRPr="00370A31">
        <w:t xml:space="preserve"> – Die </w:t>
      </w:r>
      <w:proofErr w:type="spellStart"/>
      <w:r w:rsidRPr="00370A31">
        <w:t>Freiheitlichen</w:t>
      </w:r>
      <w:proofErr w:type="spellEnd"/>
      <w:r w:rsidRPr="00370A31">
        <w:t xml:space="preserve">) per scopi estranei alle attività dello stesso in date del 2013 non ancora determinate con precisione, in particolare autorizzando pagamenti di natura privata e non collegati alle attività del partito relativi all'installazione di una porta e di una serratura presso </w:t>
      </w:r>
      <w:r w:rsidR="00732262" w:rsidRPr="00370A31">
        <w:t xml:space="preserve">il suo </w:t>
      </w:r>
      <w:r w:rsidRPr="00370A31">
        <w:t>indirizzo privato, arrecando un danno totale di 9 434 EUR al patrimonio dell'FPÖ;</w:t>
      </w:r>
    </w:p>
    <w:p w14:paraId="2A6B852F" w14:textId="3CD971A5" w:rsidR="009B446A" w:rsidRPr="00370A31" w:rsidRDefault="009B446A" w:rsidP="009B446A">
      <w:pPr>
        <w:pStyle w:val="NormalHanging12a"/>
      </w:pPr>
      <w:r w:rsidRPr="00370A31">
        <w:t>C.</w:t>
      </w:r>
      <w:r w:rsidRPr="00370A31">
        <w:tab/>
        <w:t>considerando che Harald </w:t>
      </w:r>
      <w:proofErr w:type="spellStart"/>
      <w:r w:rsidRPr="00370A31">
        <w:t>Vilimsky</w:t>
      </w:r>
      <w:proofErr w:type="spellEnd"/>
      <w:r w:rsidRPr="00370A31">
        <w:t xml:space="preserve"> è stato eletto al Parlamento europeo </w:t>
      </w:r>
      <w:r w:rsidR="00732262" w:rsidRPr="00370A31">
        <w:t>alle</w:t>
      </w:r>
      <w:r w:rsidRPr="00370A31">
        <w:t xml:space="preserve"> elezioni europee del maggio 2019 ed è stato rieletto nel giugno 2024, e che</w:t>
      </w:r>
      <w:r w:rsidR="00732262" w:rsidRPr="00370A31">
        <w:t>, pertanto,</w:t>
      </w:r>
      <w:r w:rsidRPr="00370A31">
        <w:t xml:space="preserve"> </w:t>
      </w:r>
      <w:r w:rsidR="00732262" w:rsidRPr="00370A31">
        <w:t xml:space="preserve">non era deputato al Parlamento europeo </w:t>
      </w:r>
      <w:r w:rsidRPr="00370A31">
        <w:t>al</w:t>
      </w:r>
      <w:r w:rsidR="00732262" w:rsidRPr="00370A31">
        <w:t xml:space="preserve">l’epoca </w:t>
      </w:r>
      <w:r w:rsidRPr="00370A31">
        <w:t xml:space="preserve">dei presunti reati; </w:t>
      </w:r>
    </w:p>
    <w:p w14:paraId="79E11611" w14:textId="2677109C" w:rsidR="009B446A" w:rsidRPr="00370A31" w:rsidRDefault="009B446A" w:rsidP="009B446A">
      <w:pPr>
        <w:pStyle w:val="NormalHanging12a"/>
      </w:pPr>
      <w:r w:rsidRPr="00370A31">
        <w:t>D.</w:t>
      </w:r>
      <w:r w:rsidRPr="00370A31">
        <w:tab/>
        <w:t xml:space="preserve">considerando che il presunto reato e la successiva richiesta di revoca dell'immunità non si riferiscono </w:t>
      </w:r>
      <w:r w:rsidR="00962670" w:rsidRPr="00370A31">
        <w:t xml:space="preserve">a </w:t>
      </w:r>
      <w:r w:rsidRPr="00370A31">
        <w:t xml:space="preserve">opinioni o </w:t>
      </w:r>
      <w:r w:rsidR="00E86871" w:rsidRPr="00370A31">
        <w:t xml:space="preserve">a </w:t>
      </w:r>
      <w:r w:rsidRPr="00370A31">
        <w:t>voti espressi da Harald </w:t>
      </w:r>
      <w:proofErr w:type="spellStart"/>
      <w:r w:rsidRPr="00370A31">
        <w:t>Vilimsky</w:t>
      </w:r>
      <w:proofErr w:type="spellEnd"/>
      <w:r w:rsidRPr="00370A31">
        <w:t xml:space="preserve"> nell'esercizio delle sue funzioni ai sensi dell'articolo 8 del protocollo n. 7 sui privilegi e sulle immunità dell'Unione europea;</w:t>
      </w:r>
    </w:p>
    <w:p w14:paraId="4B187AA5" w14:textId="40C5026B" w:rsidR="009B446A" w:rsidRPr="00370A31" w:rsidRDefault="009B446A" w:rsidP="009B446A">
      <w:pPr>
        <w:pStyle w:val="NormalHanging12a"/>
      </w:pPr>
      <w:r w:rsidRPr="00370A31">
        <w:t>E.</w:t>
      </w:r>
      <w:r w:rsidRPr="00370A31">
        <w:tab/>
        <w:t xml:space="preserve">considerando che l'articolo 9, primo comma, lettera a), del protocollo n. 7 sui privilegi e sulle immunità dell'Unione europea stabilisce che, per la durata delle sessioni del Parlamento europeo, i membri di esso beneficiano, sul territorio nazionale, delle immunità riconosciute ai membri del parlamento del loro </w:t>
      </w:r>
      <w:r w:rsidR="00732262" w:rsidRPr="00370A31">
        <w:t>Stato membro</w:t>
      </w:r>
      <w:r w:rsidRPr="00370A31">
        <w:t>;</w:t>
      </w:r>
    </w:p>
    <w:p w14:paraId="0525D826" w14:textId="6464AA76" w:rsidR="009B446A" w:rsidRPr="00370A31" w:rsidRDefault="009B446A" w:rsidP="009B446A">
      <w:pPr>
        <w:pStyle w:val="NormalHanging12a"/>
      </w:pPr>
      <w:r w:rsidRPr="00370A31">
        <w:t>F.</w:t>
      </w:r>
      <w:r w:rsidRPr="00370A31">
        <w:tab/>
        <w:t>considerando che l'articolo 57</w:t>
      </w:r>
      <w:r w:rsidR="00732262" w:rsidRPr="00370A31">
        <w:t xml:space="preserve">, paragrafi 2 e 3 </w:t>
      </w:r>
      <w:r w:rsidRPr="00370A31">
        <w:t xml:space="preserve">della Costituzione austriaca </w:t>
      </w:r>
      <w:r w:rsidR="00962670" w:rsidRPr="00370A31">
        <w:t>stabilisce che</w:t>
      </w:r>
      <w:r w:rsidRPr="00370A31">
        <w:t>:</w:t>
      </w:r>
    </w:p>
    <w:p w14:paraId="17E1D2DE" w14:textId="17F3A9D0" w:rsidR="009B446A" w:rsidRPr="00370A31" w:rsidRDefault="009B446A" w:rsidP="00370A31">
      <w:pPr>
        <w:pStyle w:val="NormalHanging12a"/>
        <w:ind w:left="1134"/>
        <w:rPr>
          <w:i/>
          <w:iCs/>
        </w:rPr>
      </w:pPr>
      <w:r w:rsidRPr="00370A31">
        <w:t>"</w:t>
      </w:r>
      <w:r w:rsidRPr="00370A31">
        <w:rPr>
          <w:i/>
          <w:iCs/>
        </w:rPr>
        <w:t>2.</w:t>
      </w:r>
      <w:r w:rsidRPr="00370A31">
        <w:rPr>
          <w:i/>
          <w:iCs/>
        </w:rPr>
        <w:tab/>
        <w:t xml:space="preserve">I membri del Consiglio nazionale possono essere arrestati per un illecito penale solo previa autorizzazione del Consiglio nazionale, salvo nel caso di arresto in flagranza di reato. </w:t>
      </w:r>
      <w:r w:rsidR="00AA1DBF" w:rsidRPr="00370A31">
        <w:rPr>
          <w:i/>
          <w:iCs/>
        </w:rPr>
        <w:t>Analogamente, le perquisizioni nel</w:t>
      </w:r>
      <w:r w:rsidR="004B34EA" w:rsidRPr="00370A31">
        <w:rPr>
          <w:i/>
          <w:iCs/>
        </w:rPr>
        <w:t>le abitazioni</w:t>
      </w:r>
      <w:r w:rsidR="00AA1DBF" w:rsidRPr="00370A31">
        <w:rPr>
          <w:i/>
          <w:iCs/>
        </w:rPr>
        <w:t xml:space="preserve"> dei membri del Consiglio nazionale necessitano l'approvazione del Consiglio nazionale</w:t>
      </w:r>
      <w:r w:rsidRPr="00370A31">
        <w:rPr>
          <w:i/>
          <w:iCs/>
        </w:rPr>
        <w:t>.</w:t>
      </w:r>
    </w:p>
    <w:p w14:paraId="4D6356CE" w14:textId="5414B1EE" w:rsidR="009B446A" w:rsidRPr="00370A31" w:rsidRDefault="009B446A" w:rsidP="00370A31">
      <w:pPr>
        <w:pStyle w:val="NormalHanging12a"/>
        <w:ind w:left="1134"/>
      </w:pPr>
      <w:r w:rsidRPr="00370A31">
        <w:rPr>
          <w:i/>
          <w:iCs/>
        </w:rPr>
        <w:t>3.</w:t>
      </w:r>
      <w:r w:rsidRPr="00370A31">
        <w:rPr>
          <w:i/>
          <w:iCs/>
        </w:rPr>
        <w:tab/>
        <w:t xml:space="preserve">Negli altri casi, i membri del Consiglio nazionale possono essere perseguiti per </w:t>
      </w:r>
      <w:r w:rsidR="00E40E80" w:rsidRPr="00370A31">
        <w:rPr>
          <w:i/>
          <w:iCs/>
        </w:rPr>
        <w:t xml:space="preserve">un </w:t>
      </w:r>
      <w:r w:rsidRPr="00370A31">
        <w:rPr>
          <w:i/>
          <w:iCs/>
        </w:rPr>
        <w:t xml:space="preserve">illecito penale senza l'autorizzazione del Consiglio nazionale solo se tale fatto non </w:t>
      </w:r>
      <w:r w:rsidR="00E40E80" w:rsidRPr="00370A31">
        <w:rPr>
          <w:i/>
          <w:iCs/>
        </w:rPr>
        <w:t xml:space="preserve">presenti </w:t>
      </w:r>
      <w:r w:rsidRPr="00370A31">
        <w:rPr>
          <w:i/>
          <w:iCs/>
        </w:rPr>
        <w:t xml:space="preserve">manifestamente </w:t>
      </w:r>
      <w:r w:rsidR="00E40E80" w:rsidRPr="00370A31">
        <w:rPr>
          <w:i/>
          <w:iCs/>
        </w:rPr>
        <w:t xml:space="preserve">alcun nesso </w:t>
      </w:r>
      <w:r w:rsidRPr="00370A31">
        <w:rPr>
          <w:i/>
          <w:iCs/>
        </w:rPr>
        <w:t xml:space="preserve">con l'attività politica del deputato in questione. L'autorità </w:t>
      </w:r>
      <w:r w:rsidR="004B34EA" w:rsidRPr="00370A31">
        <w:rPr>
          <w:i/>
          <w:iCs/>
        </w:rPr>
        <w:t xml:space="preserve">responsabile dell'azione penale </w:t>
      </w:r>
      <w:r w:rsidRPr="00370A31">
        <w:rPr>
          <w:i/>
          <w:iCs/>
        </w:rPr>
        <w:t xml:space="preserve">deve tuttavia </w:t>
      </w:r>
      <w:r w:rsidR="00E40E80" w:rsidRPr="00370A31">
        <w:rPr>
          <w:i/>
          <w:iCs/>
        </w:rPr>
        <w:t xml:space="preserve">ottenere </w:t>
      </w:r>
      <w:r w:rsidRPr="00370A31">
        <w:rPr>
          <w:i/>
          <w:iCs/>
        </w:rPr>
        <w:t xml:space="preserve">una </w:t>
      </w:r>
      <w:r w:rsidR="00E40E80" w:rsidRPr="00370A31">
        <w:rPr>
          <w:i/>
          <w:iCs/>
        </w:rPr>
        <w:t xml:space="preserve">decisione </w:t>
      </w:r>
      <w:r w:rsidRPr="00370A31">
        <w:rPr>
          <w:i/>
          <w:iCs/>
        </w:rPr>
        <w:t xml:space="preserve">del Consiglio nazionale sulla sussistenza di tale </w:t>
      </w:r>
      <w:r w:rsidR="00E40E80" w:rsidRPr="00370A31">
        <w:rPr>
          <w:i/>
          <w:iCs/>
        </w:rPr>
        <w:t>nesso</w:t>
      </w:r>
      <w:r w:rsidRPr="00370A31">
        <w:rPr>
          <w:i/>
          <w:iCs/>
        </w:rPr>
        <w:t xml:space="preserve">, qualora ciò sia richiesto dal deputato in questione o da un terzo dei membri della commissione permanente incaricata di tali questioni. In </w:t>
      </w:r>
      <w:r w:rsidR="00E40E80" w:rsidRPr="00370A31">
        <w:rPr>
          <w:i/>
          <w:iCs/>
        </w:rPr>
        <w:t xml:space="preserve">caso </w:t>
      </w:r>
      <w:r w:rsidRPr="00370A31">
        <w:rPr>
          <w:i/>
          <w:iCs/>
        </w:rPr>
        <w:t>di tale richiesta, l'autorità</w:t>
      </w:r>
      <w:r w:rsidR="005A0DA7" w:rsidRPr="00370A31">
        <w:rPr>
          <w:i/>
          <w:iCs/>
        </w:rPr>
        <w:t xml:space="preserve"> </w:t>
      </w:r>
      <w:r w:rsidR="004B34EA" w:rsidRPr="00370A31">
        <w:rPr>
          <w:i/>
          <w:iCs/>
        </w:rPr>
        <w:t>responsabile dell'azione penale</w:t>
      </w:r>
      <w:r w:rsidRPr="00370A31">
        <w:rPr>
          <w:i/>
          <w:iCs/>
        </w:rPr>
        <w:t xml:space="preserve"> deve cessare immediatamente o interrompere ogni atto.</w:t>
      </w:r>
      <w:r w:rsidRPr="00370A31">
        <w:t>";</w:t>
      </w:r>
    </w:p>
    <w:p w14:paraId="7705F39A" w14:textId="38FAD20D" w:rsidR="009B446A" w:rsidRPr="00370A31" w:rsidRDefault="009B446A" w:rsidP="009B446A">
      <w:pPr>
        <w:pStyle w:val="NormalHanging12a"/>
      </w:pPr>
      <w:r w:rsidRPr="00370A31">
        <w:t>G.</w:t>
      </w:r>
      <w:r w:rsidRPr="00370A31">
        <w:tab/>
        <w:t xml:space="preserve">considerando che l'immunità prevista dal protocollo n. 7 sui privilegi e sulle immunità </w:t>
      </w:r>
      <w:r w:rsidRPr="00370A31">
        <w:lastRenderedPageBreak/>
        <w:t xml:space="preserve">dell'Unione europea è intesa a proteggere il Parlamento e i deputati che lo compongono da procedimenti </w:t>
      </w:r>
      <w:r w:rsidR="005A0DA7" w:rsidRPr="00370A31">
        <w:t xml:space="preserve">giudiziari </w:t>
      </w:r>
      <w:r w:rsidRPr="00370A31">
        <w:t>relativi ad attività svolte nell'esercizio del mandato parlamentare e che non possono essere disgiunte da esso;</w:t>
      </w:r>
    </w:p>
    <w:p w14:paraId="3A5F41D3" w14:textId="377BDE3D" w:rsidR="009B446A" w:rsidRPr="00370A31" w:rsidRDefault="009B446A" w:rsidP="009B446A">
      <w:pPr>
        <w:pStyle w:val="NormalHanging12a"/>
      </w:pPr>
      <w:r w:rsidRPr="00370A31">
        <w:t>H.</w:t>
      </w:r>
      <w:r w:rsidRPr="00370A31">
        <w:tab/>
        <w:t xml:space="preserve">considerando che, </w:t>
      </w:r>
      <w:r w:rsidR="005A0DA7" w:rsidRPr="00370A31">
        <w:t>conformemente</w:t>
      </w:r>
      <w:r w:rsidRPr="00370A31">
        <w:t xml:space="preserve"> </w:t>
      </w:r>
      <w:r w:rsidR="005A0DA7" w:rsidRPr="00370A31">
        <w:t>a</w:t>
      </w:r>
      <w:r w:rsidRPr="00370A31">
        <w:t>ll'articolo 5, paragrafo 2, del suo regolamento, l'immunità parlamentare non è un privilegio personale del deputato ma una garanzia di indipendenza del Parlamento in quanto istituzione e dei suoi membri;</w:t>
      </w:r>
    </w:p>
    <w:p w14:paraId="736CFE43" w14:textId="6ECA37C5" w:rsidR="009B446A" w:rsidRPr="00370A31" w:rsidRDefault="009B446A" w:rsidP="009B446A">
      <w:pPr>
        <w:pStyle w:val="NormalHanging12a"/>
      </w:pPr>
      <w:r w:rsidRPr="00370A31">
        <w:t>I.</w:t>
      </w:r>
      <w:r w:rsidRPr="00370A31">
        <w:tab/>
        <w:t xml:space="preserve">considerando che, </w:t>
      </w:r>
      <w:r w:rsidR="00F26C66" w:rsidRPr="00370A31">
        <w:t>nella fattispecie</w:t>
      </w:r>
      <w:r w:rsidRPr="00370A31">
        <w:t xml:space="preserve">, il Parlamento non ha riscontrato alcuna prova di </w:t>
      </w:r>
      <w:r w:rsidRPr="00370A31">
        <w:rPr>
          <w:i/>
        </w:rPr>
        <w:t xml:space="preserve">fumus </w:t>
      </w:r>
      <w:proofErr w:type="spellStart"/>
      <w:r w:rsidRPr="00370A31">
        <w:rPr>
          <w:i/>
        </w:rPr>
        <w:t>persecutionis</w:t>
      </w:r>
      <w:proofErr w:type="spellEnd"/>
      <w:r w:rsidRPr="00370A31">
        <w:t xml:space="preserve">, </w:t>
      </w:r>
      <w:r w:rsidR="005A0DA7" w:rsidRPr="00370A31">
        <w:t xml:space="preserve">ossia non si evince </w:t>
      </w:r>
      <w:r w:rsidRPr="00370A31">
        <w:t xml:space="preserve">che l'intento alla base del procedimento giudiziario </w:t>
      </w:r>
      <w:r w:rsidR="00F26C66" w:rsidRPr="00370A31">
        <w:t>sia</w:t>
      </w:r>
      <w:r w:rsidRPr="00370A31">
        <w:t xml:space="preserve"> quello di </w:t>
      </w:r>
      <w:r w:rsidR="00F26C66" w:rsidRPr="00370A31">
        <w:t>recare pregiudizio al</w:t>
      </w:r>
      <w:r w:rsidRPr="00370A31">
        <w:t>l'attività politica di Harald </w:t>
      </w:r>
      <w:proofErr w:type="spellStart"/>
      <w:r w:rsidRPr="00370A31">
        <w:t>Vilimsky</w:t>
      </w:r>
      <w:proofErr w:type="spellEnd"/>
      <w:r w:rsidRPr="00370A31">
        <w:t xml:space="preserve"> in </w:t>
      </w:r>
      <w:r w:rsidR="00F26C66" w:rsidRPr="00370A31">
        <w:t>quanto membro de</w:t>
      </w:r>
      <w:r w:rsidRPr="00370A31">
        <w:t>l Parlamento europeo</w:t>
      </w:r>
      <w:r w:rsidR="005A0DA7" w:rsidRPr="00370A31">
        <w:t xml:space="preserve"> e di conseguenza all'indipendenza del Parlamento</w:t>
      </w:r>
      <w:r w:rsidRPr="00370A31">
        <w:t>;</w:t>
      </w:r>
    </w:p>
    <w:p w14:paraId="37633C8A" w14:textId="77777777" w:rsidR="009B446A" w:rsidRPr="00370A31" w:rsidRDefault="009B446A" w:rsidP="009B446A">
      <w:pPr>
        <w:pStyle w:val="NormalHanging12a"/>
      </w:pPr>
      <w:r w:rsidRPr="00370A31">
        <w:t>J.</w:t>
      </w:r>
      <w:r w:rsidRPr="00370A31">
        <w:tab/>
        <w:t>considerando, da un lato, che il Parlamento non dovrebbe essere assimilato a un tribunale e, dall'altro, che il deputato non dovrebbe, nel contesto di una procedura di revoca dell'immunità, essere considerato un "accusato"</w:t>
      </w:r>
      <w:r w:rsidRPr="00370A31">
        <w:rPr>
          <w:vertAlign w:val="superscript"/>
        </w:rPr>
        <w:footnoteReference w:id="2"/>
      </w:r>
      <w:r w:rsidRPr="00370A31">
        <w:t>;</w:t>
      </w:r>
    </w:p>
    <w:p w14:paraId="751638B2" w14:textId="77777777" w:rsidR="009B446A" w:rsidRPr="00370A31" w:rsidRDefault="009B446A" w:rsidP="009B446A">
      <w:pPr>
        <w:pStyle w:val="NormalHanging12a"/>
      </w:pPr>
      <w:r w:rsidRPr="00370A31">
        <w:t>1.</w:t>
      </w:r>
      <w:r w:rsidRPr="00370A31">
        <w:tab/>
        <w:t>decide di revocare l'immunità di Harald </w:t>
      </w:r>
      <w:proofErr w:type="spellStart"/>
      <w:r w:rsidRPr="00370A31">
        <w:t>Vilimsky</w:t>
      </w:r>
      <w:proofErr w:type="spellEnd"/>
      <w:r w:rsidRPr="00370A31">
        <w:t>;</w:t>
      </w:r>
    </w:p>
    <w:p w14:paraId="6FDF18DA" w14:textId="5CD048D9" w:rsidR="00E365E1" w:rsidRPr="00370A31" w:rsidRDefault="009B446A" w:rsidP="00370A31">
      <w:pPr>
        <w:pStyle w:val="NormalHanging12a"/>
      </w:pPr>
      <w:r w:rsidRPr="00370A31">
        <w:t>2.</w:t>
      </w:r>
      <w:r w:rsidRPr="00370A31">
        <w:tab/>
        <w:t>incarica la sua Presidente di trasmettere immediatamente la presente decisione e la relazione della sua commissione competente all</w:t>
      </w:r>
      <w:r w:rsidR="00F26C66" w:rsidRPr="00370A31">
        <w:t>’</w:t>
      </w:r>
      <w:r w:rsidRPr="00370A31">
        <w:t>autorità competent</w:t>
      </w:r>
      <w:r w:rsidR="00F26C66" w:rsidRPr="00370A31">
        <w:t>e</w:t>
      </w:r>
      <w:r w:rsidRPr="00370A31">
        <w:t xml:space="preserve"> della Repubblica d'Austria e a Harald </w:t>
      </w:r>
      <w:proofErr w:type="spellStart"/>
      <w:r w:rsidRPr="00370A31">
        <w:t>Vilimsky</w:t>
      </w:r>
      <w:proofErr w:type="spellEnd"/>
      <w:r w:rsidRPr="00370A31">
        <w:t xml:space="preserve">. </w:t>
      </w:r>
    </w:p>
    <w:sectPr w:rsidR="00E365E1" w:rsidRPr="00370A31" w:rsidSect="00203D9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08DBC3" w14:textId="77777777" w:rsidR="00233A65" w:rsidRPr="00203D94" w:rsidRDefault="00233A65">
      <w:r w:rsidRPr="00203D94">
        <w:separator/>
      </w:r>
    </w:p>
  </w:endnote>
  <w:endnote w:type="continuationSeparator" w:id="0">
    <w:p w14:paraId="25992F13" w14:textId="77777777" w:rsidR="00233A65" w:rsidRPr="00203D94" w:rsidRDefault="00233A65">
      <w:r w:rsidRPr="00203D9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E45994" w14:textId="77777777" w:rsidR="00064002" w:rsidRPr="00203D9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0C8457" w14:textId="77777777" w:rsidR="00064002" w:rsidRPr="00203D9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52DF97" w14:textId="77777777" w:rsidR="00064002" w:rsidRPr="00203D9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A78C44" w14:textId="77777777" w:rsidR="00233A65" w:rsidRPr="00203D94" w:rsidRDefault="00233A65">
      <w:r w:rsidRPr="00203D94">
        <w:separator/>
      </w:r>
    </w:p>
  </w:footnote>
  <w:footnote w:type="continuationSeparator" w:id="0">
    <w:p w14:paraId="591CD6C5" w14:textId="77777777" w:rsidR="00233A65" w:rsidRPr="00203D94" w:rsidRDefault="00233A65">
      <w:r w:rsidRPr="00203D94">
        <w:continuationSeparator/>
      </w:r>
    </w:p>
  </w:footnote>
  <w:footnote w:id="1">
    <w:p w14:paraId="42F61D79" w14:textId="29FA9F19" w:rsidR="009B446A" w:rsidRPr="00203D94" w:rsidRDefault="009B446A" w:rsidP="00203D94">
      <w:pPr>
        <w:pStyle w:val="FootnoteText"/>
        <w:ind w:left="567" w:hanging="567"/>
        <w:rPr>
          <w:sz w:val="24"/>
          <w:lang w:val="it-IT"/>
        </w:rPr>
      </w:pPr>
      <w:r w:rsidRPr="00203D94">
        <w:rPr>
          <w:rStyle w:val="FootnoteReference"/>
          <w:sz w:val="24"/>
          <w:lang w:val="it-IT"/>
        </w:rPr>
        <w:footnoteRef/>
      </w:r>
      <w:r w:rsidR="00203D94" w:rsidRPr="00203D94">
        <w:rPr>
          <w:sz w:val="24"/>
          <w:lang w:val="it-IT"/>
        </w:rPr>
        <w:t xml:space="preserve"> </w:t>
      </w:r>
      <w:r w:rsidR="00203D94" w:rsidRPr="00203D94">
        <w:rPr>
          <w:sz w:val="24"/>
          <w:lang w:val="it-IT"/>
        </w:rPr>
        <w:tab/>
      </w:r>
      <w:r w:rsidRPr="00203D94">
        <w:rPr>
          <w:sz w:val="24"/>
          <w:lang w:val="it-IT"/>
        </w:rPr>
        <w:t xml:space="preserve">Sentenza della Corte di giustizia del 21 ottobre 2008, </w:t>
      </w:r>
      <w:r w:rsidRPr="00370A31">
        <w:rPr>
          <w:i/>
          <w:iCs/>
          <w:sz w:val="24"/>
          <w:lang w:val="it-IT"/>
        </w:rPr>
        <w:t>Marra/De Gregorio e Clemente</w:t>
      </w:r>
      <w:r w:rsidRPr="00203D94">
        <w:rPr>
          <w:sz w:val="24"/>
          <w:lang w:val="it-IT"/>
        </w:rPr>
        <w:t xml:space="preserve">, C-200/07 e C-201/07, ECLI:EU:C:2008:579; sentenza del Tribunale del 19 marzo 2010, </w:t>
      </w:r>
      <w:proofErr w:type="spellStart"/>
      <w:r w:rsidRPr="00370A31">
        <w:rPr>
          <w:i/>
          <w:iCs/>
          <w:sz w:val="24"/>
          <w:lang w:val="it-IT"/>
        </w:rPr>
        <w:t>Gollnisch</w:t>
      </w:r>
      <w:proofErr w:type="spellEnd"/>
      <w:r w:rsidRPr="00370A31">
        <w:rPr>
          <w:i/>
          <w:iCs/>
          <w:sz w:val="24"/>
          <w:lang w:val="it-IT"/>
        </w:rPr>
        <w:t>/Parlamento</w:t>
      </w:r>
      <w:r w:rsidRPr="00203D94">
        <w:rPr>
          <w:sz w:val="24"/>
          <w:lang w:val="it-IT"/>
        </w:rPr>
        <w:t xml:space="preserve">, T-42/06, ECLI:EU:T:2010:102; sentenza della Corte di giustizia del 6 settembre 2011, </w:t>
      </w:r>
      <w:r w:rsidRPr="00370A31">
        <w:rPr>
          <w:i/>
          <w:iCs/>
          <w:sz w:val="24"/>
          <w:lang w:val="it-IT"/>
        </w:rPr>
        <w:t>Patriciello</w:t>
      </w:r>
      <w:r w:rsidRPr="00203D94">
        <w:rPr>
          <w:sz w:val="24"/>
          <w:lang w:val="it-IT"/>
        </w:rPr>
        <w:t xml:space="preserve">, C-163/10, ECLI: EU:C:2011:543; sentenza del Tribunale del 17 gennaio 2013, </w:t>
      </w:r>
      <w:proofErr w:type="spellStart"/>
      <w:r w:rsidRPr="00370A31">
        <w:rPr>
          <w:i/>
          <w:iCs/>
          <w:sz w:val="24"/>
          <w:lang w:val="it-IT"/>
        </w:rPr>
        <w:t>Gollnisch</w:t>
      </w:r>
      <w:proofErr w:type="spellEnd"/>
      <w:r w:rsidRPr="00370A31">
        <w:rPr>
          <w:i/>
          <w:iCs/>
          <w:sz w:val="24"/>
          <w:lang w:val="it-IT"/>
        </w:rPr>
        <w:t>/Parlamento</w:t>
      </w:r>
      <w:r w:rsidRPr="00203D94">
        <w:rPr>
          <w:sz w:val="24"/>
          <w:lang w:val="it-IT"/>
        </w:rPr>
        <w:t xml:space="preserve">, T-346/11 e T-347/11, ECLI:EU:T:2013:23; sentenza della Corte di giustizia del 19 dicembre 2019, </w:t>
      </w:r>
      <w:proofErr w:type="spellStart"/>
      <w:r w:rsidRPr="00370A31">
        <w:rPr>
          <w:i/>
          <w:iCs/>
          <w:sz w:val="24"/>
          <w:lang w:val="it-IT"/>
        </w:rPr>
        <w:t>Junqueras</w:t>
      </w:r>
      <w:proofErr w:type="spellEnd"/>
      <w:r w:rsidRPr="00370A31">
        <w:rPr>
          <w:i/>
          <w:iCs/>
          <w:sz w:val="24"/>
          <w:lang w:val="it-IT"/>
        </w:rPr>
        <w:t xml:space="preserve"> </w:t>
      </w:r>
      <w:proofErr w:type="spellStart"/>
      <w:r w:rsidRPr="00370A31">
        <w:rPr>
          <w:i/>
          <w:iCs/>
          <w:sz w:val="24"/>
          <w:lang w:val="it-IT"/>
        </w:rPr>
        <w:t>Vies</w:t>
      </w:r>
      <w:proofErr w:type="spellEnd"/>
      <w:r w:rsidRPr="00203D94">
        <w:rPr>
          <w:sz w:val="24"/>
          <w:lang w:val="it-IT"/>
        </w:rPr>
        <w:t>, C-502/19, ECLI:EU:C:2019:1115.</w:t>
      </w:r>
    </w:p>
  </w:footnote>
  <w:footnote w:id="2">
    <w:p w14:paraId="76D58564" w14:textId="01FD406C" w:rsidR="009B446A" w:rsidRPr="00203D94" w:rsidRDefault="009B446A" w:rsidP="00203D94">
      <w:pPr>
        <w:pStyle w:val="FootnoteText"/>
        <w:ind w:left="567" w:hanging="567"/>
        <w:rPr>
          <w:sz w:val="24"/>
          <w:lang w:val="it-IT"/>
        </w:rPr>
      </w:pPr>
      <w:r w:rsidRPr="00203D94">
        <w:rPr>
          <w:rStyle w:val="FootnoteReference"/>
          <w:sz w:val="24"/>
          <w:lang w:val="it-IT"/>
        </w:rPr>
        <w:footnoteRef/>
      </w:r>
      <w:r w:rsidR="00203D94" w:rsidRPr="00203D94">
        <w:rPr>
          <w:sz w:val="24"/>
          <w:lang w:val="it-IT"/>
        </w:rPr>
        <w:t xml:space="preserve"> </w:t>
      </w:r>
      <w:r w:rsidR="00203D94" w:rsidRPr="00203D94">
        <w:rPr>
          <w:sz w:val="24"/>
          <w:lang w:val="it-IT"/>
        </w:rPr>
        <w:tab/>
      </w:r>
      <w:r w:rsidRPr="00203D94">
        <w:rPr>
          <w:sz w:val="24"/>
          <w:lang w:val="it-IT"/>
        </w:rPr>
        <w:t xml:space="preserve">Sentenza del Tribunale del 30 aprile 2019, </w:t>
      </w:r>
      <w:proofErr w:type="spellStart"/>
      <w:r w:rsidRPr="00370A31">
        <w:rPr>
          <w:i/>
          <w:iCs/>
          <w:sz w:val="24"/>
          <w:lang w:val="it-IT"/>
        </w:rPr>
        <w:t>Briois</w:t>
      </w:r>
      <w:proofErr w:type="spellEnd"/>
      <w:r w:rsidRPr="00370A31">
        <w:rPr>
          <w:i/>
          <w:iCs/>
          <w:sz w:val="24"/>
          <w:lang w:val="it-IT"/>
        </w:rPr>
        <w:t>/Parlamento</w:t>
      </w:r>
      <w:r w:rsidRPr="00203D94">
        <w:rPr>
          <w:sz w:val="24"/>
          <w:lang w:val="it-IT"/>
        </w:rPr>
        <w:t>, T-214/18, ECLI:EU:T:2019:266, punto 91.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F15F50" w14:textId="77777777" w:rsidR="00064002" w:rsidRPr="00203D9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59CE40" w14:textId="77777777" w:rsidR="00064002" w:rsidRPr="00203D9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8AAD15" w14:textId="77777777" w:rsidR="00064002" w:rsidRPr="00203D9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942416195">
    <w:abstractNumId w:val="9"/>
  </w:num>
  <w:num w:numId="2" w16cid:durableId="1693604522">
    <w:abstractNumId w:val="9"/>
  </w:num>
  <w:num w:numId="3" w16cid:durableId="734158079">
    <w:abstractNumId w:val="7"/>
  </w:num>
  <w:num w:numId="4" w16cid:durableId="1415274553">
    <w:abstractNumId w:val="7"/>
  </w:num>
  <w:num w:numId="5" w16cid:durableId="1316107706">
    <w:abstractNumId w:val="6"/>
  </w:num>
  <w:num w:numId="6" w16cid:durableId="962345359">
    <w:abstractNumId w:val="6"/>
  </w:num>
  <w:num w:numId="7" w16cid:durableId="1112744993">
    <w:abstractNumId w:val="5"/>
  </w:num>
  <w:num w:numId="8" w16cid:durableId="1105076865">
    <w:abstractNumId w:val="5"/>
  </w:num>
  <w:num w:numId="9" w16cid:durableId="664406921">
    <w:abstractNumId w:val="4"/>
  </w:num>
  <w:num w:numId="10" w16cid:durableId="970206319">
    <w:abstractNumId w:val="4"/>
  </w:num>
  <w:num w:numId="11" w16cid:durableId="881937657">
    <w:abstractNumId w:val="8"/>
  </w:num>
  <w:num w:numId="12" w16cid:durableId="314846948">
    <w:abstractNumId w:val="8"/>
  </w:num>
  <w:num w:numId="13" w16cid:durableId="818889507">
    <w:abstractNumId w:val="3"/>
  </w:num>
  <w:num w:numId="14" w16cid:durableId="350180358">
    <w:abstractNumId w:val="3"/>
  </w:num>
  <w:num w:numId="15" w16cid:durableId="878973987">
    <w:abstractNumId w:val="2"/>
  </w:num>
  <w:num w:numId="16" w16cid:durableId="2145271606">
    <w:abstractNumId w:val="2"/>
  </w:num>
  <w:num w:numId="17" w16cid:durableId="289482548">
    <w:abstractNumId w:val="1"/>
  </w:num>
  <w:num w:numId="18" w16cid:durableId="732851498">
    <w:abstractNumId w:val="1"/>
  </w:num>
  <w:num w:numId="19" w16cid:durableId="192961702">
    <w:abstractNumId w:val="0"/>
  </w:num>
  <w:num w:numId="20" w16cid:durableId="115758063">
    <w:abstractNumId w:val="0"/>
  </w:num>
  <w:num w:numId="21" w16cid:durableId="74862464">
    <w:abstractNumId w:val="9"/>
  </w:num>
  <w:num w:numId="22" w16cid:durableId="707603122">
    <w:abstractNumId w:val="7"/>
  </w:num>
  <w:num w:numId="23" w16cid:durableId="1326010726">
    <w:abstractNumId w:val="6"/>
  </w:num>
  <w:num w:numId="24" w16cid:durableId="633946573">
    <w:abstractNumId w:val="5"/>
  </w:num>
  <w:num w:numId="25" w16cid:durableId="958031970">
    <w:abstractNumId w:val="4"/>
  </w:num>
  <w:num w:numId="26" w16cid:durableId="199098663">
    <w:abstractNumId w:val="8"/>
  </w:num>
  <w:num w:numId="27" w16cid:durableId="77408511">
    <w:abstractNumId w:val="3"/>
  </w:num>
  <w:num w:numId="28" w16cid:durableId="942692759">
    <w:abstractNumId w:val="2"/>
  </w:num>
  <w:num w:numId="29" w16cid:durableId="1273979516">
    <w:abstractNumId w:val="1"/>
  </w:num>
  <w:num w:numId="30" w16cid:durableId="567956736">
    <w:abstractNumId w:val="0"/>
  </w:num>
  <w:num w:numId="31" w16cid:durableId="90704247">
    <w:abstractNumId w:val="9"/>
  </w:num>
  <w:num w:numId="32" w16cid:durableId="508057200">
    <w:abstractNumId w:val="7"/>
  </w:num>
  <w:num w:numId="33" w16cid:durableId="464665540">
    <w:abstractNumId w:val="6"/>
  </w:num>
  <w:num w:numId="34" w16cid:durableId="60450725">
    <w:abstractNumId w:val="5"/>
  </w:num>
  <w:num w:numId="35" w16cid:durableId="1094980350">
    <w:abstractNumId w:val="4"/>
  </w:num>
  <w:num w:numId="36" w16cid:durableId="1837957582">
    <w:abstractNumId w:val="8"/>
  </w:num>
  <w:num w:numId="37" w16cid:durableId="1630623411">
    <w:abstractNumId w:val="3"/>
  </w:num>
  <w:num w:numId="38" w16cid:durableId="1239941867">
    <w:abstractNumId w:val="2"/>
  </w:num>
  <w:num w:numId="39" w16cid:durableId="1084766686">
    <w:abstractNumId w:val="1"/>
  </w:num>
  <w:num w:numId="40" w16cid:durableId="1604649827">
    <w:abstractNumId w:val="0"/>
  </w:num>
  <w:num w:numId="41" w16cid:durableId="750468656">
    <w:abstractNumId w:val="10"/>
  </w:num>
  <w:num w:numId="42" w16cid:durableId="1368798543">
    <w:abstractNumId w:val="10"/>
  </w:num>
  <w:num w:numId="43" w16cid:durableId="200022622">
    <w:abstractNumId w:val="10"/>
  </w:num>
  <w:num w:numId="44" w16cid:durableId="5088388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25/2026"/>
    <w:docVar w:name="dvlangue" w:val="IT"/>
    <w:docVar w:name="dvnumam" w:val="0"/>
    <w:docVar w:name="dvpe" w:val="784.495"/>
    <w:docVar w:name="dvrapporteur" w:val="Relatore: "/>
    <w:docVar w:name="dvtitre" w:val="Decisione del Parlamento europeo del ... maggio 2026 sulla richiesta di revoca dell'immunità di Harald Vilimsky(2025/2158(IMM))"/>
  </w:docVars>
  <w:rsids>
    <w:rsidRoot w:val="00233A65"/>
    <w:rsid w:val="00002272"/>
    <w:rsid w:val="000122F4"/>
    <w:rsid w:val="00064002"/>
    <w:rsid w:val="000677B9"/>
    <w:rsid w:val="000831BA"/>
    <w:rsid w:val="000A42CC"/>
    <w:rsid w:val="000E7DD9"/>
    <w:rsid w:val="0010095E"/>
    <w:rsid w:val="00125B37"/>
    <w:rsid w:val="00187494"/>
    <w:rsid w:val="001A0843"/>
    <w:rsid w:val="001F32AE"/>
    <w:rsid w:val="00203D94"/>
    <w:rsid w:val="00233A65"/>
    <w:rsid w:val="002767FF"/>
    <w:rsid w:val="002B18FE"/>
    <w:rsid w:val="002B5493"/>
    <w:rsid w:val="0031432A"/>
    <w:rsid w:val="00343214"/>
    <w:rsid w:val="00361C00"/>
    <w:rsid w:val="00370A31"/>
    <w:rsid w:val="00395FA1"/>
    <w:rsid w:val="003E15D4"/>
    <w:rsid w:val="00411CCE"/>
    <w:rsid w:val="0041666E"/>
    <w:rsid w:val="00421060"/>
    <w:rsid w:val="00471C19"/>
    <w:rsid w:val="004867E3"/>
    <w:rsid w:val="00494A28"/>
    <w:rsid w:val="004B34EA"/>
    <w:rsid w:val="004C0004"/>
    <w:rsid w:val="004C5D52"/>
    <w:rsid w:val="0050519A"/>
    <w:rsid w:val="00505656"/>
    <w:rsid w:val="005072A1"/>
    <w:rsid w:val="00514517"/>
    <w:rsid w:val="00545827"/>
    <w:rsid w:val="00560270"/>
    <w:rsid w:val="005A0DA7"/>
    <w:rsid w:val="005C2568"/>
    <w:rsid w:val="005E7D2F"/>
    <w:rsid w:val="005F1B17"/>
    <w:rsid w:val="006037C0"/>
    <w:rsid w:val="006631B6"/>
    <w:rsid w:val="00680577"/>
    <w:rsid w:val="006A74A5"/>
    <w:rsid w:val="006C3B68"/>
    <w:rsid w:val="006F74FA"/>
    <w:rsid w:val="00731ADD"/>
    <w:rsid w:val="00732262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36CF4"/>
    <w:rsid w:val="009509D8"/>
    <w:rsid w:val="00950B64"/>
    <w:rsid w:val="00962670"/>
    <w:rsid w:val="00981893"/>
    <w:rsid w:val="0099491E"/>
    <w:rsid w:val="009B446A"/>
    <w:rsid w:val="009E3C69"/>
    <w:rsid w:val="00A1687D"/>
    <w:rsid w:val="00A43E52"/>
    <w:rsid w:val="00A4678D"/>
    <w:rsid w:val="00A778C7"/>
    <w:rsid w:val="00AA1DBF"/>
    <w:rsid w:val="00AB441E"/>
    <w:rsid w:val="00AB6293"/>
    <w:rsid w:val="00AE0928"/>
    <w:rsid w:val="00AF3B82"/>
    <w:rsid w:val="00B12E95"/>
    <w:rsid w:val="00B22876"/>
    <w:rsid w:val="00B25B5D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40E80"/>
    <w:rsid w:val="00E820A4"/>
    <w:rsid w:val="00E86871"/>
    <w:rsid w:val="00EB006A"/>
    <w:rsid w:val="00EB4772"/>
    <w:rsid w:val="00ED169E"/>
    <w:rsid w:val="00ED4235"/>
    <w:rsid w:val="00F04346"/>
    <w:rsid w:val="00F075DC"/>
    <w:rsid w:val="00F149E9"/>
    <w:rsid w:val="00F26C66"/>
    <w:rsid w:val="00F5134D"/>
    <w:rsid w:val="00F74202"/>
    <w:rsid w:val="00F87713"/>
    <w:rsid w:val="00FA5DC6"/>
    <w:rsid w:val="00FB4360"/>
    <w:rsid w:val="00FC7B02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D603099"/>
  <w15:chartTrackingRefBased/>
  <w15:docId w15:val="{EE8A4333-C0D9-46D2-A283-C74AE585C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9B446A"/>
    <w:pPr>
      <w:spacing w:after="240"/>
      <w:ind w:left="567" w:hanging="567"/>
    </w:pPr>
  </w:style>
  <w:style w:type="paragraph" w:customStyle="1" w:styleId="EPComma">
    <w:name w:val="EPComma"/>
    <w:basedOn w:val="Normal"/>
    <w:rsid w:val="009B446A"/>
    <w:pPr>
      <w:spacing w:before="480" w:after="240"/>
    </w:pPr>
  </w:style>
  <w:style w:type="paragraph" w:styleId="Revision">
    <w:name w:val="Revision"/>
    <w:hidden/>
    <w:uiPriority w:val="99"/>
    <w:semiHidden/>
    <w:rsid w:val="00F26C66"/>
    <w:rPr>
      <w:sz w:val="24"/>
      <w:lang w:val="it-IT"/>
    </w:rPr>
  </w:style>
  <w:style w:type="character" w:styleId="CommentReference">
    <w:name w:val="annotation reference"/>
    <w:basedOn w:val="DefaultParagraphFont"/>
    <w:rsid w:val="009E3C69"/>
    <w:rPr>
      <w:sz w:val="16"/>
      <w:szCs w:val="16"/>
    </w:rPr>
  </w:style>
  <w:style w:type="paragraph" w:styleId="CommentText">
    <w:name w:val="annotation text"/>
    <w:basedOn w:val="Normal"/>
    <w:link w:val="CommentTextChar"/>
    <w:rsid w:val="009E3C69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9E3C69"/>
    <w:rPr>
      <w:lang w:val="it-IT"/>
    </w:rPr>
  </w:style>
  <w:style w:type="paragraph" w:styleId="CommentSubject">
    <w:name w:val="annotation subject"/>
    <w:basedOn w:val="CommentText"/>
    <w:next w:val="CommentText"/>
    <w:link w:val="CommentSubjectChar"/>
    <w:rsid w:val="009E3C6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E3C69"/>
    <w:rPr>
      <w:b/>
      <w:bCs/>
      <w:lang w:val="it-IT"/>
    </w:rPr>
  </w:style>
  <w:style w:type="character" w:styleId="Hyperlink">
    <w:name w:val="Hyperlink"/>
    <w:basedOn w:val="DefaultParagraphFont"/>
    <w:rsid w:val="009E3C6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E3C6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6A74A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881</Words>
  <Characters>5304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6173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AR_RELFINALE</dc:creator>
  <cp:keywords/>
  <cp:lastModifiedBy>AR_DLA CP.sto</cp:lastModifiedBy>
  <cp:revision>2</cp:revision>
  <cp:lastPrinted>2004-11-19T15:42:00Z</cp:lastPrinted>
  <dcterms:created xsi:type="dcterms:W3CDTF">2026-05-19T11:38:00Z</dcterms:created>
  <dcterms:modified xsi:type="dcterms:W3CDTF">2026-05-19T11:38:00Z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A10-0125/2026</vt:lpwstr>
  </property>
  <property fmtid="{D5CDD505-2E9C-101B-9397-08002B2CF9AE}" pid="4" name="&lt;Type&gt;">
    <vt:lpwstr>RR</vt:lpwstr>
  </property>
</Properties>
</file>