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5C00" w14:paraId="3D980989" w14:textId="77777777" w:rsidTr="0010095E">
        <w:trPr>
          <w:trHeight w:hRule="exact" w:val="1418"/>
        </w:trPr>
        <w:tc>
          <w:tcPr>
            <w:tcW w:w="6804" w:type="dxa"/>
            <w:shd w:val="clear" w:color="auto" w:fill="auto"/>
            <w:vAlign w:val="center"/>
          </w:tcPr>
          <w:p w14:paraId="64AACD11" w14:textId="77777777" w:rsidR="00751A4A" w:rsidRPr="009F5C00" w:rsidRDefault="007B24DF" w:rsidP="0010095E">
            <w:pPr>
              <w:pStyle w:val="EPName"/>
            </w:pPr>
            <w:r w:rsidRPr="009F5C00">
              <w:t>Europos Parlamentas</w:t>
            </w:r>
          </w:p>
          <w:p w14:paraId="0789E6E3" w14:textId="77777777" w:rsidR="00751A4A" w:rsidRPr="009F5C00" w:rsidRDefault="005F1B17" w:rsidP="005F1B17">
            <w:pPr>
              <w:pStyle w:val="EPTerm"/>
              <w:rPr>
                <w:rStyle w:val="HideTWBExt"/>
                <w:noProof w:val="0"/>
                <w:vanish w:val="0"/>
                <w:color w:val="auto"/>
              </w:rPr>
            </w:pPr>
            <w:r w:rsidRPr="009F5C00">
              <w:t>2024</w:t>
            </w:r>
            <w:r w:rsidR="00817416" w:rsidRPr="009F5C00">
              <w:t>-202</w:t>
            </w:r>
            <w:r w:rsidRPr="009F5C00">
              <w:t>9</w:t>
            </w:r>
          </w:p>
        </w:tc>
        <w:tc>
          <w:tcPr>
            <w:tcW w:w="2268" w:type="dxa"/>
            <w:shd w:val="clear" w:color="auto" w:fill="auto"/>
          </w:tcPr>
          <w:p w14:paraId="506B408C" w14:textId="77777777" w:rsidR="00751A4A" w:rsidRPr="009F5C00" w:rsidRDefault="00187494" w:rsidP="0010095E">
            <w:pPr>
              <w:pStyle w:val="EPLogo"/>
            </w:pPr>
            <w:r w:rsidRPr="009F5C00">
              <w:rPr>
                <w:noProof/>
                <w:lang w:eastAsia="ja-JP"/>
              </w:rPr>
              <w:drawing>
                <wp:inline distT="0" distB="0" distL="0" distR="0" wp14:anchorId="03C89BDF" wp14:editId="42106A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B29BF9" w14:textId="77777777" w:rsidR="00D058B8" w:rsidRPr="009F5C00" w:rsidRDefault="00D058B8" w:rsidP="004C5D52">
      <w:pPr>
        <w:pStyle w:val="LineTop"/>
      </w:pPr>
    </w:p>
    <w:p w14:paraId="3B1652B5" w14:textId="77777777" w:rsidR="00680577" w:rsidRPr="009F5C00" w:rsidRDefault="007B24DF" w:rsidP="00680577">
      <w:pPr>
        <w:pStyle w:val="EPBodyTA1"/>
      </w:pPr>
      <w:r w:rsidRPr="009F5C00">
        <w:t>PRIIMTI TEKSTAI</w:t>
      </w:r>
    </w:p>
    <w:p w14:paraId="626FCCE2" w14:textId="77777777" w:rsidR="00D058B8" w:rsidRPr="009F5C00" w:rsidRDefault="00D058B8" w:rsidP="00D058B8">
      <w:pPr>
        <w:pStyle w:val="LineBottom"/>
      </w:pPr>
    </w:p>
    <w:p w14:paraId="7613DFDA" w14:textId="7D363CD5" w:rsidR="007B24DF" w:rsidRPr="009F5C00" w:rsidRDefault="007B24DF" w:rsidP="007B24DF">
      <w:pPr>
        <w:pStyle w:val="ATHeading1"/>
      </w:pPr>
      <w:bookmarkStart w:id="0" w:name="TANumber"/>
      <w:r w:rsidRPr="009F5C00">
        <w:t>P10_TA(2026)0</w:t>
      </w:r>
      <w:r w:rsidR="00D33602">
        <w:t>164</w:t>
      </w:r>
      <w:bookmarkEnd w:id="0"/>
    </w:p>
    <w:p w14:paraId="737FA1A8" w14:textId="77777777" w:rsidR="007B24DF" w:rsidRPr="009F5C00" w:rsidRDefault="007B24DF" w:rsidP="007B24DF">
      <w:pPr>
        <w:pStyle w:val="ATHeading2"/>
      </w:pPr>
      <w:bookmarkStart w:id="1" w:name="title"/>
      <w:r w:rsidRPr="009F5C00">
        <w:t>Prašymas atšaukti Haraldo Vilimsky (Harald Vilimsky) imunitetą</w:t>
      </w:r>
      <w:bookmarkEnd w:id="1"/>
    </w:p>
    <w:p w14:paraId="0269A6CA" w14:textId="77777777" w:rsidR="007B24DF" w:rsidRPr="009F5C00" w:rsidRDefault="007B24DF" w:rsidP="007B24DF">
      <w:pPr>
        <w:rPr>
          <w:i/>
          <w:vanish/>
        </w:rPr>
      </w:pPr>
      <w:r w:rsidRPr="009F5C00">
        <w:rPr>
          <w:i/>
        </w:rPr>
        <w:fldChar w:fldCharType="begin"/>
      </w:r>
      <w:r w:rsidRPr="009F5C00">
        <w:rPr>
          <w:i/>
        </w:rPr>
        <w:instrText xml:space="preserve"> TC"(</w:instrText>
      </w:r>
      <w:bookmarkStart w:id="2" w:name="DocNumber"/>
      <w:r w:rsidRPr="009F5C00">
        <w:rPr>
          <w:i/>
        </w:rPr>
        <w:instrText>A10-0125/2026</w:instrText>
      </w:r>
      <w:bookmarkEnd w:id="2"/>
      <w:r w:rsidRPr="009F5C00">
        <w:rPr>
          <w:i/>
        </w:rPr>
        <w:instrText xml:space="preserve"> - Pranešėjas: David Cormand)"\l3 \n&gt; \* MERGEFORMAT </w:instrText>
      </w:r>
      <w:r w:rsidRPr="009F5C00">
        <w:rPr>
          <w:i/>
        </w:rPr>
        <w:fldChar w:fldCharType="end"/>
      </w:r>
    </w:p>
    <w:p w14:paraId="2A30577F" w14:textId="77777777" w:rsidR="007B24DF" w:rsidRPr="009F5C00" w:rsidRDefault="007B24DF" w:rsidP="007B24DF">
      <w:pPr>
        <w:rPr>
          <w:vanish/>
        </w:rPr>
      </w:pPr>
      <w:bookmarkStart w:id="3" w:name="Commission"/>
      <w:r w:rsidRPr="009F5C00">
        <w:rPr>
          <w:vanish/>
        </w:rPr>
        <w:t>Teisės reikalų komitetas</w:t>
      </w:r>
      <w:bookmarkEnd w:id="3"/>
    </w:p>
    <w:p w14:paraId="1B995AE3" w14:textId="77777777" w:rsidR="007B24DF" w:rsidRPr="009F5C00" w:rsidRDefault="007B24DF" w:rsidP="007B24DF">
      <w:pPr>
        <w:rPr>
          <w:vanish/>
        </w:rPr>
      </w:pPr>
      <w:bookmarkStart w:id="4" w:name="PE"/>
      <w:r w:rsidRPr="009F5C00">
        <w:rPr>
          <w:vanish/>
        </w:rPr>
        <w:t>PE784.495</w:t>
      </w:r>
      <w:bookmarkEnd w:id="4"/>
    </w:p>
    <w:p w14:paraId="776E8334" w14:textId="7F3BF03E" w:rsidR="007B24DF" w:rsidRPr="009F5C00" w:rsidRDefault="007B24DF" w:rsidP="003F4CA2">
      <w:pPr>
        <w:pStyle w:val="ATHeading3"/>
      </w:pPr>
      <w:bookmarkStart w:id="5" w:name="Sujet"/>
      <w:r w:rsidRPr="009F5C00">
        <w:t xml:space="preserve">2026 m. </w:t>
      </w:r>
      <w:r w:rsidR="003F4CA2" w:rsidRPr="009F5C00">
        <w:t>gegužės</w:t>
      </w:r>
      <w:r w:rsidRPr="009F5C00">
        <w:t xml:space="preserve"> 19 d. Europos Parlamento sprendimas dėl prašymo atšaukti Haraldo Vilimsky (Harald Vilimsky) imunitetą</w:t>
      </w:r>
      <w:bookmarkEnd w:id="5"/>
      <w:r w:rsidRPr="009F5C00">
        <w:t xml:space="preserve"> </w:t>
      </w:r>
      <w:bookmarkStart w:id="6" w:name="References"/>
      <w:r w:rsidRPr="009F5C00">
        <w:t>(2025/2158(IMM))</w:t>
      </w:r>
      <w:bookmarkEnd w:id="6"/>
    </w:p>
    <w:p w14:paraId="70A96924" w14:textId="77777777" w:rsidR="00BA52CB" w:rsidRPr="009F5C00" w:rsidRDefault="00BA52CB" w:rsidP="00BA52CB">
      <w:pPr>
        <w:pStyle w:val="EPComma"/>
      </w:pPr>
      <w:bookmarkStart w:id="7" w:name="TextBodyBegin"/>
      <w:bookmarkEnd w:id="7"/>
      <w:r w:rsidRPr="009F5C00">
        <w:rPr>
          <w:i/>
        </w:rPr>
        <w:t>Europos Parlamentas</w:t>
      </w:r>
      <w:r w:rsidRPr="009F5C00">
        <w:t>,</w:t>
      </w:r>
    </w:p>
    <w:p w14:paraId="2E337168" w14:textId="77777777" w:rsidR="00BA52CB" w:rsidRPr="009F5C00" w:rsidRDefault="00BA52CB" w:rsidP="00BA52CB">
      <w:pPr>
        <w:pStyle w:val="NormalHanging12a"/>
      </w:pPr>
      <w:r w:rsidRPr="009F5C00">
        <w:t>–</w:t>
      </w:r>
      <w:r w:rsidRPr="009F5C00">
        <w:tab/>
        <w:t>atsižvelgdamas į Austrijos nuolatinės atstovybės Europos Sąjungoje 2025 m. liepos 1 d. laišku perduotą Vienos prokuratūros pateiktą prašymą atšaukti Haraldo Vilimsky imunitetą ryšium su jo atžvilgiu pradėtu baudžiamuoju procesu, kuris buvo paskelbtas 2025 m. liepos 9 d. plenariniame posėdyje,</w:t>
      </w:r>
    </w:p>
    <w:p w14:paraId="069268D8" w14:textId="77777777" w:rsidR="00BA52CB" w:rsidRPr="009F5C00" w:rsidRDefault="00BA52CB" w:rsidP="00BA52CB">
      <w:pPr>
        <w:pStyle w:val="NormalHanging12a"/>
      </w:pPr>
      <w:r w:rsidRPr="009F5C00">
        <w:t>–</w:t>
      </w:r>
      <w:r w:rsidRPr="009F5C00">
        <w:tab/>
        <w:t>2026 m. balandžio 15 d. išklausęs Haraldo Vilimsky paaiškinimų, kaip nurodyta Darbo tvarkos taisyklių 9 straipsnio 6 dalyje,</w:t>
      </w:r>
    </w:p>
    <w:p w14:paraId="39CCD394" w14:textId="77777777" w:rsidR="00BA52CB" w:rsidRPr="009F5C00" w:rsidRDefault="00BA52CB" w:rsidP="00BA52CB">
      <w:pPr>
        <w:pStyle w:val="NormalHanging12a"/>
      </w:pPr>
      <w:r w:rsidRPr="009F5C00">
        <w:t>–</w:t>
      </w:r>
      <w:r w:rsidRPr="009F5C00">
        <w:tab/>
        <w:t>atsižvelgdamas į Protokolo Nr. 7 dėl Europos Sąjungos privilegijų ir imunitetų 8 ir 9 straipsnius bei 1976 m. rugsėjo 20 d. Akto dėl Europos Parlamento narių rinkimų remiantis tiesiogine visuotine rinkimų teise 6 straipsnio 2 dalį,</w:t>
      </w:r>
    </w:p>
    <w:p w14:paraId="01DD9595" w14:textId="77777777" w:rsidR="00BA52CB" w:rsidRPr="009F5C00" w:rsidRDefault="00BA52CB" w:rsidP="00BA52CB">
      <w:pPr>
        <w:pStyle w:val="NormalHanging12a"/>
      </w:pPr>
      <w:r w:rsidRPr="009F5C00">
        <w:t>–</w:t>
      </w:r>
      <w:r w:rsidRPr="009F5C00">
        <w:tab/>
        <w:t>atsižvelgdamas į Europos Sąjungos Teisingumo Teismo 2008 m. spalio 21 d., 2010 m. kovo 19 d., 2011 m. rugsėjo 6 d., 2013 m. sausio 17 d. ir 2019 m. gruodžio 19 d. sprendimus</w:t>
      </w:r>
      <w:r w:rsidRPr="009F5C00">
        <w:rPr>
          <w:vertAlign w:val="superscript"/>
        </w:rPr>
        <w:footnoteReference w:id="1"/>
      </w:r>
      <w:r w:rsidRPr="009F5C00">
        <w:t>,</w:t>
      </w:r>
    </w:p>
    <w:p w14:paraId="2CC02D2D" w14:textId="77777777" w:rsidR="00BA52CB" w:rsidRPr="009F5C00" w:rsidRDefault="00BA52CB" w:rsidP="00BA52CB">
      <w:pPr>
        <w:pStyle w:val="NormalHanging12a"/>
      </w:pPr>
      <w:r w:rsidRPr="009F5C00">
        <w:t>–</w:t>
      </w:r>
      <w:r w:rsidRPr="009F5C00">
        <w:tab/>
        <w:t>atsižvelgdamas į Darbo tvarkos taisyklių 5 straipsnio 2 dalį, 6 straipsnio 1 dalį ir 9 straipsnį,</w:t>
      </w:r>
    </w:p>
    <w:p w14:paraId="6391EC18" w14:textId="77777777" w:rsidR="00BA52CB" w:rsidRPr="009F5C00" w:rsidRDefault="00BA52CB" w:rsidP="00BA52CB">
      <w:pPr>
        <w:pStyle w:val="NormalHanging12a"/>
      </w:pPr>
      <w:r w:rsidRPr="009F5C00">
        <w:t>–</w:t>
      </w:r>
      <w:r w:rsidRPr="009F5C00">
        <w:tab/>
        <w:t>atsižvelgdamas į Teisės reikalų komiteto pranešimą (A10</w:t>
      </w:r>
      <w:r w:rsidRPr="009F5C00">
        <w:noBreakHyphen/>
        <w:t>0125/2026),</w:t>
      </w:r>
    </w:p>
    <w:p w14:paraId="701B2FE7" w14:textId="2EBD43A9" w:rsidR="00BA52CB" w:rsidRPr="009F5C00" w:rsidRDefault="00BA52CB" w:rsidP="00BA52CB">
      <w:pPr>
        <w:pStyle w:val="NormalHanging12a"/>
      </w:pPr>
      <w:r w:rsidRPr="009F5C00">
        <w:t>A.</w:t>
      </w:r>
      <w:r w:rsidRPr="009F5C00">
        <w:tab/>
        <w:t xml:space="preserve">kadangi Austrijos nuolatinė atstovybė Europos Sąjungoje perdavė Vienos prokuratūros </w:t>
      </w:r>
      <w:r w:rsidRPr="009F5C00">
        <w:lastRenderedPageBreak/>
        <w:t xml:space="preserve">prokurorės prašymą atšaukti </w:t>
      </w:r>
      <w:r w:rsidR="000C767D">
        <w:t xml:space="preserve">Austrijoje </w:t>
      </w:r>
      <w:r w:rsidR="000C767D" w:rsidRPr="006D765D">
        <w:t xml:space="preserve">išrinkto </w:t>
      </w:r>
      <w:r w:rsidRPr="009F5C00">
        <w:t>Europos Parlamento nario Haraldo Vilimsky imunitetą ryšium su galimu lėšų pasisavinimu, kuri</w:t>
      </w:r>
      <w:r w:rsidR="003F4CD0">
        <w:t>s</w:t>
      </w:r>
      <w:r w:rsidRPr="009F5C00">
        <w:t xml:space="preserve"> yra Austrijos baudžiamojo kodekso 153 straipsnio 1 ir 3 dalyse numatyt</w:t>
      </w:r>
      <w:r w:rsidR="003F4CD0">
        <w:t>a</w:t>
      </w:r>
      <w:r w:rsidRPr="009F5C00">
        <w:t xml:space="preserve"> nusikalstam</w:t>
      </w:r>
      <w:r w:rsidR="003F4CD0">
        <w:t>a</w:t>
      </w:r>
      <w:r w:rsidRPr="009F5C00">
        <w:t xml:space="preserve"> veik</w:t>
      </w:r>
      <w:r w:rsidR="003F4CD0">
        <w:t>a</w:t>
      </w:r>
      <w:r w:rsidRPr="009F5C00">
        <w:t>, padaryt</w:t>
      </w:r>
      <w:r w:rsidR="003F4CD0">
        <w:t>a</w:t>
      </w:r>
      <w:r w:rsidRPr="009F5C00">
        <w:t xml:space="preserve"> galimai dalyvaujant daromoje nusikalstamoje veikoje, kaip apibrėžta to kodekso 12 straipsnyje;</w:t>
      </w:r>
    </w:p>
    <w:p w14:paraId="5E09B34B" w14:textId="2DD97241" w:rsidR="00BA52CB" w:rsidRPr="009F5C00" w:rsidRDefault="00BA52CB" w:rsidP="00BA52CB">
      <w:pPr>
        <w:pStyle w:val="NormalHanging12a"/>
      </w:pPr>
      <w:r w:rsidRPr="009F5C00">
        <w:t>B.</w:t>
      </w:r>
      <w:r w:rsidRPr="009F5C00">
        <w:tab/>
        <w:t xml:space="preserve">kadangi prašyme, pateiktame atsižvelgiant į ankstesnius 2021 metų Vienos prokuratūros prašymus atšaukti Haraldo Vilimsky imunitetą, taip pat į 2021 m. lapkričio 11 d. Europos Parlamento sprendimą atšaukti jo imunitetą, nurodyta, kad, atsižvelgiant į paaiškėjusias naujas aplinkybes, taip pat tikslinga prašyti atšaukti Haraldo Vilimsky imunitetą remiantis šiais naujais </w:t>
      </w:r>
      <w:r w:rsidR="003F4CD0">
        <w:t>įrodymais</w:t>
      </w:r>
      <w:r w:rsidRPr="009F5C00">
        <w:t>; kadangi, remiantis tyrimo duomenimis, Harald Vilimsky įtariamas piktnaudžiavęs įgaliojimais, kai 2013 metais panaudojo savo politinės partijos FPÖ (</w:t>
      </w:r>
      <w:r w:rsidRPr="009F5C00">
        <w:rPr>
          <w:i/>
          <w:iCs/>
        </w:rPr>
        <w:t>Freiheitliche Partei Österreichs – Die Freiheitlichen</w:t>
      </w:r>
      <w:r w:rsidRPr="009F5C00">
        <w:t>) lėšas su jos veikla nesusijusiais tikslais (tai dar turi būti tiksliai nustatyta), būtent leido atlikti su partijos veikla nesusijusius privataus pobūdžio mokėjimus už durų ir užrakto įrengimą savo gyvenamojoje vietoje, ir dėl to partijai FPÖ buvo padaryta 9 434,00 EUR dydžio turtinė žala;</w:t>
      </w:r>
    </w:p>
    <w:p w14:paraId="3530202F" w14:textId="5EFE6639" w:rsidR="00BA52CB" w:rsidRPr="009F5C00" w:rsidRDefault="00BA52CB" w:rsidP="00BA52CB">
      <w:pPr>
        <w:pStyle w:val="NormalHanging12a"/>
      </w:pPr>
      <w:r w:rsidRPr="009F5C00">
        <w:t>C.</w:t>
      </w:r>
      <w:r w:rsidRPr="009F5C00">
        <w:tab/>
        <w:t xml:space="preserve">kadangi 2019 m. gegužės mėn. Europos Parlamento rinkimuose Harald Vilimsky buvo išrinktas į Europos Parlamentą, o 2024 m. birželio mėn. perrinktas kitai kadencijai ir </w:t>
      </w:r>
      <w:r w:rsidR="003F4CD0">
        <w:t>todėl</w:t>
      </w:r>
      <w:r w:rsidR="00D00A5B" w:rsidRPr="009F5C00">
        <w:t xml:space="preserve"> </w:t>
      </w:r>
      <w:r w:rsidRPr="009F5C00">
        <w:t xml:space="preserve">nusikalstamų veikų, kuriomis jis įtariamas, padarymo momentu jis nebuvo Europos Parlamento narys; </w:t>
      </w:r>
    </w:p>
    <w:p w14:paraId="124F800C" w14:textId="77777777" w:rsidR="00BA52CB" w:rsidRPr="009F5C00" w:rsidRDefault="00BA52CB" w:rsidP="00BA52CB">
      <w:pPr>
        <w:pStyle w:val="NormalHanging12a"/>
      </w:pPr>
      <w:r w:rsidRPr="009F5C00">
        <w:t>D.</w:t>
      </w:r>
      <w:r w:rsidRPr="009F5C00">
        <w:tab/>
        <w:t>kadangi galima nusikalstama veika ir dėl jos pateiktas prašymas atšaukti Haraldo Vilimsky imunitetą nėra susiję su jam einant pareigas pareikšta nuomone ar balsavimu, kaip numatyta Protokolo Nr. 7 dėl Europos Sąjungos privilegijų ir imunitetų 8 straipsnyje;</w:t>
      </w:r>
    </w:p>
    <w:p w14:paraId="0EEFFF17" w14:textId="60A4801B" w:rsidR="00BA52CB" w:rsidRPr="009F5C00" w:rsidRDefault="00BA52CB" w:rsidP="00BA52CB">
      <w:pPr>
        <w:pStyle w:val="NormalHanging12a"/>
      </w:pPr>
      <w:r w:rsidRPr="009F5C00">
        <w:t>E.</w:t>
      </w:r>
      <w:r w:rsidRPr="009F5C00">
        <w:tab/>
        <w:t xml:space="preserve">kadangi Protokolo Nr. 7 dėl Europos Sąjungos privilegijų ir imunitetų 9 straipsnio pirmos pastraipos a punkte nustatyta, kad Europos Parlamento nariai sesijų metu savo valstybės narės teritorijoje naudojasi imunitetais, kurie suteikiami </w:t>
      </w:r>
      <w:r w:rsidR="001B2BCF" w:rsidRPr="001B2BCF">
        <w:t xml:space="preserve">jų valstybės narės </w:t>
      </w:r>
      <w:r w:rsidRPr="009F5C00">
        <w:t>parlamento nariams;</w:t>
      </w:r>
    </w:p>
    <w:p w14:paraId="2819C7B6" w14:textId="77777777" w:rsidR="00BA52CB" w:rsidRPr="009F5C00" w:rsidRDefault="00BA52CB" w:rsidP="00BA52CB">
      <w:pPr>
        <w:pStyle w:val="NormalHanging12a"/>
      </w:pPr>
      <w:r w:rsidRPr="009F5C00">
        <w:t>F.</w:t>
      </w:r>
      <w:r w:rsidRPr="009F5C00">
        <w:tab/>
        <w:t>kadangi Austrijos Konstitucijos 57 straipsnio 2 ir 3 dalyse nustatyta:</w:t>
      </w:r>
    </w:p>
    <w:p w14:paraId="000F46FF" w14:textId="21D37F20" w:rsidR="00BA52CB" w:rsidRPr="009F5C00" w:rsidRDefault="00BA52CB" w:rsidP="00C10D43">
      <w:pPr>
        <w:pStyle w:val="NormalHanging12a"/>
        <w:ind w:left="1134"/>
        <w:rPr>
          <w:i/>
          <w:iCs/>
        </w:rPr>
      </w:pPr>
      <w:r w:rsidRPr="009F5C00">
        <w:t>„</w:t>
      </w:r>
      <w:r w:rsidRPr="009F5C00">
        <w:rPr>
          <w:i/>
        </w:rPr>
        <w:t>2.</w:t>
      </w:r>
      <w:r w:rsidRPr="009F5C00">
        <w:rPr>
          <w:i/>
        </w:rPr>
        <w:tab/>
        <w:t>Nacionalrato narys už nusikalstamą veiką gali būti suimamas tik gavus Nacionalrato sutikimą, išskyrus atvejus, kai jis užklumpamas darantis nusikaltimą. Nacionalrato sutikimas taip pat būtinas norint atlikti kratą Nacionalrato nario namuose.</w:t>
      </w:r>
    </w:p>
    <w:p w14:paraId="652348C0" w14:textId="49C0B701" w:rsidR="00BA52CB" w:rsidRPr="009F5C00" w:rsidRDefault="00BA52CB" w:rsidP="00C10D43">
      <w:pPr>
        <w:pStyle w:val="NormalHanging12a"/>
        <w:ind w:left="1134"/>
        <w:rPr>
          <w:i/>
          <w:iCs/>
        </w:rPr>
      </w:pPr>
      <w:r w:rsidRPr="009F5C00">
        <w:rPr>
          <w:i/>
        </w:rPr>
        <w:t>3.</w:t>
      </w:r>
      <w:r w:rsidRPr="009F5C00">
        <w:rPr>
          <w:i/>
        </w:rPr>
        <w:tab/>
        <w:t>Visais kitais atvejais kompetentinga įstaiga už nusikalstamą veiką gali Nacionalrato narius traukti atsakomybėn be Nacionalrato sutikimo, jei ši veika akivaizdžiai nėra susijusi su atitinkamo nario politine veikla. Tačiau kompetentinga įstaiga turi pateikti Nacionalratui prašymą priimti sprendimą, ar atitinkama veika yra susijusi su politine veikla, jei to reikalauja atitinkamas Nacionalrato narys arba vienas trečdalis šiuos klausimus nagrinėjančio nuolatinio komiteto narių. Jei pateikiamas toks reikalavimas, atitinkama įstaiga turi nedelsdama sustabdyti arba nutraukti bet kokius baudžiamojo persekiojimo veiksmus.“;</w:t>
      </w:r>
    </w:p>
    <w:p w14:paraId="15AADCB9" w14:textId="77777777" w:rsidR="00BA52CB" w:rsidRPr="009F5C00" w:rsidRDefault="00BA52CB" w:rsidP="00BA52CB">
      <w:pPr>
        <w:pStyle w:val="NormalHanging12a"/>
      </w:pPr>
      <w:r w:rsidRPr="009F5C00">
        <w:t>G.</w:t>
      </w:r>
      <w:r w:rsidRPr="009F5C00">
        <w:tab/>
        <w:t xml:space="preserve">kadangi Protokole Nr. 7 dėl Europos Sąjungos privilegijų ir imunitetų numatyto </w:t>
      </w:r>
      <w:r w:rsidRPr="009F5C00">
        <w:lastRenderedPageBreak/>
        <w:t>Parlamento nario imuniteto paskirtis – apsaugoti Parlamentą ir jo narius nuo patraukimo atsakomybėn už veiksmus, kurie yra padaryti vykdant Parlamento nario įgaliojimus ir kurių negalima atskirti nuo tų įgaliojimų;</w:t>
      </w:r>
    </w:p>
    <w:p w14:paraId="56E266B1" w14:textId="77777777" w:rsidR="00BA52CB" w:rsidRPr="009F5C00" w:rsidRDefault="00BA52CB" w:rsidP="00BA52CB">
      <w:pPr>
        <w:pStyle w:val="NormalHanging12a"/>
      </w:pPr>
      <w:r w:rsidRPr="009F5C00">
        <w:t>H.</w:t>
      </w:r>
      <w:r w:rsidRPr="009F5C00">
        <w:tab/>
        <w:t>kadangi Parlamento darbo tvarkos taisyklių 5 straipsnio 2 dalyje numatyta, kad Parlamento nario imunitetas yra ne jo asmeninė privilegija, bet viso Parlamento ir jo narių nepriklausomumo garantija;</w:t>
      </w:r>
    </w:p>
    <w:p w14:paraId="468A8B10" w14:textId="312E1EAF" w:rsidR="00BA52CB" w:rsidRPr="009F5C00" w:rsidRDefault="00BA52CB" w:rsidP="00BA52CB">
      <w:pPr>
        <w:pStyle w:val="NormalHanging12a"/>
      </w:pPr>
      <w:r w:rsidRPr="009F5C00">
        <w:t>I.</w:t>
      </w:r>
      <w:r w:rsidRPr="009F5C00">
        <w:tab/>
        <w:t xml:space="preserve">kadangi šiuo atveju </w:t>
      </w:r>
      <w:r w:rsidRPr="0017608A">
        <w:t xml:space="preserve">Parlamentas nenustatė esant </w:t>
      </w:r>
      <w:r w:rsidRPr="0017608A">
        <w:rPr>
          <w:i/>
          <w:iCs/>
        </w:rPr>
        <w:t>fumus persecutionis</w:t>
      </w:r>
      <w:r w:rsidRPr="0017608A">
        <w:t xml:space="preserve"> įrodymų, t. y. </w:t>
      </w:r>
      <w:r w:rsidR="003F4CD0">
        <w:t>neatrodo</w:t>
      </w:r>
      <w:r w:rsidRPr="0017608A">
        <w:t>, kad šis procesas buvo pradėtas siekiant pakenkti Haraldo Vilimsky, kaip Europos Parlamento nario, politinei veiklai</w:t>
      </w:r>
      <w:r w:rsidR="00F95385" w:rsidRPr="0017608A">
        <w:t>, taigi ir Parlamento nepriklausomumui</w:t>
      </w:r>
      <w:r w:rsidRPr="009F5C00">
        <w:t>;</w:t>
      </w:r>
    </w:p>
    <w:p w14:paraId="4C05BAD4" w14:textId="77777777" w:rsidR="00BA52CB" w:rsidRPr="009F5C00" w:rsidRDefault="00BA52CB" w:rsidP="00BA52CB">
      <w:pPr>
        <w:pStyle w:val="NormalHanging12a"/>
      </w:pPr>
      <w:r w:rsidRPr="009F5C00">
        <w:t>J.</w:t>
      </w:r>
      <w:r w:rsidRPr="009F5C00">
        <w:tab/>
        <w:t>kadangi, pirma, Parlamentas negali būti prilyginamas teismui ir, antra, vykstant imuniteto atšaukimo procedūrai Parlamento narys negali būti laikomas kaltinamuoju</w:t>
      </w:r>
      <w:r w:rsidRPr="009F5C00">
        <w:rPr>
          <w:vertAlign w:val="superscript"/>
        </w:rPr>
        <w:footnoteReference w:id="2"/>
      </w:r>
      <w:r w:rsidRPr="009F5C00">
        <w:t>;</w:t>
      </w:r>
    </w:p>
    <w:p w14:paraId="12DD44F0" w14:textId="77777777" w:rsidR="00BA52CB" w:rsidRPr="009F5C00" w:rsidRDefault="00BA52CB" w:rsidP="00BA52CB">
      <w:pPr>
        <w:pStyle w:val="NormalHanging12a"/>
      </w:pPr>
      <w:r w:rsidRPr="009F5C00">
        <w:t>1.</w:t>
      </w:r>
      <w:r w:rsidRPr="009F5C00">
        <w:tab/>
        <w:t>nusprendžia atšaukti Haraldo Vilimsky imunitetą;</w:t>
      </w:r>
    </w:p>
    <w:p w14:paraId="4DAA7092" w14:textId="7B3E0250" w:rsidR="009F5C00" w:rsidRPr="009F5C00" w:rsidRDefault="00BA52CB" w:rsidP="009F5C00">
      <w:pPr>
        <w:pStyle w:val="NormalHanging12a"/>
      </w:pPr>
      <w:r w:rsidRPr="009F5C00">
        <w:t>2.</w:t>
      </w:r>
      <w:r w:rsidRPr="009F5C00">
        <w:tab/>
        <w:t xml:space="preserve">paveda Pirmininkei nedelsiant perduoti šį sprendimą ir atsakingo komiteto pranešimą Austrijos Respublikos kompetentingoms institucijoms ir Haraldui Vilimsky. </w:t>
      </w:r>
    </w:p>
    <w:p w14:paraId="22D15228" w14:textId="631670D1" w:rsidR="00E365E1" w:rsidRPr="009F5C00" w:rsidRDefault="00E365E1" w:rsidP="007B24DF"/>
    <w:sectPr w:rsidR="00E365E1" w:rsidRPr="009F5C00" w:rsidSect="009F5C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943E5" w14:textId="77777777" w:rsidR="007B24DF" w:rsidRPr="009F5C00" w:rsidRDefault="007B24DF">
      <w:r w:rsidRPr="009F5C00">
        <w:separator/>
      </w:r>
    </w:p>
  </w:endnote>
  <w:endnote w:type="continuationSeparator" w:id="0">
    <w:p w14:paraId="1D25C751" w14:textId="77777777" w:rsidR="007B24DF" w:rsidRPr="009F5C00" w:rsidRDefault="007B24DF">
      <w:r w:rsidRPr="009F5C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78948" w14:textId="77777777" w:rsidR="00064002" w:rsidRPr="009F5C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BF8D5" w14:textId="77777777" w:rsidR="00064002" w:rsidRPr="009F5C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A8BF1" w14:textId="77777777" w:rsidR="00064002" w:rsidRPr="009F5C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BE8F4" w14:textId="77777777" w:rsidR="007B24DF" w:rsidRPr="009F5C00" w:rsidRDefault="007B24DF">
      <w:r w:rsidRPr="009F5C00">
        <w:separator/>
      </w:r>
    </w:p>
  </w:footnote>
  <w:footnote w:type="continuationSeparator" w:id="0">
    <w:p w14:paraId="634CB377" w14:textId="77777777" w:rsidR="007B24DF" w:rsidRPr="009F5C00" w:rsidRDefault="007B24DF">
      <w:r w:rsidRPr="009F5C00">
        <w:continuationSeparator/>
      </w:r>
    </w:p>
  </w:footnote>
  <w:footnote w:id="1">
    <w:p w14:paraId="5EEB0EC0" w14:textId="5614D8B2" w:rsidR="00BA52CB" w:rsidRPr="009F5C00" w:rsidRDefault="00BA52CB" w:rsidP="009F5C00">
      <w:pPr>
        <w:pStyle w:val="FootnoteText"/>
        <w:ind w:left="567" w:hanging="567"/>
        <w:rPr>
          <w:sz w:val="24"/>
          <w:lang w:val="lt-LT"/>
        </w:rPr>
      </w:pPr>
      <w:r w:rsidRPr="009F5C00">
        <w:rPr>
          <w:rStyle w:val="FootnoteReference"/>
          <w:sz w:val="24"/>
          <w:lang w:val="lt-LT"/>
        </w:rPr>
        <w:footnoteRef/>
      </w:r>
      <w:r w:rsidR="009F5C00" w:rsidRPr="009F5C00">
        <w:rPr>
          <w:sz w:val="24"/>
          <w:lang w:val="lt-LT"/>
        </w:rPr>
        <w:t xml:space="preserve"> </w:t>
      </w:r>
      <w:r w:rsidR="009F5C00" w:rsidRPr="009F5C00">
        <w:rPr>
          <w:sz w:val="24"/>
          <w:lang w:val="lt-LT"/>
        </w:rPr>
        <w:tab/>
      </w:r>
      <w:r w:rsidRPr="009F5C00">
        <w:rPr>
          <w:sz w:val="24"/>
          <w:lang w:val="lt-LT"/>
        </w:rPr>
        <w:t xml:space="preserve">2008 m. spalio 21 d. Teisingumo Teismo sprendimas </w:t>
      </w:r>
      <w:r w:rsidRPr="009F5C00">
        <w:rPr>
          <w:i/>
          <w:sz w:val="24"/>
          <w:lang w:val="lt-LT"/>
        </w:rPr>
        <w:t>Marra / De Gregorio ir Clemente</w:t>
      </w:r>
      <w:r w:rsidRPr="009F5C00">
        <w:rPr>
          <w:sz w:val="24"/>
          <w:lang w:val="lt-LT"/>
        </w:rPr>
        <w:t xml:space="preserve">, C-200/07 ir C-201/07, ECLI:EU:C:2008:579; 2010 m. kovo 19 d. Bendrojo Teismo sprendimas </w:t>
      </w:r>
      <w:r w:rsidRPr="009F5C00">
        <w:rPr>
          <w:i/>
          <w:sz w:val="24"/>
          <w:lang w:val="lt-LT"/>
        </w:rPr>
        <w:t>Gollnisch / Parlamentas</w:t>
      </w:r>
      <w:r w:rsidRPr="009F5C00">
        <w:rPr>
          <w:sz w:val="24"/>
          <w:lang w:val="lt-LT"/>
        </w:rPr>
        <w:t xml:space="preserve">, T-42/06, ECLI:EU:T:2010:102; 2011 m. rugsėjo 6 d. Teisingumo Teismo sprendimas </w:t>
      </w:r>
      <w:r w:rsidRPr="009F5C00">
        <w:rPr>
          <w:i/>
          <w:sz w:val="24"/>
          <w:lang w:val="lt-LT"/>
        </w:rPr>
        <w:t>Patriciello</w:t>
      </w:r>
      <w:r w:rsidRPr="009F5C00">
        <w:rPr>
          <w:sz w:val="24"/>
          <w:lang w:val="lt-LT"/>
        </w:rPr>
        <w:t xml:space="preserve">, C-163/10, ECLI:EU:C:2011:543; 2013 m. sausio 17 d. Bendrojo Teismo sprendimas </w:t>
      </w:r>
      <w:r w:rsidRPr="009F5C00">
        <w:rPr>
          <w:i/>
          <w:sz w:val="24"/>
          <w:lang w:val="lt-LT"/>
        </w:rPr>
        <w:t>Gollnisch / Parlamentas</w:t>
      </w:r>
      <w:r w:rsidRPr="009F5C00">
        <w:rPr>
          <w:sz w:val="24"/>
          <w:lang w:val="lt-LT"/>
        </w:rPr>
        <w:t xml:space="preserve">, T-346/11 ir T-347/11, ECLI:EU:T:2013:23; 2019 m. gruodžio 19 d. Teisingumo Teismo sprendimas </w:t>
      </w:r>
      <w:r w:rsidRPr="009F5C00">
        <w:rPr>
          <w:i/>
          <w:sz w:val="24"/>
          <w:lang w:val="lt-LT"/>
        </w:rPr>
        <w:t>Junqueras Vies</w:t>
      </w:r>
      <w:r w:rsidRPr="009F5C00">
        <w:rPr>
          <w:sz w:val="24"/>
          <w:lang w:val="lt-LT"/>
        </w:rPr>
        <w:t>, C-502/19, ECLI:EU:C:2019:1115.</w:t>
      </w:r>
    </w:p>
  </w:footnote>
  <w:footnote w:id="2">
    <w:p w14:paraId="7AA1C6E5" w14:textId="76E23BCB" w:rsidR="00BA52CB" w:rsidRPr="009F5C00" w:rsidRDefault="00BA52CB" w:rsidP="009F5C00">
      <w:pPr>
        <w:pStyle w:val="FootnoteText"/>
        <w:ind w:left="567" w:hanging="567"/>
        <w:rPr>
          <w:sz w:val="24"/>
          <w:lang w:val="lt-LT"/>
        </w:rPr>
      </w:pPr>
      <w:r w:rsidRPr="009F5C00">
        <w:rPr>
          <w:rStyle w:val="FootnoteReference"/>
          <w:sz w:val="24"/>
          <w:lang w:val="lt-LT"/>
        </w:rPr>
        <w:footnoteRef/>
      </w:r>
      <w:r w:rsidR="009F5C00" w:rsidRPr="009F5C00">
        <w:rPr>
          <w:sz w:val="24"/>
          <w:lang w:val="lt-LT"/>
        </w:rPr>
        <w:t xml:space="preserve"> </w:t>
      </w:r>
      <w:r w:rsidR="009F5C00" w:rsidRPr="009F5C00">
        <w:rPr>
          <w:sz w:val="24"/>
          <w:lang w:val="lt-LT"/>
        </w:rPr>
        <w:tab/>
      </w:r>
      <w:r w:rsidRPr="009F5C00">
        <w:rPr>
          <w:sz w:val="24"/>
          <w:lang w:val="lt-LT"/>
        </w:rPr>
        <w:t xml:space="preserve">2019 m. balandžio 30 d. Bendrojo Teismo sprendimo </w:t>
      </w:r>
      <w:r w:rsidRPr="009F5C00">
        <w:rPr>
          <w:i/>
          <w:iCs/>
          <w:sz w:val="24"/>
          <w:lang w:val="lt-LT"/>
        </w:rPr>
        <w:t>Briois / Parlamentas</w:t>
      </w:r>
      <w:r w:rsidRPr="009F5C00">
        <w:rPr>
          <w:sz w:val="24"/>
          <w:lang w:val="lt-LT"/>
        </w:rPr>
        <w:t>, T-214/18, ECLI:EU:T:2019:266, 91 punktas.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D55E2" w14:textId="77777777" w:rsidR="00064002" w:rsidRPr="009F5C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E2E3" w14:textId="77777777" w:rsidR="00064002" w:rsidRPr="009F5C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E791" w14:textId="77777777" w:rsidR="00064002" w:rsidRPr="009F5C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51885540">
    <w:abstractNumId w:val="9"/>
  </w:num>
  <w:num w:numId="2" w16cid:durableId="261882750">
    <w:abstractNumId w:val="9"/>
  </w:num>
  <w:num w:numId="3" w16cid:durableId="814101785">
    <w:abstractNumId w:val="7"/>
  </w:num>
  <w:num w:numId="4" w16cid:durableId="1788154256">
    <w:abstractNumId w:val="7"/>
  </w:num>
  <w:num w:numId="5" w16cid:durableId="899369214">
    <w:abstractNumId w:val="6"/>
  </w:num>
  <w:num w:numId="6" w16cid:durableId="1722828255">
    <w:abstractNumId w:val="6"/>
  </w:num>
  <w:num w:numId="7" w16cid:durableId="353576260">
    <w:abstractNumId w:val="5"/>
  </w:num>
  <w:num w:numId="8" w16cid:durableId="1872649609">
    <w:abstractNumId w:val="5"/>
  </w:num>
  <w:num w:numId="9" w16cid:durableId="1143347689">
    <w:abstractNumId w:val="4"/>
  </w:num>
  <w:num w:numId="10" w16cid:durableId="1578244794">
    <w:abstractNumId w:val="4"/>
  </w:num>
  <w:num w:numId="11" w16cid:durableId="909729401">
    <w:abstractNumId w:val="8"/>
  </w:num>
  <w:num w:numId="12" w16cid:durableId="1243947938">
    <w:abstractNumId w:val="8"/>
  </w:num>
  <w:num w:numId="13" w16cid:durableId="214124114">
    <w:abstractNumId w:val="3"/>
  </w:num>
  <w:num w:numId="14" w16cid:durableId="1474102328">
    <w:abstractNumId w:val="3"/>
  </w:num>
  <w:num w:numId="15" w16cid:durableId="1667399264">
    <w:abstractNumId w:val="2"/>
  </w:num>
  <w:num w:numId="16" w16cid:durableId="1877698451">
    <w:abstractNumId w:val="2"/>
  </w:num>
  <w:num w:numId="17" w16cid:durableId="57631478">
    <w:abstractNumId w:val="1"/>
  </w:num>
  <w:num w:numId="18" w16cid:durableId="1743674843">
    <w:abstractNumId w:val="1"/>
  </w:num>
  <w:num w:numId="19" w16cid:durableId="1903246127">
    <w:abstractNumId w:val="0"/>
  </w:num>
  <w:num w:numId="20" w16cid:durableId="554238976">
    <w:abstractNumId w:val="0"/>
  </w:num>
  <w:num w:numId="21" w16cid:durableId="724373868">
    <w:abstractNumId w:val="9"/>
  </w:num>
  <w:num w:numId="22" w16cid:durableId="1742677937">
    <w:abstractNumId w:val="7"/>
  </w:num>
  <w:num w:numId="23" w16cid:durableId="2050177333">
    <w:abstractNumId w:val="6"/>
  </w:num>
  <w:num w:numId="24" w16cid:durableId="715204817">
    <w:abstractNumId w:val="5"/>
  </w:num>
  <w:num w:numId="25" w16cid:durableId="1743676078">
    <w:abstractNumId w:val="4"/>
  </w:num>
  <w:num w:numId="26" w16cid:durableId="1637250216">
    <w:abstractNumId w:val="8"/>
  </w:num>
  <w:num w:numId="27" w16cid:durableId="1899393876">
    <w:abstractNumId w:val="3"/>
  </w:num>
  <w:num w:numId="28" w16cid:durableId="1303996756">
    <w:abstractNumId w:val="2"/>
  </w:num>
  <w:num w:numId="29" w16cid:durableId="1079328909">
    <w:abstractNumId w:val="1"/>
  </w:num>
  <w:num w:numId="30" w16cid:durableId="1655328581">
    <w:abstractNumId w:val="0"/>
  </w:num>
  <w:num w:numId="31" w16cid:durableId="1935748789">
    <w:abstractNumId w:val="9"/>
  </w:num>
  <w:num w:numId="32" w16cid:durableId="296883333">
    <w:abstractNumId w:val="7"/>
  </w:num>
  <w:num w:numId="33" w16cid:durableId="1018506858">
    <w:abstractNumId w:val="6"/>
  </w:num>
  <w:num w:numId="34" w16cid:durableId="915943530">
    <w:abstractNumId w:val="5"/>
  </w:num>
  <w:num w:numId="35" w16cid:durableId="1243181827">
    <w:abstractNumId w:val="4"/>
  </w:num>
  <w:num w:numId="36" w16cid:durableId="157117056">
    <w:abstractNumId w:val="8"/>
  </w:num>
  <w:num w:numId="37" w16cid:durableId="1336306634">
    <w:abstractNumId w:val="3"/>
  </w:num>
  <w:num w:numId="38" w16cid:durableId="1856766381">
    <w:abstractNumId w:val="2"/>
  </w:num>
  <w:num w:numId="39" w16cid:durableId="264310095">
    <w:abstractNumId w:val="1"/>
  </w:num>
  <w:num w:numId="40" w16cid:durableId="553199081">
    <w:abstractNumId w:val="0"/>
  </w:num>
  <w:num w:numId="41" w16cid:durableId="1880704182">
    <w:abstractNumId w:val="10"/>
  </w:num>
  <w:num w:numId="42" w16cid:durableId="1790271413">
    <w:abstractNumId w:val="10"/>
  </w:num>
  <w:num w:numId="43" w16cid:durableId="402610392">
    <w:abstractNumId w:val="10"/>
  </w:num>
  <w:num w:numId="44" w16cid:durableId="18970889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5/2026"/>
    <w:docVar w:name="dvlangue" w:val="LT"/>
    <w:docVar w:name="dvnumam" w:val="0"/>
    <w:docVar w:name="dvpe" w:val="784.495"/>
    <w:docVar w:name="dvrapporteur" w:val="Pranešėjas: "/>
    <w:docVar w:name="dvtitre" w:val="2026 m. geguzes 19 d. Europos Parlamento sprendimas dėl prašymo atšaukti Haraldo Vilimsky (Harald Vilimsky) imunitetą(2025/2158(IMM))"/>
  </w:docVars>
  <w:rsids>
    <w:rsidRoot w:val="007B24DF"/>
    <w:rsid w:val="00002272"/>
    <w:rsid w:val="00064002"/>
    <w:rsid w:val="000677B9"/>
    <w:rsid w:val="000831BA"/>
    <w:rsid w:val="000A42CC"/>
    <w:rsid w:val="000C767D"/>
    <w:rsid w:val="000E2194"/>
    <w:rsid w:val="000E7DD9"/>
    <w:rsid w:val="0010095E"/>
    <w:rsid w:val="00125B37"/>
    <w:rsid w:val="00133C22"/>
    <w:rsid w:val="0017608A"/>
    <w:rsid w:val="00187494"/>
    <w:rsid w:val="001B2BCF"/>
    <w:rsid w:val="001F32AE"/>
    <w:rsid w:val="0024051A"/>
    <w:rsid w:val="002767FF"/>
    <w:rsid w:val="002B18FE"/>
    <w:rsid w:val="002B5493"/>
    <w:rsid w:val="002F27DE"/>
    <w:rsid w:val="002F286F"/>
    <w:rsid w:val="00343214"/>
    <w:rsid w:val="00361C00"/>
    <w:rsid w:val="00395FA1"/>
    <w:rsid w:val="003E15D4"/>
    <w:rsid w:val="003F4CA2"/>
    <w:rsid w:val="003F4CD0"/>
    <w:rsid w:val="00411CCE"/>
    <w:rsid w:val="0041666E"/>
    <w:rsid w:val="00421060"/>
    <w:rsid w:val="0043754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24D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C00"/>
    <w:rsid w:val="00A1687D"/>
    <w:rsid w:val="00A43E52"/>
    <w:rsid w:val="00A4678D"/>
    <w:rsid w:val="00A778C7"/>
    <w:rsid w:val="00AA0CFF"/>
    <w:rsid w:val="00AB441E"/>
    <w:rsid w:val="00AB6293"/>
    <w:rsid w:val="00AE0928"/>
    <w:rsid w:val="00AF3B82"/>
    <w:rsid w:val="00B12E95"/>
    <w:rsid w:val="00B22876"/>
    <w:rsid w:val="00B558F0"/>
    <w:rsid w:val="00BA52CB"/>
    <w:rsid w:val="00BD48FE"/>
    <w:rsid w:val="00BD7BD8"/>
    <w:rsid w:val="00BE6ADC"/>
    <w:rsid w:val="00C05BFE"/>
    <w:rsid w:val="00C10D43"/>
    <w:rsid w:val="00C23CD4"/>
    <w:rsid w:val="00C61C0C"/>
    <w:rsid w:val="00C941CB"/>
    <w:rsid w:val="00CC2357"/>
    <w:rsid w:val="00CF071A"/>
    <w:rsid w:val="00D00A5B"/>
    <w:rsid w:val="00D058B8"/>
    <w:rsid w:val="00D16CC2"/>
    <w:rsid w:val="00D3360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38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6900F"/>
  <w15:chartTrackingRefBased/>
  <w15:docId w15:val="{16280E66-15F1-4F4A-9D6C-DD1C3CCF1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A52CB"/>
    <w:pPr>
      <w:spacing w:after="240"/>
      <w:ind w:left="567" w:hanging="567"/>
    </w:pPr>
  </w:style>
  <w:style w:type="paragraph" w:customStyle="1" w:styleId="EPComma">
    <w:name w:val="EPComma"/>
    <w:basedOn w:val="Normal"/>
    <w:rsid w:val="00BA52CB"/>
    <w:pPr>
      <w:spacing w:before="480" w:after="240"/>
    </w:pPr>
  </w:style>
  <w:style w:type="paragraph" w:styleId="Revision">
    <w:name w:val="Revision"/>
    <w:hidden/>
    <w:uiPriority w:val="99"/>
    <w:semiHidden/>
    <w:rsid w:val="003F4CA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2026-05-19T11:36:00Z</dcterms:created>
  <dcterms:modified xsi:type="dcterms:W3CDTF">2026-05-19T11:36:00Z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A10-0125/2026</vt:lpwstr>
  </property>
  <property fmtid="{D5CDD505-2E9C-101B-9397-08002B2CF9AE}" pid="4" name="&lt;Type&gt;">
    <vt:lpwstr>RR</vt:lpwstr>
  </property>
</Properties>
</file>