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5804" w14:paraId="7FC9DAF4" w14:textId="77777777" w:rsidTr="0010095E">
        <w:trPr>
          <w:trHeight w:hRule="exact" w:val="1418"/>
        </w:trPr>
        <w:tc>
          <w:tcPr>
            <w:tcW w:w="6804" w:type="dxa"/>
            <w:shd w:val="clear" w:color="auto" w:fill="auto"/>
            <w:vAlign w:val="center"/>
          </w:tcPr>
          <w:p w14:paraId="5824D62A" w14:textId="77777777" w:rsidR="00751A4A" w:rsidRPr="00CD5804" w:rsidRDefault="00FA657B" w:rsidP="0010095E">
            <w:pPr>
              <w:pStyle w:val="EPName"/>
            </w:pPr>
            <w:r w:rsidRPr="00CD5804">
              <w:t>Eiropas Parlaments</w:t>
            </w:r>
          </w:p>
          <w:p w14:paraId="1838E845" w14:textId="77777777" w:rsidR="00751A4A" w:rsidRPr="00CD5804" w:rsidRDefault="005F1B17" w:rsidP="005F1B17">
            <w:pPr>
              <w:pStyle w:val="EPTerm"/>
              <w:rPr>
                <w:rStyle w:val="HideTWBExt"/>
                <w:noProof w:val="0"/>
                <w:vanish w:val="0"/>
                <w:color w:val="auto"/>
              </w:rPr>
            </w:pPr>
            <w:r w:rsidRPr="00CD5804">
              <w:t>2024</w:t>
            </w:r>
            <w:r w:rsidR="00817416" w:rsidRPr="00CD5804">
              <w:t>-202</w:t>
            </w:r>
            <w:r w:rsidRPr="00CD5804">
              <w:t>9</w:t>
            </w:r>
          </w:p>
        </w:tc>
        <w:tc>
          <w:tcPr>
            <w:tcW w:w="2268" w:type="dxa"/>
            <w:shd w:val="clear" w:color="auto" w:fill="auto"/>
          </w:tcPr>
          <w:p w14:paraId="5A335ED4" w14:textId="77777777" w:rsidR="00751A4A" w:rsidRPr="00CD5804" w:rsidRDefault="00187494" w:rsidP="0010095E">
            <w:pPr>
              <w:pStyle w:val="EPLogo"/>
            </w:pPr>
            <w:r w:rsidRPr="00CD5804">
              <w:rPr>
                <w:noProof/>
                <w:lang w:eastAsia="ja-JP"/>
              </w:rPr>
              <w:drawing>
                <wp:inline distT="0" distB="0" distL="0" distR="0" wp14:anchorId="321B0DC6" wp14:editId="52EC3A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E1D113" w14:textId="77777777" w:rsidR="00D058B8" w:rsidRPr="00CD5804" w:rsidRDefault="00D058B8" w:rsidP="004C5D52">
      <w:pPr>
        <w:pStyle w:val="LineTop"/>
      </w:pPr>
    </w:p>
    <w:p w14:paraId="5B1ED1A4" w14:textId="77777777" w:rsidR="00680577" w:rsidRPr="00CD5804" w:rsidRDefault="00FA657B" w:rsidP="00680577">
      <w:pPr>
        <w:pStyle w:val="EPBodyTA1"/>
      </w:pPr>
      <w:r w:rsidRPr="00CD5804">
        <w:t>PIEŅEMTIE TEKSTI</w:t>
      </w:r>
    </w:p>
    <w:p w14:paraId="485D77A4" w14:textId="77777777" w:rsidR="00D058B8" w:rsidRPr="00CD5804" w:rsidRDefault="00D058B8" w:rsidP="00D058B8">
      <w:pPr>
        <w:pStyle w:val="LineBottom"/>
      </w:pPr>
    </w:p>
    <w:p w14:paraId="44C39A1B" w14:textId="2E98D098" w:rsidR="00FA657B" w:rsidRPr="00CD5804" w:rsidRDefault="00FA657B" w:rsidP="00FA657B">
      <w:pPr>
        <w:pStyle w:val="ATHeading1"/>
      </w:pPr>
      <w:bookmarkStart w:id="0" w:name="TANumber"/>
      <w:r w:rsidRPr="00CD5804">
        <w:t>P10_TA(2026)0</w:t>
      </w:r>
      <w:bookmarkEnd w:id="0"/>
      <w:r w:rsidR="00CD5804" w:rsidRPr="00CD5804">
        <w:t>164</w:t>
      </w:r>
    </w:p>
    <w:p w14:paraId="1EFBDB3F" w14:textId="3ED47EDD" w:rsidR="00FA657B" w:rsidRPr="00CD5804" w:rsidRDefault="00134296" w:rsidP="00FA657B">
      <w:pPr>
        <w:pStyle w:val="ATHeading2"/>
      </w:pPr>
      <w:r w:rsidRPr="00CD5804">
        <w:t xml:space="preserve">Pieprasījums atcelt </w:t>
      </w:r>
      <w:r w:rsidRPr="00CD5804">
        <w:rPr>
          <w:i/>
          <w:iCs/>
        </w:rPr>
        <w:t xml:space="preserve">Harald </w:t>
      </w:r>
      <w:proofErr w:type="spellStart"/>
      <w:r w:rsidRPr="00CD5804">
        <w:rPr>
          <w:i/>
          <w:iCs/>
        </w:rPr>
        <w:t>Vilimsky</w:t>
      </w:r>
      <w:proofErr w:type="spellEnd"/>
      <w:r w:rsidRPr="00CD5804">
        <w:t xml:space="preserve"> imunitāti</w:t>
      </w:r>
    </w:p>
    <w:p w14:paraId="3F16C6C5" w14:textId="77777777" w:rsidR="00FA657B" w:rsidRPr="00CD5804" w:rsidRDefault="00FA657B" w:rsidP="00FA657B">
      <w:pPr>
        <w:rPr>
          <w:i/>
          <w:vanish/>
        </w:rPr>
      </w:pPr>
      <w:r w:rsidRPr="00CD5804">
        <w:rPr>
          <w:i/>
        </w:rPr>
        <w:fldChar w:fldCharType="begin"/>
      </w:r>
      <w:r w:rsidRPr="00CD5804">
        <w:rPr>
          <w:i/>
        </w:rPr>
        <w:instrText xml:space="preserve"> TC"(</w:instrText>
      </w:r>
      <w:bookmarkStart w:id="1" w:name="DocNumber"/>
      <w:r w:rsidRPr="00CD5804">
        <w:rPr>
          <w:i/>
        </w:rPr>
        <w:instrText>A10-0125/2026</w:instrText>
      </w:r>
      <w:bookmarkEnd w:id="1"/>
      <w:r w:rsidRPr="00CD5804">
        <w:rPr>
          <w:i/>
        </w:rPr>
        <w:instrText xml:space="preserve"> - Referents: </w:instrText>
      </w:r>
      <w:proofErr w:type="spellStart"/>
      <w:r w:rsidRPr="00CD5804">
        <w:rPr>
          <w:i/>
        </w:rPr>
        <w:instrText>David</w:instrText>
      </w:r>
      <w:proofErr w:type="spellEnd"/>
      <w:r w:rsidRPr="00CD5804">
        <w:rPr>
          <w:i/>
        </w:rPr>
        <w:instrText xml:space="preserve"> </w:instrText>
      </w:r>
      <w:proofErr w:type="spellStart"/>
      <w:r w:rsidRPr="00CD5804">
        <w:rPr>
          <w:i/>
        </w:rPr>
        <w:instrText>Cormand</w:instrText>
      </w:r>
      <w:proofErr w:type="spellEnd"/>
      <w:r w:rsidRPr="00CD5804">
        <w:rPr>
          <w:i/>
        </w:rPr>
        <w:instrText xml:space="preserve">)"\l3 \n&gt; \* MERGEFORMAT </w:instrText>
      </w:r>
      <w:r w:rsidRPr="00CD5804">
        <w:rPr>
          <w:i/>
        </w:rPr>
        <w:fldChar w:fldCharType="end"/>
      </w:r>
    </w:p>
    <w:p w14:paraId="67D446F6" w14:textId="77777777" w:rsidR="00FA657B" w:rsidRPr="00CD5804" w:rsidRDefault="00FA657B" w:rsidP="00FA657B">
      <w:pPr>
        <w:rPr>
          <w:vanish/>
        </w:rPr>
      </w:pPr>
      <w:bookmarkStart w:id="2" w:name="Commission"/>
      <w:r w:rsidRPr="00CD5804">
        <w:rPr>
          <w:vanish/>
        </w:rPr>
        <w:t>Juridiskā komiteja</w:t>
      </w:r>
      <w:bookmarkEnd w:id="2"/>
    </w:p>
    <w:p w14:paraId="55B32B93" w14:textId="77777777" w:rsidR="00FA657B" w:rsidRPr="00CD5804" w:rsidRDefault="00FA657B" w:rsidP="00FA657B">
      <w:pPr>
        <w:rPr>
          <w:vanish/>
        </w:rPr>
      </w:pPr>
      <w:bookmarkStart w:id="3" w:name="PE"/>
      <w:r w:rsidRPr="00CD5804">
        <w:rPr>
          <w:vanish/>
        </w:rPr>
        <w:t>PE784.495</w:t>
      </w:r>
      <w:bookmarkEnd w:id="3"/>
    </w:p>
    <w:p w14:paraId="559B88EF" w14:textId="3553F5FA" w:rsidR="00FA657B" w:rsidRPr="00CD5804" w:rsidRDefault="00FA657B" w:rsidP="00FA657B">
      <w:pPr>
        <w:pStyle w:val="ATHeading3"/>
      </w:pPr>
      <w:bookmarkStart w:id="4" w:name="Sujet"/>
      <w:r w:rsidRPr="00CD5804">
        <w:t xml:space="preserve">Eiropas Parlamenta 2026. gada </w:t>
      </w:r>
      <w:r w:rsidR="00134296" w:rsidRPr="00CD5804">
        <w:t>19</w:t>
      </w:r>
      <w:r w:rsidRPr="00CD5804">
        <w:t xml:space="preserve">. </w:t>
      </w:r>
      <w:r w:rsidR="00134296" w:rsidRPr="00CD5804">
        <w:t>maija</w:t>
      </w:r>
      <w:r w:rsidRPr="00CD5804">
        <w:t xml:space="preserve"> lēmums par pieprasījumu atcelt </w:t>
      </w:r>
      <w:r w:rsidRPr="00CD5804">
        <w:rPr>
          <w:i/>
          <w:iCs/>
        </w:rPr>
        <w:t xml:space="preserve">Harald </w:t>
      </w:r>
      <w:proofErr w:type="spellStart"/>
      <w:r w:rsidRPr="00CD5804">
        <w:rPr>
          <w:i/>
          <w:iCs/>
        </w:rPr>
        <w:t>Vilimsky</w:t>
      </w:r>
      <w:proofErr w:type="spellEnd"/>
      <w:r w:rsidRPr="00CD5804">
        <w:t xml:space="preserve"> imunitāti</w:t>
      </w:r>
      <w:bookmarkEnd w:id="4"/>
      <w:r w:rsidRPr="00CD5804">
        <w:t xml:space="preserve"> </w:t>
      </w:r>
      <w:bookmarkStart w:id="5" w:name="References"/>
      <w:r w:rsidRPr="00CD5804">
        <w:t>(2025/2158(IMM))</w:t>
      </w:r>
      <w:bookmarkEnd w:id="5"/>
    </w:p>
    <w:p w14:paraId="5E0368C6" w14:textId="77777777" w:rsidR="006F1768" w:rsidRPr="00CD5804" w:rsidRDefault="006F1768" w:rsidP="006F1768">
      <w:pPr>
        <w:pStyle w:val="EPComma"/>
      </w:pPr>
      <w:bookmarkStart w:id="6" w:name="TextBodyBegin"/>
      <w:bookmarkEnd w:id="6"/>
      <w:r w:rsidRPr="00CD5804">
        <w:rPr>
          <w:i/>
          <w:iCs/>
        </w:rPr>
        <w:t>Eiropas Parlaments</w:t>
      </w:r>
      <w:r w:rsidRPr="00CD5804">
        <w:t>,</w:t>
      </w:r>
    </w:p>
    <w:p w14:paraId="43D76EE3" w14:textId="7C6B32F7" w:rsidR="006F1768" w:rsidRPr="00CD5804" w:rsidRDefault="006F1768" w:rsidP="006F1768">
      <w:pPr>
        <w:pStyle w:val="NormalHanging12a"/>
      </w:pPr>
      <w:r w:rsidRPr="00CD5804">
        <w:t>–</w:t>
      </w:r>
      <w:r w:rsidRPr="00CD5804">
        <w:tab/>
        <w:t xml:space="preserve">ņemot vērā pieprasījumu atcelt </w:t>
      </w:r>
      <w:r w:rsidRPr="00CD5804">
        <w:rPr>
          <w:i/>
          <w:iCs/>
        </w:rPr>
        <w:t xml:space="preserve">Harald </w:t>
      </w:r>
      <w:proofErr w:type="spellStart"/>
      <w:r w:rsidRPr="00CD5804">
        <w:rPr>
          <w:i/>
          <w:iCs/>
        </w:rPr>
        <w:t>Vilimsky</w:t>
      </w:r>
      <w:proofErr w:type="spellEnd"/>
      <w:r w:rsidRPr="00CD5804">
        <w:t xml:space="preserve"> imunitāti, kas saņemts ar Austrijas Pastāvīgās pārstāvniecības Eiropas Savienībā 2025. gada 1. jūlija vēstuli, ar kuru </w:t>
      </w:r>
      <w:r w:rsidR="009C2245" w:rsidRPr="00CD5804">
        <w:t>pār</w:t>
      </w:r>
      <w:r w:rsidRPr="00CD5804">
        <w:t xml:space="preserve">sūtīts Vīnes prokuratūras pieprasījums saistībā ar kriminālprocesu, kas ierosināts pret </w:t>
      </w:r>
      <w:r w:rsidRPr="00CD5804">
        <w:rPr>
          <w:i/>
          <w:iCs/>
        </w:rPr>
        <w:t xml:space="preserve">Harald </w:t>
      </w:r>
      <w:proofErr w:type="spellStart"/>
      <w:r w:rsidRPr="00CD5804">
        <w:rPr>
          <w:i/>
          <w:iCs/>
        </w:rPr>
        <w:t>Vilimsky</w:t>
      </w:r>
      <w:proofErr w:type="spellEnd"/>
      <w:r w:rsidRPr="00CD5804">
        <w:t>, un par ko paziņots 2025. gada 9. jūlija plenārsēdē,</w:t>
      </w:r>
    </w:p>
    <w:p w14:paraId="3AC5D714" w14:textId="77777777" w:rsidR="006F1768" w:rsidRPr="00CD5804" w:rsidRDefault="006F1768" w:rsidP="006F1768">
      <w:pPr>
        <w:pStyle w:val="NormalHanging12a"/>
      </w:pPr>
      <w:r w:rsidRPr="00CD5804">
        <w:t>–</w:t>
      </w:r>
      <w:r w:rsidRPr="00CD5804">
        <w:tab/>
        <w:t xml:space="preserve">pēc </w:t>
      </w:r>
      <w:r w:rsidRPr="00CD5804">
        <w:rPr>
          <w:i/>
          <w:iCs/>
        </w:rPr>
        <w:t xml:space="preserve">Harald </w:t>
      </w:r>
      <w:proofErr w:type="spellStart"/>
      <w:r w:rsidRPr="00CD5804">
        <w:rPr>
          <w:i/>
          <w:iCs/>
        </w:rPr>
        <w:t>Vilimsky</w:t>
      </w:r>
      <w:proofErr w:type="spellEnd"/>
      <w:r w:rsidRPr="00CD5804">
        <w:t xml:space="preserve"> uzklausīšanas 2026. gada 15. aprīlī saskaņā ar Reglamenta 9. panta 6. punktu,</w:t>
      </w:r>
    </w:p>
    <w:p w14:paraId="52D8E139" w14:textId="77777777" w:rsidR="006F1768" w:rsidRPr="00CD5804" w:rsidRDefault="006F1768" w:rsidP="006F1768">
      <w:pPr>
        <w:pStyle w:val="NormalHanging12a"/>
      </w:pPr>
      <w:r w:rsidRPr="00CD5804">
        <w:t>–</w:t>
      </w:r>
      <w:r w:rsidRPr="00CD5804">
        <w:tab/>
        <w:t>ņemot vērā Protokola Nr. 7 par privilēģijām un imunitāti Eiropas Savienībā 8. un 9. pantu, kā arī 1976. gada 20. septembra Akta par Eiropas Parlamenta deputātu ievēlēšanu tiešās vispārējās vēlēšanās 6. panta 2. punktu,</w:t>
      </w:r>
    </w:p>
    <w:p w14:paraId="65452212" w14:textId="77777777" w:rsidR="006F1768" w:rsidRPr="00CD5804" w:rsidRDefault="006F1768" w:rsidP="006F1768">
      <w:pPr>
        <w:pStyle w:val="NormalHanging12a"/>
      </w:pPr>
      <w:r w:rsidRPr="00CD5804">
        <w:t>–</w:t>
      </w:r>
      <w:r w:rsidRPr="00CD5804">
        <w:tab/>
        <w:t>ņemot vērā Eiropas Savienības Tiesas 2008. gada 21. oktobra, 2010. gada 19. marta, 2011. gada 6. septembra, 2013. gada 17. janvāra un 2019. gada 19. decembra spriedumu</w:t>
      </w:r>
      <w:r w:rsidRPr="00CD5804">
        <w:rPr>
          <w:vertAlign w:val="superscript"/>
        </w:rPr>
        <w:footnoteReference w:id="1"/>
      </w:r>
      <w:r w:rsidRPr="00CD5804">
        <w:t>,</w:t>
      </w:r>
    </w:p>
    <w:p w14:paraId="2838E8A1" w14:textId="77777777" w:rsidR="006F1768" w:rsidRPr="00CD5804" w:rsidRDefault="006F1768" w:rsidP="006F1768">
      <w:pPr>
        <w:pStyle w:val="NormalHanging12a"/>
      </w:pPr>
      <w:r w:rsidRPr="00CD5804">
        <w:t>–</w:t>
      </w:r>
      <w:r w:rsidRPr="00CD5804">
        <w:tab/>
        <w:t>ņemot vērā Reglamenta 5. panta 2. punktu, 6. panta 1. punktu un 9. pantu,</w:t>
      </w:r>
    </w:p>
    <w:p w14:paraId="2A412508" w14:textId="77777777" w:rsidR="006F1768" w:rsidRPr="00CD5804" w:rsidRDefault="006F1768" w:rsidP="006F1768">
      <w:pPr>
        <w:pStyle w:val="NormalHanging12a"/>
      </w:pPr>
      <w:r w:rsidRPr="00CD5804">
        <w:t>–</w:t>
      </w:r>
      <w:r w:rsidRPr="00CD5804">
        <w:tab/>
        <w:t>ņemot vērā Juridiskās komitejas ziņojumu (A10</w:t>
      </w:r>
      <w:r w:rsidRPr="00CD5804">
        <w:noBreakHyphen/>
        <w:t>0125/2026),</w:t>
      </w:r>
    </w:p>
    <w:p w14:paraId="203674C2" w14:textId="3B4975EC" w:rsidR="006F1768" w:rsidRPr="00CD5804" w:rsidRDefault="006F1768" w:rsidP="006F1768">
      <w:pPr>
        <w:pStyle w:val="NormalHanging12a"/>
      </w:pPr>
      <w:r w:rsidRPr="00CD5804">
        <w:t>A.</w:t>
      </w:r>
      <w:r w:rsidRPr="00CD5804">
        <w:tab/>
        <w:t xml:space="preserve">tā kā Austrijas Pastāvīgā pārstāvniecība Eiropas Savienībā ir pārsūtījusi Vīnes pilsētas prokurora pieprasījumu atcelt </w:t>
      </w:r>
      <w:r w:rsidR="009C2245" w:rsidRPr="00CD5804">
        <w:t xml:space="preserve">Austrijā ievēlētā </w:t>
      </w:r>
      <w:r w:rsidRPr="00CD5804">
        <w:t xml:space="preserve">Eiropas Parlamenta deputāta </w:t>
      </w:r>
      <w:r w:rsidRPr="00CD5804">
        <w:rPr>
          <w:i/>
          <w:iCs/>
        </w:rPr>
        <w:t xml:space="preserve">Harald </w:t>
      </w:r>
      <w:proofErr w:type="spellStart"/>
      <w:r w:rsidRPr="00CD5804">
        <w:rPr>
          <w:i/>
          <w:iCs/>
        </w:rPr>
        <w:lastRenderedPageBreak/>
        <w:t>Vilimsky</w:t>
      </w:r>
      <w:proofErr w:type="spellEnd"/>
      <w:r w:rsidRPr="00CD5804">
        <w:t xml:space="preserve"> imunitāti saistībā ar aizdomām par uzticības ļaunprātīgu izmantošanu un līdzekļu nelikumīgu piesavināšanos, kas ir Austrijas Kriminālkodeksa 153. panta 1. un 3. punktā minētie noziedzīgie nodarījumi, jo viņš ir piedalījies noziedzīgajā nodarījumā minētā kodeksa 12. panta izpratnē;</w:t>
      </w:r>
    </w:p>
    <w:p w14:paraId="6429E993" w14:textId="2E399C51" w:rsidR="006F1768" w:rsidRPr="00CD5804" w:rsidRDefault="006F1768" w:rsidP="006F1768">
      <w:pPr>
        <w:pStyle w:val="NormalHanging12a"/>
      </w:pPr>
      <w:r w:rsidRPr="00CD5804">
        <w:t>B.</w:t>
      </w:r>
      <w:r w:rsidRPr="00CD5804">
        <w:tab/>
        <w:t xml:space="preserve">tā kā saskaņā ar Vīnes prokuratūras 2021. gada pieprasījumu atcelt </w:t>
      </w:r>
      <w:r w:rsidRPr="00CD5804">
        <w:rPr>
          <w:i/>
          <w:iCs/>
        </w:rPr>
        <w:t xml:space="preserve">Harald </w:t>
      </w:r>
      <w:proofErr w:type="spellStart"/>
      <w:r w:rsidRPr="00CD5804">
        <w:rPr>
          <w:i/>
          <w:iCs/>
        </w:rPr>
        <w:t>Vilimsky</w:t>
      </w:r>
      <w:proofErr w:type="spellEnd"/>
      <w:r w:rsidRPr="00CD5804">
        <w:t xml:space="preserve"> imunitāti, kā arī Eiropas Parlamenta 2021. gada 11. novembra lēmumu par viņa imunitātes atcelšanu, ņemot vērā jaunu faktu atklāšanos, ir lietderīgi pieprasīt arī </w:t>
      </w:r>
      <w:r w:rsidRPr="00CD5804">
        <w:rPr>
          <w:i/>
          <w:iCs/>
        </w:rPr>
        <w:t xml:space="preserve">Harald </w:t>
      </w:r>
      <w:proofErr w:type="spellStart"/>
      <w:r w:rsidRPr="00CD5804">
        <w:rPr>
          <w:i/>
          <w:iCs/>
        </w:rPr>
        <w:t>Vilimsky</w:t>
      </w:r>
      <w:proofErr w:type="spellEnd"/>
      <w:r w:rsidRPr="00CD5804">
        <w:t xml:space="preserve"> imunitātes atcelšanu, pamatojoties uz šiem jaunajiem faktiem; tā kā saskaņā ar izmeklēšanā iegūto informāciju </w:t>
      </w:r>
      <w:r w:rsidRPr="00CD5804">
        <w:rPr>
          <w:i/>
          <w:iCs/>
        </w:rPr>
        <w:t xml:space="preserve">Harald </w:t>
      </w:r>
      <w:proofErr w:type="spellStart"/>
      <w:r w:rsidRPr="00CD5804">
        <w:rPr>
          <w:i/>
          <w:iCs/>
        </w:rPr>
        <w:t>Vilimsky</w:t>
      </w:r>
      <w:proofErr w:type="spellEnd"/>
      <w:r w:rsidRPr="00CD5804">
        <w:t xml:space="preserve"> tiek turēts aizdomās par savu pilnvaru ļaunprātīgu izmantošanu, izmantojot savas politiskās partijas FPÖ (</w:t>
      </w:r>
      <w:proofErr w:type="spellStart"/>
      <w:r w:rsidRPr="00CD5804">
        <w:t>Freiheitliche</w:t>
      </w:r>
      <w:proofErr w:type="spellEnd"/>
      <w:r w:rsidRPr="00CD5804">
        <w:t xml:space="preserve"> </w:t>
      </w:r>
      <w:proofErr w:type="spellStart"/>
      <w:r w:rsidRPr="00CD5804">
        <w:t>Partei</w:t>
      </w:r>
      <w:proofErr w:type="spellEnd"/>
      <w:r w:rsidRPr="00CD5804">
        <w:t xml:space="preserve"> </w:t>
      </w:r>
      <w:proofErr w:type="spellStart"/>
      <w:r w:rsidRPr="00CD5804">
        <w:t>Österreichs</w:t>
      </w:r>
      <w:proofErr w:type="spellEnd"/>
      <w:r w:rsidRPr="00CD5804">
        <w:t xml:space="preserve"> — </w:t>
      </w:r>
      <w:proofErr w:type="spellStart"/>
      <w:r w:rsidRPr="00CD5804">
        <w:t>Die</w:t>
      </w:r>
      <w:proofErr w:type="spellEnd"/>
      <w:r w:rsidRPr="00CD5804">
        <w:t xml:space="preserve"> </w:t>
      </w:r>
      <w:proofErr w:type="spellStart"/>
      <w:r w:rsidRPr="00CD5804">
        <w:t>Freiheitlichen</w:t>
      </w:r>
      <w:proofErr w:type="spellEnd"/>
      <w:r w:rsidRPr="00CD5804">
        <w:t xml:space="preserve">) līdzekļus mērķiem, kas nav saistīti ar viņa darbību, 2013. gada datumos, kas vēl nav precīzi noteikti, it īpaši atļaujot privātus un ar partijas darbību nesaistītus maksājumus par durvju un slēdzenes uzstādīšanu </w:t>
      </w:r>
      <w:r w:rsidRPr="00CD5804">
        <w:rPr>
          <w:i/>
          <w:iCs/>
        </w:rPr>
        <w:t xml:space="preserve">Harald </w:t>
      </w:r>
      <w:proofErr w:type="spellStart"/>
      <w:r w:rsidRPr="00CD5804">
        <w:rPr>
          <w:i/>
          <w:iCs/>
        </w:rPr>
        <w:t>Vilimsky</w:t>
      </w:r>
      <w:proofErr w:type="spellEnd"/>
      <w:r w:rsidRPr="00CD5804">
        <w:t xml:space="preserve"> privātajā adresē, tādējādi radot kopējos zaudējumus FPÖ aktīviem EUR 9434,00 apmērā;</w:t>
      </w:r>
    </w:p>
    <w:p w14:paraId="36F2A7F6" w14:textId="77777777" w:rsidR="006F1768" w:rsidRPr="00CD5804" w:rsidRDefault="006F1768" w:rsidP="006F1768">
      <w:pPr>
        <w:pStyle w:val="NormalHanging12a"/>
      </w:pPr>
      <w:r w:rsidRPr="00CD5804">
        <w:t>C.</w:t>
      </w:r>
      <w:r w:rsidRPr="00CD5804">
        <w:tab/>
        <w:t xml:space="preserve">tā kā </w:t>
      </w:r>
      <w:r w:rsidRPr="00CD5804">
        <w:rPr>
          <w:i/>
          <w:iCs/>
        </w:rPr>
        <w:t xml:space="preserve">Harald </w:t>
      </w:r>
      <w:proofErr w:type="spellStart"/>
      <w:r w:rsidRPr="00CD5804">
        <w:rPr>
          <w:i/>
          <w:iCs/>
        </w:rPr>
        <w:t>Vilimsky</w:t>
      </w:r>
      <w:proofErr w:type="spellEnd"/>
      <w:r w:rsidRPr="00CD5804">
        <w:t xml:space="preserve"> tika ievēlēts Eiropas Parlamentā 2019. gada maija Eiropas vēlēšanās un atkārtoti ievēlēts 2024. gada jūnija Eiropas vēlēšanās un tā kā iespējamā noziedzīgā nodarījuma izdarīšanas laikā viņš nebija Eiropas Parlamenta deputāts; </w:t>
      </w:r>
    </w:p>
    <w:p w14:paraId="16225000" w14:textId="77777777" w:rsidR="006F1768" w:rsidRPr="00CD5804" w:rsidRDefault="006F1768" w:rsidP="006F1768">
      <w:pPr>
        <w:pStyle w:val="NormalHanging12a"/>
      </w:pPr>
      <w:r w:rsidRPr="00CD5804">
        <w:t>D.</w:t>
      </w:r>
      <w:r w:rsidRPr="00CD5804">
        <w:tab/>
        <w:t xml:space="preserve">tā kā inkriminētais nodarījums nav </w:t>
      </w:r>
      <w:r w:rsidRPr="00CD5804">
        <w:rPr>
          <w:i/>
          <w:iCs/>
        </w:rPr>
        <w:t xml:space="preserve">Harald </w:t>
      </w:r>
      <w:proofErr w:type="spellStart"/>
      <w:r w:rsidRPr="00CD5804">
        <w:rPr>
          <w:i/>
          <w:iCs/>
        </w:rPr>
        <w:t>Vilimsky</w:t>
      </w:r>
      <w:proofErr w:type="spellEnd"/>
      <w:r w:rsidRPr="00CD5804">
        <w:t xml:space="preserve"> viedoklis vai balsojums, kas pausts vai izdarīts, viņam pildot savus pienākumus Protokola Nr. 7 par privilēģijām un imunitāti Eiropas Savienībā 8. panta nozīmē, un no tā izrietošais pieprasījums atcelt viņa imunitāti nav saistīts ar tādu viedokli vai balsojumu;</w:t>
      </w:r>
    </w:p>
    <w:p w14:paraId="3D63DC5A" w14:textId="25619D39" w:rsidR="006F1768" w:rsidRPr="00CD5804" w:rsidRDefault="006F1768" w:rsidP="006F1768">
      <w:pPr>
        <w:pStyle w:val="NormalHanging12a"/>
      </w:pPr>
      <w:r w:rsidRPr="00CD5804">
        <w:t>E.</w:t>
      </w:r>
      <w:r w:rsidRPr="00CD5804">
        <w:tab/>
        <w:t>tā kā saskaņā ar Protokola Nr. 7 par privilēģijām un imunitāti Eiropas Savienībā 9. panta pirmās daļas a) punktu Eiropas Parlamenta deputātiem</w:t>
      </w:r>
      <w:r w:rsidR="009C2245" w:rsidRPr="00CD5804">
        <w:t xml:space="preserve"> Eiropas Parlamenta sesijās </w:t>
      </w:r>
      <w:r w:rsidRPr="00CD5804">
        <w:t xml:space="preserve">savā valstī ir imunitāte, ko piešķir </w:t>
      </w:r>
      <w:r w:rsidR="009C2245" w:rsidRPr="00CD5804">
        <w:t>viņu dalīb</w:t>
      </w:r>
      <w:r w:rsidRPr="00CD5804">
        <w:t>valsts parlamenta locekļiem;</w:t>
      </w:r>
    </w:p>
    <w:p w14:paraId="3B09460E" w14:textId="2C242758" w:rsidR="006F1768" w:rsidRPr="00CD5804" w:rsidRDefault="006F1768" w:rsidP="006F1768">
      <w:pPr>
        <w:pStyle w:val="NormalHanging12a"/>
      </w:pPr>
      <w:r w:rsidRPr="00CD5804">
        <w:t>F.</w:t>
      </w:r>
      <w:r w:rsidRPr="00CD5804">
        <w:tab/>
        <w:t>Austrijas Konstitūcijas 57. panta 2. un 3. punkt</w:t>
      </w:r>
      <w:r w:rsidR="009C2245" w:rsidRPr="00CD5804">
        <w:t>i paredz, ka</w:t>
      </w:r>
      <w:r w:rsidRPr="00CD5804">
        <w:t>,</w:t>
      </w:r>
    </w:p>
    <w:p w14:paraId="6DD16D5C" w14:textId="77777777" w:rsidR="006F1768" w:rsidRPr="00CD5804" w:rsidRDefault="006F1768" w:rsidP="00134296">
      <w:pPr>
        <w:pStyle w:val="NormalHanging12a"/>
        <w:ind w:left="1440" w:hanging="873"/>
        <w:rPr>
          <w:i/>
          <w:iCs/>
        </w:rPr>
      </w:pPr>
      <w:r w:rsidRPr="00CD5804">
        <w:rPr>
          <w:i/>
          <w:iCs/>
        </w:rPr>
        <w:t xml:space="preserve">“2. </w:t>
      </w:r>
      <w:r w:rsidRPr="00CD5804">
        <w:rPr>
          <w:i/>
          <w:iCs/>
        </w:rPr>
        <w:tab/>
        <w:t xml:space="preserve">Nacionālās padomes deputātus drīkst aizturēt tikai ar Nacionālās padomes piekrišanu, izņemot </w:t>
      </w:r>
      <w:proofErr w:type="spellStart"/>
      <w:r w:rsidRPr="00CD5804">
        <w:rPr>
          <w:i/>
          <w:iCs/>
        </w:rPr>
        <w:t>flagrante</w:t>
      </w:r>
      <w:proofErr w:type="spellEnd"/>
      <w:r w:rsidRPr="00CD5804">
        <w:rPr>
          <w:i/>
          <w:iCs/>
        </w:rPr>
        <w:t xml:space="preserve"> </w:t>
      </w:r>
      <w:proofErr w:type="spellStart"/>
      <w:r w:rsidRPr="00CD5804">
        <w:rPr>
          <w:i/>
          <w:iCs/>
        </w:rPr>
        <w:t>delicto</w:t>
      </w:r>
      <w:proofErr w:type="spellEnd"/>
      <w:r w:rsidRPr="00CD5804">
        <w:rPr>
          <w:i/>
          <w:iCs/>
        </w:rPr>
        <w:t xml:space="preserve"> gadījumos. Savukārt kratīšanai Nacionālās padomes locekļu mājās arī ir nepieciešama Nacionālās padomes piekrišana.</w:t>
      </w:r>
    </w:p>
    <w:p w14:paraId="165D604E" w14:textId="77777777" w:rsidR="006F1768" w:rsidRPr="00CD5804" w:rsidRDefault="006F1768" w:rsidP="00134296">
      <w:pPr>
        <w:pStyle w:val="NormalHanging12a"/>
        <w:ind w:left="1440" w:hanging="873"/>
        <w:rPr>
          <w:i/>
          <w:iCs/>
        </w:rPr>
      </w:pPr>
      <w:r w:rsidRPr="00CD5804">
        <w:rPr>
          <w:i/>
          <w:iCs/>
        </w:rPr>
        <w:t xml:space="preserve">3. </w:t>
      </w:r>
      <w:r w:rsidRPr="00CD5804">
        <w:rPr>
          <w:i/>
          <w:iCs/>
        </w:rPr>
        <w:tab/>
        <w:t>Jebkurā citā gadījumā Nacionālās padomes locekļus var oficiāli saukt pie kriminālatbildības par noziedzīgiem nodarījumiem bez Nacionālās padomes piekrišanas, ja tiem nav acīmredzamas saistības ar attiecīgā deputāta oficiālo darbību. Tomēr iestādēm ir jāsaņem Nacionālās padomes lēmums par šādas saiknes esamību, ja to pieprasa attiecīgais deputāts vai viena trešdaļa pastāvīgās tās komitejas locekļu, kas nodarbojas ar konkrēto lietu. Šāda pieprasījuma gadījumā attiecīgajām iestādēm jebkura oficiāla kriminālvajāšana nekavējoties ir jāpārtrauc vai jāizbeidz.”;</w:t>
      </w:r>
    </w:p>
    <w:p w14:paraId="174449CF" w14:textId="02062155" w:rsidR="006F1768" w:rsidRPr="00CD5804" w:rsidRDefault="006F1768" w:rsidP="006F1768">
      <w:pPr>
        <w:pStyle w:val="NormalHanging12a"/>
      </w:pPr>
      <w:r w:rsidRPr="00CD5804">
        <w:t>G.</w:t>
      </w:r>
      <w:r w:rsidRPr="00CD5804">
        <w:tab/>
        <w:t xml:space="preserve">tā kā Protokola Nr. 7 par imunitāti un privilēģijām Eiropas Savienībā paredzētās imunitātes mērķis ir aizsargāt Parlamentu un tā deputātus pret juridiskiem procesiem, kas tiek ierosināti par darbībām, kuras ir veiktas, pildot parlamentāros pienākumus, un kuras atrauti no </w:t>
      </w:r>
      <w:r w:rsidR="00D91BB2" w:rsidRPr="00CD5804">
        <w:t xml:space="preserve">minētajiem </w:t>
      </w:r>
      <w:r w:rsidRPr="00CD5804">
        <w:t>pienākumiem skatīt nevar;</w:t>
      </w:r>
    </w:p>
    <w:p w14:paraId="31D049E4" w14:textId="77777777" w:rsidR="006F1768" w:rsidRPr="00CD5804" w:rsidRDefault="006F1768" w:rsidP="006F1768">
      <w:pPr>
        <w:pStyle w:val="NormalHanging12a"/>
      </w:pPr>
      <w:r w:rsidRPr="00CD5804">
        <w:lastRenderedPageBreak/>
        <w:t>H.</w:t>
      </w:r>
      <w:r w:rsidRPr="00CD5804">
        <w:tab/>
        <w:t>tā kā saskaņā ar Parlamenta Reglamenta 5. panta 2. punktu deputāta imunitāte nav deputāta personiska privilēģija, bet gan visa Parlamenta un tā deputātu neatkarības garantija;</w:t>
      </w:r>
    </w:p>
    <w:p w14:paraId="1EAF7271" w14:textId="739E4AD4" w:rsidR="006F1768" w:rsidRPr="00CD5804" w:rsidRDefault="006F1768" w:rsidP="006F1768">
      <w:pPr>
        <w:pStyle w:val="NormalHanging12a"/>
      </w:pPr>
      <w:r w:rsidRPr="00CD5804">
        <w:t>I.</w:t>
      </w:r>
      <w:r w:rsidRPr="00CD5804">
        <w:tab/>
        <w:t xml:space="preserve">tā kā šajā lietā Parlaments nav guvis pierādījumus par </w:t>
      </w:r>
      <w:proofErr w:type="spellStart"/>
      <w:r w:rsidRPr="00CD5804">
        <w:rPr>
          <w:i/>
          <w:iCs/>
        </w:rPr>
        <w:t>fumus</w:t>
      </w:r>
      <w:proofErr w:type="spellEnd"/>
      <w:r w:rsidRPr="00CD5804">
        <w:rPr>
          <w:i/>
          <w:iCs/>
        </w:rPr>
        <w:t xml:space="preserve"> </w:t>
      </w:r>
      <w:proofErr w:type="spellStart"/>
      <w:r w:rsidRPr="00CD5804">
        <w:rPr>
          <w:i/>
          <w:iCs/>
        </w:rPr>
        <w:t>persecutionis</w:t>
      </w:r>
      <w:proofErr w:type="spellEnd"/>
      <w:r w:rsidRPr="00CD5804">
        <w:t xml:space="preserve">, t.i., </w:t>
      </w:r>
      <w:r w:rsidR="00392785" w:rsidRPr="00CD5804">
        <w:t>nešķiet</w:t>
      </w:r>
      <w:r w:rsidRPr="00CD5804">
        <w:t xml:space="preserve">, ka attiecīgā kriminālprocesa ierosināšanas īstenais mērķis varētu kaitēt </w:t>
      </w:r>
      <w:r w:rsidRPr="00CD5804">
        <w:rPr>
          <w:i/>
          <w:iCs/>
        </w:rPr>
        <w:t xml:space="preserve">Harald </w:t>
      </w:r>
      <w:proofErr w:type="spellStart"/>
      <w:r w:rsidRPr="00CD5804">
        <w:rPr>
          <w:i/>
          <w:iCs/>
        </w:rPr>
        <w:t>Vilimsky</w:t>
      </w:r>
      <w:proofErr w:type="spellEnd"/>
      <w:r w:rsidRPr="00CD5804">
        <w:t xml:space="preserve"> politiskajai darbībai Eiropas Parlamenta deputāta statusā</w:t>
      </w:r>
      <w:r w:rsidR="00D91BB2" w:rsidRPr="00CD5804">
        <w:t xml:space="preserve"> un tādējādi Parlamenta neatkarībai</w:t>
      </w:r>
      <w:r w:rsidRPr="00CD5804">
        <w:t>;</w:t>
      </w:r>
    </w:p>
    <w:p w14:paraId="4BC61EE2" w14:textId="77777777" w:rsidR="006F1768" w:rsidRPr="00CD5804" w:rsidRDefault="006F1768" w:rsidP="006F1768">
      <w:pPr>
        <w:pStyle w:val="NormalHanging12a"/>
      </w:pPr>
      <w:r w:rsidRPr="00CD5804">
        <w:t>J.</w:t>
      </w:r>
      <w:r w:rsidRPr="00CD5804">
        <w:tab/>
        <w:t>tā kā, no vienas puses, Parlaments nevar tikt pielīdzināts tiesai un, no otras puses, deputāts imunitātes atcelšanas procedūras kontekstā nevar tikt uzskatīts par apsūdzēto</w:t>
      </w:r>
      <w:r w:rsidRPr="00CD5804">
        <w:rPr>
          <w:vertAlign w:val="superscript"/>
        </w:rPr>
        <w:footnoteReference w:id="2"/>
      </w:r>
      <w:r w:rsidRPr="00CD5804">
        <w:t>;</w:t>
      </w:r>
    </w:p>
    <w:p w14:paraId="0A9BA909" w14:textId="77777777" w:rsidR="006F1768" w:rsidRPr="00CD5804" w:rsidRDefault="006F1768" w:rsidP="006F1768">
      <w:pPr>
        <w:pStyle w:val="NormalHanging12a"/>
      </w:pPr>
      <w:r w:rsidRPr="00CD5804">
        <w:t>1.</w:t>
      </w:r>
      <w:r w:rsidRPr="00CD5804">
        <w:tab/>
        <w:t xml:space="preserve">nolemj atcelt </w:t>
      </w:r>
      <w:r w:rsidRPr="00CD5804">
        <w:rPr>
          <w:i/>
          <w:iCs/>
        </w:rPr>
        <w:t>Harald </w:t>
      </w:r>
      <w:proofErr w:type="spellStart"/>
      <w:r w:rsidRPr="00CD5804">
        <w:rPr>
          <w:i/>
          <w:iCs/>
        </w:rPr>
        <w:t>Vilimsky</w:t>
      </w:r>
      <w:proofErr w:type="spellEnd"/>
      <w:r w:rsidRPr="00CD5804">
        <w:t xml:space="preserve"> imunitāti;</w:t>
      </w:r>
    </w:p>
    <w:p w14:paraId="10B06516" w14:textId="56D9FB34" w:rsidR="007604AF" w:rsidRPr="00CD5804" w:rsidRDefault="006F1768" w:rsidP="007604AF">
      <w:pPr>
        <w:pStyle w:val="NormalHanging12a"/>
      </w:pPr>
      <w:r w:rsidRPr="00CD5804">
        <w:t>2.</w:t>
      </w:r>
      <w:r w:rsidRPr="00CD5804">
        <w:tab/>
        <w:t xml:space="preserve">uzdod priekšsēdētājai šo lēmumu un atbildīgās komitejas ziņojumu nekavējoties nosūtīt Austrijas Republikas kompetentajai iestādei un </w:t>
      </w:r>
      <w:r w:rsidRPr="00CD5804">
        <w:rPr>
          <w:i/>
          <w:iCs/>
        </w:rPr>
        <w:t>Harald </w:t>
      </w:r>
      <w:proofErr w:type="spellStart"/>
      <w:r w:rsidRPr="00CD5804">
        <w:rPr>
          <w:i/>
          <w:iCs/>
        </w:rPr>
        <w:t>Vilimsky</w:t>
      </w:r>
      <w:proofErr w:type="spellEnd"/>
      <w:r w:rsidRPr="00CD5804">
        <w:t xml:space="preserve">. </w:t>
      </w:r>
    </w:p>
    <w:p w14:paraId="18158456" w14:textId="007840E4" w:rsidR="00E365E1" w:rsidRPr="00CD5804" w:rsidRDefault="00E365E1" w:rsidP="00FA657B"/>
    <w:sectPr w:rsidR="00E365E1" w:rsidRPr="00CD5804" w:rsidSect="007604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DB124" w14:textId="77777777" w:rsidR="00FA657B" w:rsidRPr="007604AF" w:rsidRDefault="00FA657B">
      <w:r w:rsidRPr="007604AF">
        <w:separator/>
      </w:r>
    </w:p>
  </w:endnote>
  <w:endnote w:type="continuationSeparator" w:id="0">
    <w:p w14:paraId="7378FD3C" w14:textId="77777777" w:rsidR="00FA657B" w:rsidRPr="007604AF" w:rsidRDefault="00FA657B">
      <w:r w:rsidRPr="007604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F9603" w14:textId="77777777" w:rsidR="00064002" w:rsidRPr="007604A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F3E85" w14:textId="77777777" w:rsidR="00064002" w:rsidRPr="007604A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D2A0" w14:textId="77777777" w:rsidR="00064002" w:rsidRPr="007604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9F074" w14:textId="77777777" w:rsidR="00FA657B" w:rsidRPr="007604AF" w:rsidRDefault="00FA657B">
      <w:r w:rsidRPr="007604AF">
        <w:separator/>
      </w:r>
    </w:p>
  </w:footnote>
  <w:footnote w:type="continuationSeparator" w:id="0">
    <w:p w14:paraId="2DA7629B" w14:textId="77777777" w:rsidR="00FA657B" w:rsidRPr="007604AF" w:rsidRDefault="00FA657B">
      <w:r w:rsidRPr="007604AF">
        <w:continuationSeparator/>
      </w:r>
    </w:p>
  </w:footnote>
  <w:footnote w:id="1">
    <w:p w14:paraId="5D56D745" w14:textId="30D0A08E" w:rsidR="006F1768" w:rsidRPr="007604AF" w:rsidRDefault="006F1768" w:rsidP="007604AF">
      <w:pPr>
        <w:pStyle w:val="FootnoteText"/>
        <w:ind w:left="567" w:hanging="567"/>
        <w:rPr>
          <w:sz w:val="24"/>
          <w:lang w:val="lv-LV"/>
        </w:rPr>
      </w:pPr>
      <w:r w:rsidRPr="007604AF">
        <w:rPr>
          <w:rStyle w:val="FootnoteReference"/>
          <w:sz w:val="24"/>
          <w:lang w:val="lv-LV"/>
        </w:rPr>
        <w:footnoteRef/>
      </w:r>
      <w:r w:rsidR="007604AF" w:rsidRPr="007604AF">
        <w:rPr>
          <w:sz w:val="24"/>
          <w:lang w:val="lv-LV"/>
        </w:rPr>
        <w:t xml:space="preserve"> </w:t>
      </w:r>
      <w:r w:rsidR="007604AF" w:rsidRPr="007604AF">
        <w:rPr>
          <w:sz w:val="24"/>
          <w:lang w:val="lv-LV"/>
        </w:rPr>
        <w:tab/>
      </w:r>
      <w:r w:rsidRPr="007604AF">
        <w:rPr>
          <w:sz w:val="24"/>
          <w:lang w:val="lv-LV"/>
        </w:rPr>
        <w:t xml:space="preserve">Tiesas 2008. gada 21. oktobra spriedumi, </w:t>
      </w:r>
      <w:proofErr w:type="spellStart"/>
      <w:r w:rsidRPr="007604AF">
        <w:rPr>
          <w:i/>
          <w:iCs/>
          <w:sz w:val="24"/>
          <w:lang w:val="lv-LV"/>
        </w:rPr>
        <w:t>Marra</w:t>
      </w:r>
      <w:proofErr w:type="spellEnd"/>
      <w:r w:rsidRPr="007604AF">
        <w:rPr>
          <w:i/>
          <w:iCs/>
          <w:sz w:val="24"/>
          <w:lang w:val="lv-LV"/>
        </w:rPr>
        <w:t>/</w:t>
      </w:r>
      <w:proofErr w:type="spellStart"/>
      <w:r w:rsidRPr="007604AF">
        <w:rPr>
          <w:i/>
          <w:iCs/>
          <w:sz w:val="24"/>
          <w:lang w:val="lv-LV"/>
        </w:rPr>
        <w:t>De</w:t>
      </w:r>
      <w:proofErr w:type="spellEnd"/>
      <w:r w:rsidRPr="007604AF">
        <w:rPr>
          <w:i/>
          <w:iCs/>
          <w:sz w:val="24"/>
          <w:lang w:val="lv-LV"/>
        </w:rPr>
        <w:t xml:space="preserve"> Gregorio</w:t>
      </w:r>
      <w:r w:rsidRPr="007604AF">
        <w:rPr>
          <w:sz w:val="24"/>
          <w:lang w:val="lv-LV"/>
        </w:rPr>
        <w:t xml:space="preserve"> un </w:t>
      </w:r>
      <w:proofErr w:type="spellStart"/>
      <w:r w:rsidRPr="007604AF">
        <w:rPr>
          <w:i/>
          <w:iCs/>
          <w:sz w:val="24"/>
          <w:lang w:val="lv-LV"/>
        </w:rPr>
        <w:t>Clemente</w:t>
      </w:r>
      <w:proofErr w:type="spellEnd"/>
      <w:r w:rsidRPr="007604AF">
        <w:rPr>
          <w:sz w:val="24"/>
          <w:lang w:val="lv-LV"/>
        </w:rPr>
        <w:t xml:space="preserve">, C-200/07 un C–201/07, ECLI:EU:C:2008:579; Vispārējās tiesas 2010. gada 19. marta spriedums, </w:t>
      </w:r>
      <w:proofErr w:type="spellStart"/>
      <w:r w:rsidRPr="007604AF">
        <w:rPr>
          <w:i/>
          <w:iCs/>
          <w:sz w:val="24"/>
          <w:lang w:val="lv-LV"/>
        </w:rPr>
        <w:t>Gollnisch</w:t>
      </w:r>
      <w:proofErr w:type="spellEnd"/>
      <w:r w:rsidRPr="007604AF">
        <w:rPr>
          <w:sz w:val="24"/>
          <w:lang w:val="lv-LV"/>
        </w:rPr>
        <w:t xml:space="preserve">/Parlaments, T-42/06, ECLI:EU:T:2010:102; Tiesas 2011. gada 6. septembra spriedums, </w:t>
      </w:r>
      <w:proofErr w:type="spellStart"/>
      <w:r w:rsidRPr="007604AF">
        <w:rPr>
          <w:i/>
          <w:iCs/>
          <w:sz w:val="24"/>
          <w:lang w:val="lv-LV"/>
        </w:rPr>
        <w:t>Patriciello</w:t>
      </w:r>
      <w:proofErr w:type="spellEnd"/>
      <w:r w:rsidRPr="007604AF">
        <w:rPr>
          <w:sz w:val="24"/>
          <w:lang w:val="lv-LV"/>
        </w:rPr>
        <w:t xml:space="preserve">, C-163/10, ECLI: EU:C:2011:543; Vispārējās tiesas 2013. gada 17. janvāra spriedumi, </w:t>
      </w:r>
      <w:proofErr w:type="spellStart"/>
      <w:r w:rsidRPr="007604AF">
        <w:rPr>
          <w:i/>
          <w:iCs/>
          <w:sz w:val="24"/>
          <w:lang w:val="lv-LV"/>
        </w:rPr>
        <w:t>Gollnisch</w:t>
      </w:r>
      <w:proofErr w:type="spellEnd"/>
      <w:r w:rsidRPr="007604AF">
        <w:rPr>
          <w:sz w:val="24"/>
          <w:lang w:val="lv-LV"/>
        </w:rPr>
        <w:t xml:space="preserve">/Parlaments, T-346/11 un T-347/11, ECLI:EU:T:2013:23. Tiesas 2019. gada 19. decembra spriedums, </w:t>
      </w:r>
      <w:proofErr w:type="spellStart"/>
      <w:r w:rsidRPr="007604AF">
        <w:rPr>
          <w:i/>
          <w:iCs/>
          <w:sz w:val="24"/>
          <w:lang w:val="lv-LV"/>
        </w:rPr>
        <w:t>Junqueras</w:t>
      </w:r>
      <w:proofErr w:type="spellEnd"/>
      <w:r w:rsidRPr="007604AF">
        <w:rPr>
          <w:i/>
          <w:iCs/>
          <w:sz w:val="24"/>
          <w:lang w:val="lv-LV"/>
        </w:rPr>
        <w:t xml:space="preserve"> Vies</w:t>
      </w:r>
      <w:r w:rsidRPr="007604AF">
        <w:rPr>
          <w:sz w:val="24"/>
          <w:lang w:val="lv-LV"/>
        </w:rPr>
        <w:t>, C-502/19, ECLI:EU:C:2019:1115.</w:t>
      </w:r>
    </w:p>
  </w:footnote>
  <w:footnote w:id="2">
    <w:p w14:paraId="678D6A04" w14:textId="3D0CB5AC" w:rsidR="006F1768" w:rsidRPr="007604AF" w:rsidRDefault="006F1768" w:rsidP="007604AF">
      <w:pPr>
        <w:pStyle w:val="FootnoteText"/>
        <w:ind w:left="567" w:hanging="567"/>
        <w:rPr>
          <w:sz w:val="24"/>
          <w:lang w:val="lv-LV"/>
        </w:rPr>
      </w:pPr>
      <w:r w:rsidRPr="007604AF">
        <w:rPr>
          <w:rStyle w:val="FootnoteReference"/>
          <w:sz w:val="24"/>
          <w:lang w:val="lv-LV"/>
        </w:rPr>
        <w:footnoteRef/>
      </w:r>
      <w:r w:rsidR="007604AF" w:rsidRPr="007604AF">
        <w:rPr>
          <w:sz w:val="24"/>
          <w:lang w:val="lv-LV"/>
        </w:rPr>
        <w:t xml:space="preserve"> </w:t>
      </w:r>
      <w:r w:rsidR="007604AF" w:rsidRPr="007604AF">
        <w:rPr>
          <w:sz w:val="24"/>
          <w:lang w:val="lv-LV"/>
        </w:rPr>
        <w:tab/>
      </w:r>
      <w:r w:rsidRPr="007604AF">
        <w:rPr>
          <w:sz w:val="24"/>
          <w:lang w:val="lv-LV"/>
        </w:rPr>
        <w:t xml:space="preserve">Vispārējās tiesas 2019. gada 30. aprīļa spriedums, </w:t>
      </w:r>
      <w:proofErr w:type="spellStart"/>
      <w:r w:rsidRPr="007604AF">
        <w:rPr>
          <w:i/>
          <w:iCs/>
          <w:sz w:val="24"/>
          <w:lang w:val="lv-LV"/>
        </w:rPr>
        <w:t>Briois</w:t>
      </w:r>
      <w:proofErr w:type="spellEnd"/>
      <w:r w:rsidRPr="007604AF">
        <w:rPr>
          <w:sz w:val="24"/>
          <w:lang w:val="lv-LV"/>
        </w:rPr>
        <w:t>/Parlaments, T-214/18, ECLI:EU:T:2019:266, 91.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1424E" w14:textId="77777777" w:rsidR="00064002" w:rsidRPr="007604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D93BF" w14:textId="77777777" w:rsidR="00064002" w:rsidRPr="007604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231A5" w14:textId="77777777" w:rsidR="00064002" w:rsidRPr="007604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5536452">
    <w:abstractNumId w:val="9"/>
  </w:num>
  <w:num w:numId="2" w16cid:durableId="138353746">
    <w:abstractNumId w:val="9"/>
  </w:num>
  <w:num w:numId="3" w16cid:durableId="1927302803">
    <w:abstractNumId w:val="7"/>
  </w:num>
  <w:num w:numId="4" w16cid:durableId="488405743">
    <w:abstractNumId w:val="7"/>
  </w:num>
  <w:num w:numId="5" w16cid:durableId="2125684685">
    <w:abstractNumId w:val="6"/>
  </w:num>
  <w:num w:numId="6" w16cid:durableId="2010669452">
    <w:abstractNumId w:val="6"/>
  </w:num>
  <w:num w:numId="7" w16cid:durableId="623077507">
    <w:abstractNumId w:val="5"/>
  </w:num>
  <w:num w:numId="8" w16cid:durableId="218051561">
    <w:abstractNumId w:val="5"/>
  </w:num>
  <w:num w:numId="9" w16cid:durableId="185412547">
    <w:abstractNumId w:val="4"/>
  </w:num>
  <w:num w:numId="10" w16cid:durableId="2059931001">
    <w:abstractNumId w:val="4"/>
  </w:num>
  <w:num w:numId="11" w16cid:durableId="1348097965">
    <w:abstractNumId w:val="8"/>
  </w:num>
  <w:num w:numId="12" w16cid:durableId="288779814">
    <w:abstractNumId w:val="8"/>
  </w:num>
  <w:num w:numId="13" w16cid:durableId="982003868">
    <w:abstractNumId w:val="3"/>
  </w:num>
  <w:num w:numId="14" w16cid:durableId="1777484970">
    <w:abstractNumId w:val="3"/>
  </w:num>
  <w:num w:numId="15" w16cid:durableId="885874890">
    <w:abstractNumId w:val="2"/>
  </w:num>
  <w:num w:numId="16" w16cid:durableId="64768099">
    <w:abstractNumId w:val="2"/>
  </w:num>
  <w:num w:numId="17" w16cid:durableId="1815171620">
    <w:abstractNumId w:val="1"/>
  </w:num>
  <w:num w:numId="18" w16cid:durableId="1255892495">
    <w:abstractNumId w:val="1"/>
  </w:num>
  <w:num w:numId="19" w16cid:durableId="1976908968">
    <w:abstractNumId w:val="0"/>
  </w:num>
  <w:num w:numId="20" w16cid:durableId="380834127">
    <w:abstractNumId w:val="0"/>
  </w:num>
  <w:num w:numId="21" w16cid:durableId="171653849">
    <w:abstractNumId w:val="9"/>
  </w:num>
  <w:num w:numId="22" w16cid:durableId="1246960002">
    <w:abstractNumId w:val="7"/>
  </w:num>
  <w:num w:numId="23" w16cid:durableId="1701665875">
    <w:abstractNumId w:val="6"/>
  </w:num>
  <w:num w:numId="24" w16cid:durableId="796721411">
    <w:abstractNumId w:val="5"/>
  </w:num>
  <w:num w:numId="25" w16cid:durableId="1496451687">
    <w:abstractNumId w:val="4"/>
  </w:num>
  <w:num w:numId="26" w16cid:durableId="904535164">
    <w:abstractNumId w:val="8"/>
  </w:num>
  <w:num w:numId="27" w16cid:durableId="1816994416">
    <w:abstractNumId w:val="3"/>
  </w:num>
  <w:num w:numId="28" w16cid:durableId="120727948">
    <w:abstractNumId w:val="2"/>
  </w:num>
  <w:num w:numId="29" w16cid:durableId="2134664958">
    <w:abstractNumId w:val="1"/>
  </w:num>
  <w:num w:numId="30" w16cid:durableId="883516771">
    <w:abstractNumId w:val="0"/>
  </w:num>
  <w:num w:numId="31" w16cid:durableId="1382630857">
    <w:abstractNumId w:val="9"/>
  </w:num>
  <w:num w:numId="32" w16cid:durableId="1848716816">
    <w:abstractNumId w:val="7"/>
  </w:num>
  <w:num w:numId="33" w16cid:durableId="1012220269">
    <w:abstractNumId w:val="6"/>
  </w:num>
  <w:num w:numId="34" w16cid:durableId="1954745445">
    <w:abstractNumId w:val="5"/>
  </w:num>
  <w:num w:numId="35" w16cid:durableId="279843952">
    <w:abstractNumId w:val="4"/>
  </w:num>
  <w:num w:numId="36" w16cid:durableId="557594844">
    <w:abstractNumId w:val="8"/>
  </w:num>
  <w:num w:numId="37" w16cid:durableId="1294169832">
    <w:abstractNumId w:val="3"/>
  </w:num>
  <w:num w:numId="38" w16cid:durableId="675041028">
    <w:abstractNumId w:val="2"/>
  </w:num>
  <w:num w:numId="39" w16cid:durableId="876044423">
    <w:abstractNumId w:val="1"/>
  </w:num>
  <w:num w:numId="40" w16cid:durableId="59400717">
    <w:abstractNumId w:val="0"/>
  </w:num>
  <w:num w:numId="41" w16cid:durableId="1946616550">
    <w:abstractNumId w:val="10"/>
  </w:num>
  <w:num w:numId="42" w16cid:durableId="1823156447">
    <w:abstractNumId w:val="10"/>
  </w:num>
  <w:num w:numId="43" w16cid:durableId="537746446">
    <w:abstractNumId w:val="10"/>
  </w:num>
  <w:num w:numId="44" w16cid:durableId="18434670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5/2026"/>
    <w:docVar w:name="dvlangue" w:val="LV"/>
    <w:docVar w:name="dvnumam" w:val="0"/>
    <w:docVar w:name="dvpe" w:val="784.495"/>
    <w:docVar w:name="dvrapporteur" w:val="Referents: "/>
    <w:docVar w:name="dvtitre" w:val="Eiropas Parlamenta 2026. gada XX. XXX lēmums par pieprasījumu atcelt Harald Vilimsky imunitāti(2025/2158(IMM))"/>
  </w:docVars>
  <w:rsids>
    <w:rsidRoot w:val="00FA657B"/>
    <w:rsid w:val="00002272"/>
    <w:rsid w:val="00064002"/>
    <w:rsid w:val="000677B9"/>
    <w:rsid w:val="000831BA"/>
    <w:rsid w:val="000A42CC"/>
    <w:rsid w:val="000E7DD9"/>
    <w:rsid w:val="0010095E"/>
    <w:rsid w:val="00125B37"/>
    <w:rsid w:val="00134296"/>
    <w:rsid w:val="00187494"/>
    <w:rsid w:val="001F32AE"/>
    <w:rsid w:val="00237C25"/>
    <w:rsid w:val="002767FF"/>
    <w:rsid w:val="002B18FE"/>
    <w:rsid w:val="002B5493"/>
    <w:rsid w:val="00343214"/>
    <w:rsid w:val="00361C00"/>
    <w:rsid w:val="0039278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1768"/>
    <w:rsid w:val="006F74FA"/>
    <w:rsid w:val="00731ADD"/>
    <w:rsid w:val="00734777"/>
    <w:rsid w:val="00741BDB"/>
    <w:rsid w:val="00747932"/>
    <w:rsid w:val="00751A4A"/>
    <w:rsid w:val="00756632"/>
    <w:rsid w:val="007604AF"/>
    <w:rsid w:val="00762C74"/>
    <w:rsid w:val="00786EC0"/>
    <w:rsid w:val="007A4DC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224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5804"/>
    <w:rsid w:val="00CF071A"/>
    <w:rsid w:val="00D058B8"/>
    <w:rsid w:val="00D56C11"/>
    <w:rsid w:val="00D834A0"/>
    <w:rsid w:val="00D872DF"/>
    <w:rsid w:val="00D91BB2"/>
    <w:rsid w:val="00D91E21"/>
    <w:rsid w:val="00DA7FCD"/>
    <w:rsid w:val="00E365E1"/>
    <w:rsid w:val="00E820A4"/>
    <w:rsid w:val="00EB006A"/>
    <w:rsid w:val="00EB4772"/>
    <w:rsid w:val="00ED169E"/>
    <w:rsid w:val="00ED16E0"/>
    <w:rsid w:val="00ED4235"/>
    <w:rsid w:val="00F04346"/>
    <w:rsid w:val="00F075DC"/>
    <w:rsid w:val="00F149E9"/>
    <w:rsid w:val="00F5134D"/>
    <w:rsid w:val="00F74202"/>
    <w:rsid w:val="00F87713"/>
    <w:rsid w:val="00FA657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CABD85"/>
  <w15:chartTrackingRefBased/>
  <w15:docId w15:val="{3CB99A4F-5FF8-4A39-98FD-FF4C62BEB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F1768"/>
    <w:rPr>
      <w:b/>
    </w:rPr>
  </w:style>
  <w:style w:type="paragraph" w:customStyle="1" w:styleId="NormalHanging12a">
    <w:name w:val="NormalHanging12a"/>
    <w:basedOn w:val="Normal"/>
    <w:rsid w:val="006F1768"/>
    <w:pPr>
      <w:spacing w:after="240"/>
      <w:ind w:left="567" w:hanging="567"/>
    </w:pPr>
  </w:style>
  <w:style w:type="paragraph" w:customStyle="1" w:styleId="EPComma">
    <w:name w:val="EPComma"/>
    <w:basedOn w:val="Normal"/>
    <w:rsid w:val="006F1768"/>
    <w:pPr>
      <w:spacing w:before="480" w:after="240"/>
    </w:pPr>
  </w:style>
  <w:style w:type="paragraph" w:styleId="Revision">
    <w:name w:val="Revision"/>
    <w:hidden/>
    <w:uiPriority w:val="99"/>
    <w:semiHidden/>
    <w:rsid w:val="009C2245"/>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719</Words>
  <Characters>4742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2026-05-19T11:47:00Z</dcterms:created>
  <dcterms:modified xsi:type="dcterms:W3CDTF">2026-05-19T11:47:00Z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A10-0125/2026</vt:lpwstr>
  </property>
  <property fmtid="{D5CDD505-2E9C-101B-9397-08002B2CF9AE}" pid="4" name="&lt;Type&gt;">
    <vt:lpwstr>RR</vt:lpwstr>
  </property>
</Properties>
</file>