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7B9F" w14:paraId="5A6303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4E6B7D" w14:textId="0C92FE81" w:rsidR="00751A4A" w:rsidRPr="002D7B9F" w:rsidRDefault="00E013B3" w:rsidP="0010095E">
            <w:pPr>
              <w:pStyle w:val="EPName"/>
            </w:pPr>
            <w:r w:rsidRPr="002D7B9F">
              <w:t xml:space="preserve">Parlamento </w:t>
            </w:r>
            <w:proofErr w:type="gramStart"/>
            <w:r w:rsidRPr="002D7B9F">
              <w:t>Europeu</w:t>
            </w:r>
            <w:proofErr w:type="gramEnd"/>
          </w:p>
          <w:p w14:paraId="447E907F" w14:textId="77777777" w:rsidR="00751A4A" w:rsidRPr="002D7B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7B9F">
              <w:t>2024</w:t>
            </w:r>
            <w:r w:rsidR="00817416" w:rsidRPr="002D7B9F">
              <w:t>-202</w:t>
            </w:r>
            <w:r w:rsidRPr="002D7B9F">
              <w:t>9</w:t>
            </w:r>
          </w:p>
        </w:tc>
        <w:tc>
          <w:tcPr>
            <w:tcW w:w="2268" w:type="dxa"/>
            <w:shd w:val="clear" w:color="auto" w:fill="auto"/>
          </w:tcPr>
          <w:p w14:paraId="467A3C2A" w14:textId="77777777" w:rsidR="00751A4A" w:rsidRPr="002D7B9F" w:rsidRDefault="00187494" w:rsidP="0010095E">
            <w:pPr>
              <w:pStyle w:val="EPLogo"/>
            </w:pPr>
            <w:r w:rsidRPr="002D7B9F">
              <w:rPr>
                <w:noProof/>
                <w:lang w:eastAsia="ja-JP"/>
              </w:rPr>
              <w:drawing>
                <wp:inline distT="0" distB="0" distL="0" distR="0" wp14:anchorId="70A2BD35" wp14:editId="2E418E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999D4C" w14:textId="77777777" w:rsidR="00D058B8" w:rsidRPr="002D7B9F" w:rsidRDefault="00D058B8" w:rsidP="004C5D52">
      <w:pPr>
        <w:pStyle w:val="LineTop"/>
      </w:pPr>
    </w:p>
    <w:p w14:paraId="5734210F" w14:textId="1E914922" w:rsidR="00680577" w:rsidRPr="002D7B9F" w:rsidRDefault="00E013B3" w:rsidP="00680577">
      <w:pPr>
        <w:pStyle w:val="EPBodyTA1"/>
      </w:pPr>
      <w:r w:rsidRPr="002D7B9F">
        <w:t>TEXTOS APROVADOS</w:t>
      </w:r>
    </w:p>
    <w:p w14:paraId="05E51BFD" w14:textId="77777777" w:rsidR="00D058B8" w:rsidRPr="002D7B9F" w:rsidRDefault="00D058B8" w:rsidP="00D058B8">
      <w:pPr>
        <w:pStyle w:val="LineBottom"/>
      </w:pPr>
    </w:p>
    <w:p w14:paraId="7333EE63" w14:textId="638C55FF" w:rsidR="00E013B3" w:rsidRPr="002D7B9F" w:rsidRDefault="00E013B3" w:rsidP="00E013B3">
      <w:pPr>
        <w:pStyle w:val="ATHeading1"/>
      </w:pPr>
      <w:bookmarkStart w:id="0" w:name="TANumber"/>
      <w:r w:rsidRPr="002D7B9F">
        <w:t>P10_TA(2026)</w:t>
      </w:r>
      <w:bookmarkEnd w:id="0"/>
      <w:r w:rsidR="005F0D14" w:rsidRPr="002D7B9F">
        <w:t>0164</w:t>
      </w:r>
    </w:p>
    <w:p w14:paraId="29B009D8" w14:textId="77777777" w:rsidR="00E013B3" w:rsidRPr="002D7B9F" w:rsidRDefault="00E013B3" w:rsidP="00E013B3">
      <w:pPr>
        <w:pStyle w:val="ATHeading2"/>
      </w:pPr>
      <w:bookmarkStart w:id="1" w:name="title"/>
      <w:r w:rsidRPr="002D7B9F">
        <w:t xml:space="preserve">Pedido de levantamento da imunidade de </w:t>
      </w:r>
      <w:proofErr w:type="spellStart"/>
      <w:r w:rsidRPr="002D7B9F">
        <w:t>Harald</w:t>
      </w:r>
      <w:proofErr w:type="spellEnd"/>
      <w:r w:rsidRPr="002D7B9F">
        <w:t> </w:t>
      </w:r>
      <w:proofErr w:type="spellStart"/>
      <w:r w:rsidRPr="002D7B9F">
        <w:t>Vilimsky</w:t>
      </w:r>
      <w:bookmarkEnd w:id="1"/>
      <w:proofErr w:type="spellEnd"/>
    </w:p>
    <w:p w14:paraId="086FA9FF" w14:textId="77777777" w:rsidR="00E013B3" w:rsidRPr="002D7B9F" w:rsidRDefault="00E013B3" w:rsidP="00E013B3">
      <w:pPr>
        <w:rPr>
          <w:i/>
          <w:vanish/>
        </w:rPr>
      </w:pPr>
      <w:r w:rsidRPr="002D7B9F">
        <w:rPr>
          <w:i/>
        </w:rPr>
        <w:fldChar w:fldCharType="begin"/>
      </w:r>
      <w:r w:rsidRPr="002D7B9F">
        <w:rPr>
          <w:i/>
        </w:rPr>
        <w:instrText xml:space="preserve"> TC"(</w:instrText>
      </w:r>
      <w:bookmarkStart w:id="2" w:name="DocNumber"/>
      <w:r w:rsidRPr="002D7B9F">
        <w:rPr>
          <w:i/>
        </w:rPr>
        <w:instrText>A10-0125/2026</w:instrText>
      </w:r>
      <w:bookmarkEnd w:id="2"/>
      <w:r w:rsidRPr="002D7B9F">
        <w:rPr>
          <w:i/>
        </w:rPr>
        <w:instrText xml:space="preserve"> - Relator: David </w:instrText>
      </w:r>
      <w:proofErr w:type="spellStart"/>
      <w:r w:rsidRPr="002D7B9F">
        <w:rPr>
          <w:i/>
        </w:rPr>
        <w:instrText>Cormand</w:instrText>
      </w:r>
      <w:proofErr w:type="spellEnd"/>
      <w:r w:rsidRPr="002D7B9F">
        <w:rPr>
          <w:i/>
        </w:rPr>
        <w:instrText xml:space="preserve">)"\l3 \n&gt; \* MERGEFORMAT </w:instrText>
      </w:r>
      <w:r w:rsidRPr="002D7B9F">
        <w:rPr>
          <w:i/>
        </w:rPr>
        <w:fldChar w:fldCharType="end"/>
      </w:r>
    </w:p>
    <w:p w14:paraId="4AA91A8F" w14:textId="77777777" w:rsidR="00E013B3" w:rsidRPr="002D7B9F" w:rsidRDefault="00E013B3" w:rsidP="00E013B3">
      <w:pPr>
        <w:rPr>
          <w:vanish/>
        </w:rPr>
      </w:pPr>
      <w:bookmarkStart w:id="3" w:name="Commission"/>
      <w:r w:rsidRPr="002D7B9F">
        <w:rPr>
          <w:vanish/>
        </w:rPr>
        <w:t>Comissão dos Assuntos Jurídicos</w:t>
      </w:r>
      <w:bookmarkEnd w:id="3"/>
    </w:p>
    <w:p w14:paraId="7F9B03F6" w14:textId="77777777" w:rsidR="00E013B3" w:rsidRPr="002D7B9F" w:rsidRDefault="00E013B3" w:rsidP="00E013B3">
      <w:pPr>
        <w:rPr>
          <w:vanish/>
        </w:rPr>
      </w:pPr>
      <w:bookmarkStart w:id="4" w:name="PE"/>
      <w:r w:rsidRPr="002D7B9F">
        <w:rPr>
          <w:vanish/>
        </w:rPr>
        <w:t>PE784.495</w:t>
      </w:r>
      <w:bookmarkEnd w:id="4"/>
    </w:p>
    <w:p w14:paraId="4757FBDA" w14:textId="41F2B05C" w:rsidR="00E013B3" w:rsidRPr="002D7B9F" w:rsidRDefault="00E013B3" w:rsidP="00E013B3">
      <w:pPr>
        <w:pStyle w:val="ATHeading3"/>
      </w:pPr>
      <w:bookmarkStart w:id="5" w:name="Sujet"/>
      <w:r w:rsidRPr="002D7B9F">
        <w:t xml:space="preserve">Decisão do Parlamento Europeu, de </w:t>
      </w:r>
      <w:r w:rsidR="00CF3798" w:rsidRPr="002D7B9F">
        <w:t xml:space="preserve">19 </w:t>
      </w:r>
      <w:r w:rsidRPr="002D7B9F">
        <w:t xml:space="preserve">de </w:t>
      </w:r>
      <w:r w:rsidR="00CF3798" w:rsidRPr="002D7B9F">
        <w:t xml:space="preserve">maio </w:t>
      </w:r>
      <w:r w:rsidRPr="002D7B9F">
        <w:t xml:space="preserve">de 2026, sobre o pedido de levantamento da imunidade de </w:t>
      </w:r>
      <w:proofErr w:type="spellStart"/>
      <w:r w:rsidRPr="002D7B9F">
        <w:t>Harald</w:t>
      </w:r>
      <w:proofErr w:type="spellEnd"/>
      <w:r w:rsidRPr="002D7B9F">
        <w:t> </w:t>
      </w:r>
      <w:proofErr w:type="spellStart"/>
      <w:r w:rsidRPr="002D7B9F">
        <w:t>Vilimsky</w:t>
      </w:r>
      <w:bookmarkEnd w:id="5"/>
      <w:proofErr w:type="spellEnd"/>
      <w:r w:rsidRPr="002D7B9F">
        <w:t xml:space="preserve"> </w:t>
      </w:r>
      <w:bookmarkStart w:id="6" w:name="References"/>
      <w:r w:rsidRPr="002D7B9F">
        <w:t>(2025/2158(IMM))</w:t>
      </w:r>
      <w:bookmarkEnd w:id="6"/>
    </w:p>
    <w:p w14:paraId="17B90F19" w14:textId="77777777" w:rsidR="00115647" w:rsidRPr="002D7B9F" w:rsidRDefault="00115647" w:rsidP="00115647">
      <w:pPr>
        <w:pStyle w:val="EPComma"/>
      </w:pPr>
      <w:bookmarkStart w:id="7" w:name="TextBodyBegin"/>
      <w:bookmarkEnd w:id="7"/>
      <w:r w:rsidRPr="002D7B9F">
        <w:rPr>
          <w:i/>
          <w:iCs/>
        </w:rPr>
        <w:t>O Parlamento Europeu</w:t>
      </w:r>
      <w:r w:rsidRPr="002D7B9F">
        <w:t>,</w:t>
      </w:r>
    </w:p>
    <w:p w14:paraId="3184F8E4" w14:textId="3D89A38C" w:rsidR="00115647" w:rsidRPr="002D7B9F" w:rsidRDefault="00115647" w:rsidP="00115647">
      <w:pPr>
        <w:pStyle w:val="NormalHanging12a"/>
      </w:pPr>
      <w:r w:rsidRPr="002D7B9F">
        <w:t>–</w:t>
      </w:r>
      <w:r w:rsidRPr="002D7B9F">
        <w:tab/>
        <w:t xml:space="preserve">Tendo recebido um pedido de levantamento da imunidade de </w:t>
      </w:r>
      <w:proofErr w:type="spellStart"/>
      <w:r w:rsidRPr="002D7B9F">
        <w:t>Harald</w:t>
      </w:r>
      <w:proofErr w:type="spellEnd"/>
      <w:r w:rsidRPr="002D7B9F">
        <w:t> </w:t>
      </w:r>
      <w:proofErr w:type="spellStart"/>
      <w:r w:rsidRPr="002D7B9F">
        <w:t>Vilimsky</w:t>
      </w:r>
      <w:proofErr w:type="spellEnd"/>
      <w:r w:rsidRPr="002D7B9F">
        <w:t xml:space="preserve">, </w:t>
      </w:r>
      <w:r w:rsidR="005C23AF" w:rsidRPr="002D7B9F">
        <w:t>enviado</w:t>
      </w:r>
      <w:r w:rsidR="003E4416" w:rsidRPr="002D7B9F">
        <w:t xml:space="preserve"> </w:t>
      </w:r>
      <w:r w:rsidRPr="002D7B9F">
        <w:t>por carta</w:t>
      </w:r>
      <w:r w:rsidR="005C23AF" w:rsidRPr="002D7B9F">
        <w:t>,</w:t>
      </w:r>
      <w:r w:rsidRPr="002D7B9F">
        <w:t xml:space="preserve"> de 1 de julho de 2025</w:t>
      </w:r>
      <w:r w:rsidR="005C23AF" w:rsidRPr="002D7B9F">
        <w:t>,</w:t>
      </w:r>
      <w:r w:rsidRPr="002D7B9F">
        <w:t xml:space="preserve"> </w:t>
      </w:r>
      <w:r w:rsidR="005C23AF" w:rsidRPr="002D7B9F">
        <w:t>da</w:t>
      </w:r>
      <w:r w:rsidR="003E4416" w:rsidRPr="002D7B9F">
        <w:t xml:space="preserve"> </w:t>
      </w:r>
      <w:r w:rsidRPr="002D7B9F">
        <w:t xml:space="preserve">Representação Permanente da Áustria junto da União Europeia, </w:t>
      </w:r>
      <w:r w:rsidR="005C23AF" w:rsidRPr="002D7B9F">
        <w:t>transmitindo</w:t>
      </w:r>
      <w:r w:rsidRPr="002D7B9F">
        <w:t xml:space="preserve"> um pedido </w:t>
      </w:r>
      <w:r w:rsidR="003E4416" w:rsidRPr="002D7B9F">
        <w:t>do</w:t>
      </w:r>
      <w:r w:rsidRPr="002D7B9F">
        <w:t xml:space="preserve"> Ministério Público de Viena no âmbito de uma ação penal a instaurar contra </w:t>
      </w:r>
      <w:proofErr w:type="spellStart"/>
      <w:r w:rsidRPr="002D7B9F">
        <w:t>Harald</w:t>
      </w:r>
      <w:proofErr w:type="spellEnd"/>
      <w:r w:rsidRPr="002D7B9F">
        <w:t> </w:t>
      </w:r>
      <w:proofErr w:type="spellStart"/>
      <w:r w:rsidRPr="002D7B9F">
        <w:t>Vilimsky</w:t>
      </w:r>
      <w:proofErr w:type="spellEnd"/>
      <w:r w:rsidRPr="002D7B9F">
        <w:t xml:space="preserve">, </w:t>
      </w:r>
      <w:r w:rsidR="003E4416" w:rsidRPr="002D7B9F">
        <w:t xml:space="preserve">e tendo sido </w:t>
      </w:r>
      <w:r w:rsidR="003B05BB" w:rsidRPr="002D7B9F">
        <w:t xml:space="preserve">o pedido </w:t>
      </w:r>
      <w:r w:rsidR="003E4416" w:rsidRPr="002D7B9F">
        <w:t>anunciado</w:t>
      </w:r>
      <w:r w:rsidRPr="002D7B9F">
        <w:t xml:space="preserve"> em sessão plenária em 9 de julho de 2025,</w:t>
      </w:r>
    </w:p>
    <w:p w14:paraId="554D0F41" w14:textId="77777777" w:rsidR="00115647" w:rsidRPr="002D7B9F" w:rsidRDefault="00115647" w:rsidP="00115647">
      <w:pPr>
        <w:pStyle w:val="NormalHanging12a"/>
      </w:pPr>
      <w:r w:rsidRPr="002D7B9F">
        <w:t>–</w:t>
      </w:r>
      <w:r w:rsidRPr="002D7B9F">
        <w:tab/>
        <w:t xml:space="preserve">Tendo ouvido </w:t>
      </w:r>
      <w:proofErr w:type="spellStart"/>
      <w:r w:rsidRPr="002D7B9F">
        <w:t>Harald</w:t>
      </w:r>
      <w:proofErr w:type="spellEnd"/>
      <w:r w:rsidRPr="002D7B9F">
        <w:t> </w:t>
      </w:r>
      <w:proofErr w:type="spellStart"/>
      <w:r w:rsidRPr="002D7B9F">
        <w:t>Vilimsky</w:t>
      </w:r>
      <w:proofErr w:type="spellEnd"/>
      <w:r w:rsidRPr="002D7B9F">
        <w:t>, em 15 de abril de 2026, nos termos do artigo 9.º, n.º 6, do seu Regimento,</w:t>
      </w:r>
    </w:p>
    <w:p w14:paraId="084F14F2" w14:textId="77777777" w:rsidR="00115647" w:rsidRPr="002D7B9F" w:rsidRDefault="00115647" w:rsidP="00115647">
      <w:pPr>
        <w:pStyle w:val="NormalHanging12a"/>
      </w:pPr>
      <w:r w:rsidRPr="002D7B9F">
        <w:t>–</w:t>
      </w:r>
      <w:r w:rsidRPr="002D7B9F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5CE343B5" w14:textId="64540FD1" w:rsidR="00115647" w:rsidRPr="002D7B9F" w:rsidRDefault="00115647" w:rsidP="00115647">
      <w:pPr>
        <w:pStyle w:val="NormalHanging12a"/>
      </w:pPr>
      <w:r w:rsidRPr="002D7B9F">
        <w:t>–</w:t>
      </w:r>
      <w:r w:rsidRPr="002D7B9F">
        <w:tab/>
        <w:t>Tendo em conta os Acórdãos proferidos pelo Tribunal de Justiça da União Europeia em 21 de outubro de 2008, 19 de março de 2010, 6 de setembro de 2011, 17 de janeiro de</w:t>
      </w:r>
      <w:r w:rsidR="00CF3798" w:rsidRPr="002D7B9F">
        <w:t> </w:t>
      </w:r>
      <w:r w:rsidRPr="002D7B9F">
        <w:t>2013 e 19 de dezembro de 2019</w:t>
      </w:r>
      <w:r w:rsidRPr="002D7B9F">
        <w:rPr>
          <w:vertAlign w:val="superscript"/>
        </w:rPr>
        <w:footnoteReference w:id="1"/>
      </w:r>
      <w:r w:rsidRPr="002D7B9F">
        <w:t>,</w:t>
      </w:r>
    </w:p>
    <w:p w14:paraId="15A94EA6" w14:textId="77777777" w:rsidR="00115647" w:rsidRPr="002D7B9F" w:rsidRDefault="00115647" w:rsidP="00115647">
      <w:pPr>
        <w:pStyle w:val="NormalHanging12a"/>
      </w:pPr>
      <w:r w:rsidRPr="002D7B9F">
        <w:t>–</w:t>
      </w:r>
      <w:r w:rsidRPr="002D7B9F">
        <w:tab/>
        <w:t>Tendo em conta o artigo 5.º, n.º 2, o artigo 6.º, n.º 1, e o artigo 9.º do seu Regimento,</w:t>
      </w:r>
    </w:p>
    <w:p w14:paraId="1B3AEC41" w14:textId="77777777" w:rsidR="00115647" w:rsidRPr="002D7B9F" w:rsidRDefault="00115647" w:rsidP="00115647">
      <w:pPr>
        <w:pStyle w:val="NormalHanging12a"/>
      </w:pPr>
      <w:r w:rsidRPr="002D7B9F">
        <w:lastRenderedPageBreak/>
        <w:t>–</w:t>
      </w:r>
      <w:r w:rsidRPr="002D7B9F">
        <w:tab/>
        <w:t>Tendo em conta o relatório da Comissão dos Assuntos Jurídicos (A10-0125/2026),</w:t>
      </w:r>
    </w:p>
    <w:p w14:paraId="3E864B10" w14:textId="6C649D92" w:rsidR="00115647" w:rsidRPr="002D7B9F" w:rsidRDefault="00115647" w:rsidP="00115647">
      <w:pPr>
        <w:pStyle w:val="NormalHanging12a"/>
      </w:pPr>
      <w:r w:rsidRPr="002D7B9F">
        <w:t>A.</w:t>
      </w:r>
      <w:r w:rsidRPr="002D7B9F">
        <w:tab/>
        <w:t xml:space="preserve">Considerando que a Representação Permanente da Áustria junto da União Europeia transmitiu um pedido do Procurador do Ministério Público de Viena tendo em vista o levantamento da imunidade de </w:t>
      </w:r>
      <w:proofErr w:type="spellStart"/>
      <w:r w:rsidRPr="002D7B9F">
        <w:t>Harald</w:t>
      </w:r>
      <w:proofErr w:type="spellEnd"/>
      <w:r w:rsidRPr="002D7B9F">
        <w:t xml:space="preserve"> </w:t>
      </w:r>
      <w:proofErr w:type="spellStart"/>
      <w:r w:rsidRPr="002D7B9F">
        <w:t>Vilimsky</w:t>
      </w:r>
      <w:proofErr w:type="spellEnd"/>
      <w:r w:rsidRPr="002D7B9F">
        <w:t>, deputado ao Parlamento Europeu</w:t>
      </w:r>
      <w:r w:rsidR="009C4742" w:rsidRPr="002D7B9F">
        <w:t xml:space="preserve"> eleito na Áustria</w:t>
      </w:r>
      <w:r w:rsidRPr="002D7B9F">
        <w:t xml:space="preserve">, </w:t>
      </w:r>
      <w:r w:rsidR="00CA3B29" w:rsidRPr="002D7B9F">
        <w:t xml:space="preserve">relativamente a </w:t>
      </w:r>
      <w:r w:rsidRPr="002D7B9F">
        <w:t xml:space="preserve">alegados atos de peculato, que constituem infrações nos termos do artigo 153.º, </w:t>
      </w:r>
      <w:proofErr w:type="spellStart"/>
      <w:proofErr w:type="gramStart"/>
      <w:r w:rsidRPr="002D7B9F">
        <w:t>n.</w:t>
      </w:r>
      <w:r w:rsidRPr="002D7B9F">
        <w:rPr>
          <w:vertAlign w:val="superscript"/>
        </w:rPr>
        <w:t>os</w:t>
      </w:r>
      <w:proofErr w:type="spellEnd"/>
      <w:proofErr w:type="gramEnd"/>
      <w:r w:rsidRPr="002D7B9F">
        <w:t xml:space="preserve"> 1 e 3, do Código Penal austríaco, </w:t>
      </w:r>
      <w:r w:rsidR="00CA3B29" w:rsidRPr="002D7B9F">
        <w:t xml:space="preserve">com base na </w:t>
      </w:r>
      <w:r w:rsidRPr="002D7B9F">
        <w:t>sua alegada participação na</w:t>
      </w:r>
      <w:r w:rsidR="00CA3B29" w:rsidRPr="002D7B9F">
        <w:t>s</w:t>
      </w:r>
      <w:r w:rsidRPr="002D7B9F">
        <w:t xml:space="preserve"> </w:t>
      </w:r>
      <w:r w:rsidR="00CA3B29" w:rsidRPr="002D7B9F">
        <w:t xml:space="preserve">infrações </w:t>
      </w:r>
      <w:r w:rsidRPr="002D7B9F">
        <w:t>na aceção do artigo 12.º do mesmo código;</w:t>
      </w:r>
    </w:p>
    <w:p w14:paraId="40FA694C" w14:textId="3DAD1E16" w:rsidR="00115647" w:rsidRPr="002D7B9F" w:rsidRDefault="00115647" w:rsidP="00115647">
      <w:pPr>
        <w:pStyle w:val="NormalHanging12a"/>
      </w:pPr>
      <w:r w:rsidRPr="002D7B9F">
        <w:t>B.</w:t>
      </w:r>
      <w:r w:rsidRPr="002D7B9F">
        <w:tab/>
        <w:t xml:space="preserve">Considerando que, </w:t>
      </w:r>
      <w:r w:rsidR="005C23AF" w:rsidRPr="002D7B9F">
        <w:t>nos termos</w:t>
      </w:r>
      <w:r w:rsidRPr="002D7B9F">
        <w:t xml:space="preserve"> </w:t>
      </w:r>
      <w:r w:rsidR="005C23AF" w:rsidRPr="002D7B9F">
        <w:t>d</w:t>
      </w:r>
      <w:r w:rsidRPr="002D7B9F">
        <w:t>o pedido, na sequência de anteriores pedidos do Ministério Público de Viena</w:t>
      </w:r>
      <w:r w:rsidR="004C52D7" w:rsidRPr="002D7B9F">
        <w:t>,</w:t>
      </w:r>
      <w:r w:rsidRPr="002D7B9F">
        <w:t xml:space="preserve"> em 2021, </w:t>
      </w:r>
      <w:r w:rsidR="004C52D7" w:rsidRPr="002D7B9F">
        <w:t xml:space="preserve">de levantamento da imunidade de </w:t>
      </w:r>
      <w:proofErr w:type="spellStart"/>
      <w:r w:rsidR="004C52D7" w:rsidRPr="002D7B9F">
        <w:t>Harald</w:t>
      </w:r>
      <w:proofErr w:type="spellEnd"/>
      <w:r w:rsidR="004C52D7" w:rsidRPr="002D7B9F">
        <w:t xml:space="preserve"> </w:t>
      </w:r>
      <w:proofErr w:type="spellStart"/>
      <w:r w:rsidR="004C52D7" w:rsidRPr="002D7B9F">
        <w:t>Vilimsky</w:t>
      </w:r>
      <w:proofErr w:type="spellEnd"/>
      <w:r w:rsidR="004C52D7" w:rsidRPr="002D7B9F">
        <w:t xml:space="preserve">, </w:t>
      </w:r>
      <w:r w:rsidRPr="002D7B9F">
        <w:t xml:space="preserve">bem como </w:t>
      </w:r>
      <w:r w:rsidR="004C52D7" w:rsidRPr="002D7B9F">
        <w:t>da</w:t>
      </w:r>
      <w:r w:rsidRPr="002D7B9F">
        <w:t xml:space="preserve"> decisão do Parlamento Europeu, de 11 de novembro de 2021, de levantamento da sua imunidade, </w:t>
      </w:r>
      <w:r w:rsidR="004C52D7" w:rsidRPr="002D7B9F">
        <w:t xml:space="preserve">e </w:t>
      </w:r>
      <w:r w:rsidRPr="002D7B9F">
        <w:t xml:space="preserve">tendo em conta novos factos, </w:t>
      </w:r>
      <w:r w:rsidR="00407F82" w:rsidRPr="002D7B9F">
        <w:t>é conveniente</w:t>
      </w:r>
      <w:r w:rsidRPr="002D7B9F">
        <w:t xml:space="preserve"> </w:t>
      </w:r>
      <w:r w:rsidR="00407F82" w:rsidRPr="002D7B9F">
        <w:t xml:space="preserve">que </w:t>
      </w:r>
      <w:r w:rsidRPr="002D7B9F">
        <w:t xml:space="preserve">o levantamento da imunidade de </w:t>
      </w:r>
      <w:proofErr w:type="spellStart"/>
      <w:r w:rsidRPr="002D7B9F">
        <w:t>Harald</w:t>
      </w:r>
      <w:proofErr w:type="spellEnd"/>
      <w:r w:rsidRPr="002D7B9F">
        <w:t xml:space="preserve"> </w:t>
      </w:r>
      <w:proofErr w:type="spellStart"/>
      <w:r w:rsidRPr="002D7B9F">
        <w:t>Vilimsky</w:t>
      </w:r>
      <w:proofErr w:type="spellEnd"/>
      <w:r w:rsidRPr="002D7B9F">
        <w:t xml:space="preserve"> </w:t>
      </w:r>
      <w:r w:rsidR="00407F82" w:rsidRPr="002D7B9F">
        <w:t xml:space="preserve">seja igualmente solicitado </w:t>
      </w:r>
      <w:r w:rsidRPr="002D7B9F">
        <w:t xml:space="preserve">com base </w:t>
      </w:r>
      <w:r w:rsidR="00407F82" w:rsidRPr="002D7B9F">
        <w:t>n</w:t>
      </w:r>
      <w:r w:rsidR="005C23AF" w:rsidRPr="002D7B9F">
        <w:t>os</w:t>
      </w:r>
      <w:r w:rsidR="00407F82" w:rsidRPr="002D7B9F">
        <w:t xml:space="preserve"> nov</w:t>
      </w:r>
      <w:r w:rsidR="005C23AF" w:rsidRPr="002D7B9F">
        <w:t>o</w:t>
      </w:r>
      <w:r w:rsidR="00407F82" w:rsidRPr="002D7B9F">
        <w:t xml:space="preserve">s </w:t>
      </w:r>
      <w:r w:rsidR="005C23AF" w:rsidRPr="002D7B9F">
        <w:t>indícios</w:t>
      </w:r>
      <w:r w:rsidRPr="002D7B9F">
        <w:t xml:space="preserve">; </w:t>
      </w:r>
      <w:r w:rsidR="003E4416" w:rsidRPr="002D7B9F">
        <w:t xml:space="preserve">considerando </w:t>
      </w:r>
      <w:r w:rsidRPr="002D7B9F">
        <w:t xml:space="preserve">que, de acordo com informações </w:t>
      </w:r>
      <w:r w:rsidR="00407F82" w:rsidRPr="002D7B9F">
        <w:t>recolhidas na investigação</w:t>
      </w:r>
      <w:r w:rsidRPr="002D7B9F">
        <w:t xml:space="preserve">, </w:t>
      </w:r>
      <w:proofErr w:type="spellStart"/>
      <w:r w:rsidRPr="002D7B9F">
        <w:t>Harald</w:t>
      </w:r>
      <w:proofErr w:type="spellEnd"/>
      <w:r w:rsidRPr="002D7B9F">
        <w:t xml:space="preserve"> </w:t>
      </w:r>
      <w:proofErr w:type="spellStart"/>
      <w:r w:rsidRPr="002D7B9F">
        <w:t>Vilimsky</w:t>
      </w:r>
      <w:proofErr w:type="spellEnd"/>
      <w:r w:rsidRPr="002D7B9F">
        <w:t xml:space="preserve"> é suspeito de ter abusado do seu poder ao utilizar fundos do seu partido político FPÖ (</w:t>
      </w:r>
      <w:proofErr w:type="spellStart"/>
      <w:r w:rsidRPr="002D7B9F">
        <w:t>Freiheitliche</w:t>
      </w:r>
      <w:proofErr w:type="spellEnd"/>
      <w:r w:rsidRPr="002D7B9F">
        <w:t xml:space="preserve"> </w:t>
      </w:r>
      <w:proofErr w:type="spellStart"/>
      <w:r w:rsidRPr="002D7B9F">
        <w:t>Partei</w:t>
      </w:r>
      <w:proofErr w:type="spellEnd"/>
      <w:r w:rsidRPr="002D7B9F">
        <w:t xml:space="preserve"> </w:t>
      </w:r>
      <w:proofErr w:type="spellStart"/>
      <w:r w:rsidRPr="002D7B9F">
        <w:t>Österreichs</w:t>
      </w:r>
      <w:proofErr w:type="spellEnd"/>
      <w:r w:rsidRPr="002D7B9F">
        <w:t xml:space="preserve"> </w:t>
      </w:r>
      <w:r w:rsidR="003E4416" w:rsidRPr="002D7B9F">
        <w:t xml:space="preserve">– </w:t>
      </w:r>
      <w:r w:rsidRPr="002D7B9F">
        <w:t xml:space="preserve">Die </w:t>
      </w:r>
      <w:proofErr w:type="spellStart"/>
      <w:r w:rsidRPr="002D7B9F">
        <w:t>Freiheitlichen</w:t>
      </w:r>
      <w:proofErr w:type="spellEnd"/>
      <w:r w:rsidRPr="002D7B9F">
        <w:t xml:space="preserve">) para fins alheios às suas atividades em datas </w:t>
      </w:r>
      <w:r w:rsidR="00F01BB2" w:rsidRPr="002D7B9F">
        <w:t xml:space="preserve">de </w:t>
      </w:r>
      <w:r w:rsidRPr="002D7B9F">
        <w:t xml:space="preserve">2013 ainda não determinadas com precisão, nomeadamente ao autorizar pagamentos de natureza privada e alheios às atividades do partido relativos à instalação de uma porta e </w:t>
      </w:r>
      <w:r w:rsidR="00F01BB2" w:rsidRPr="002D7B9F">
        <w:t xml:space="preserve">de uma </w:t>
      </w:r>
      <w:r w:rsidRPr="002D7B9F">
        <w:t xml:space="preserve">fechadura no </w:t>
      </w:r>
      <w:r w:rsidR="004C52D7" w:rsidRPr="002D7B9F">
        <w:t xml:space="preserve">seu </w:t>
      </w:r>
      <w:r w:rsidRPr="002D7B9F">
        <w:t>endereço privado, causando assim prejuízo</w:t>
      </w:r>
      <w:r w:rsidR="00F01BB2" w:rsidRPr="002D7B9F">
        <w:t>s</w:t>
      </w:r>
      <w:r w:rsidRPr="002D7B9F">
        <w:t xml:space="preserve"> </w:t>
      </w:r>
      <w:r w:rsidR="00F01BB2" w:rsidRPr="002D7B9F">
        <w:t xml:space="preserve">no valor </w:t>
      </w:r>
      <w:r w:rsidRPr="002D7B9F">
        <w:t xml:space="preserve">total de 9 434 EUR </w:t>
      </w:r>
      <w:r w:rsidR="00F01BB2" w:rsidRPr="002D7B9F">
        <w:t xml:space="preserve">ao </w:t>
      </w:r>
      <w:r w:rsidRPr="002D7B9F">
        <w:t>património do FPÖ;</w:t>
      </w:r>
    </w:p>
    <w:p w14:paraId="61A66332" w14:textId="0B7076C5" w:rsidR="00115647" w:rsidRPr="002D7B9F" w:rsidRDefault="00115647" w:rsidP="00115647">
      <w:pPr>
        <w:pStyle w:val="NormalHanging12a"/>
      </w:pPr>
      <w:r w:rsidRPr="002D7B9F">
        <w:t>C.</w:t>
      </w:r>
      <w:r w:rsidRPr="002D7B9F">
        <w:tab/>
        <w:t xml:space="preserve">Considerando que </w:t>
      </w:r>
      <w:proofErr w:type="spellStart"/>
      <w:r w:rsidRPr="002D7B9F">
        <w:t>Harald</w:t>
      </w:r>
      <w:proofErr w:type="spellEnd"/>
      <w:r w:rsidRPr="002D7B9F">
        <w:t xml:space="preserve"> </w:t>
      </w:r>
      <w:proofErr w:type="spellStart"/>
      <w:r w:rsidRPr="002D7B9F">
        <w:t>Vilimsky</w:t>
      </w:r>
      <w:proofErr w:type="spellEnd"/>
      <w:r w:rsidRPr="002D7B9F">
        <w:t xml:space="preserve"> foi eleito para o Parlamento Europeu nas eleições europeias de maio de 2019 e reeleito em junho de 2024</w:t>
      </w:r>
      <w:r w:rsidR="00CA3B29" w:rsidRPr="002D7B9F">
        <w:t>,</w:t>
      </w:r>
      <w:r w:rsidRPr="002D7B9F">
        <w:t xml:space="preserve"> </w:t>
      </w:r>
      <w:r w:rsidR="00CA3B29" w:rsidRPr="002D7B9F">
        <w:t xml:space="preserve">pelo que não </w:t>
      </w:r>
      <w:r w:rsidRPr="002D7B9F">
        <w:t>era deputado ao Parlamento Europeu no momento das alegadas infrações;</w:t>
      </w:r>
    </w:p>
    <w:p w14:paraId="47386628" w14:textId="503F4AE2" w:rsidR="00115647" w:rsidRPr="002D7B9F" w:rsidRDefault="00115647" w:rsidP="00115647">
      <w:pPr>
        <w:pStyle w:val="NormalHanging12a"/>
      </w:pPr>
      <w:r w:rsidRPr="002D7B9F">
        <w:t>D.</w:t>
      </w:r>
      <w:r w:rsidRPr="002D7B9F">
        <w:tab/>
        <w:t xml:space="preserve">Considerando que a alegada infração não constitui uma opinião ou um voto emitido por </w:t>
      </w:r>
      <w:proofErr w:type="spellStart"/>
      <w:r w:rsidRPr="002D7B9F">
        <w:t>Harald</w:t>
      </w:r>
      <w:proofErr w:type="spellEnd"/>
      <w:r w:rsidRPr="002D7B9F">
        <w:t> </w:t>
      </w:r>
      <w:proofErr w:type="spellStart"/>
      <w:r w:rsidRPr="002D7B9F">
        <w:t>Vilimsky</w:t>
      </w:r>
      <w:proofErr w:type="spellEnd"/>
      <w:r w:rsidRPr="002D7B9F">
        <w:t xml:space="preserve"> no exercício das suas funções, na aceção do artigo 8.º do Protocolo n.º</w:t>
      </w:r>
      <w:r w:rsidR="00F01BB2" w:rsidRPr="002D7B9F">
        <w:t> </w:t>
      </w:r>
      <w:r w:rsidRPr="002D7B9F">
        <w:t>7 relativo aos Privilégios e Imunidades da União Europeia, nem o pedido subsequente de levantamento da imunidade deste está relacionado com tal opinião ou voto;</w:t>
      </w:r>
    </w:p>
    <w:p w14:paraId="59B3E312" w14:textId="0BD1E2D4" w:rsidR="00115647" w:rsidRPr="002D7B9F" w:rsidRDefault="00115647" w:rsidP="00115647">
      <w:pPr>
        <w:pStyle w:val="NormalHanging12a"/>
      </w:pPr>
      <w:r w:rsidRPr="002D7B9F">
        <w:t>E.</w:t>
      </w:r>
      <w:r w:rsidRPr="002D7B9F">
        <w:tab/>
        <w:t xml:space="preserve">Considerando que o artigo 9.º, primeiro parágrafo, alínea a), do Protocolo n.º 7 relativo aos Privilégios e Imunidades da União Europeia prevê que, durante as sessões do Parlamento Europeu, os </w:t>
      </w:r>
      <w:r w:rsidR="003E4416" w:rsidRPr="002D7B9F">
        <w:t xml:space="preserve">seus </w:t>
      </w:r>
      <w:r w:rsidRPr="002D7B9F">
        <w:t xml:space="preserve">deputados </w:t>
      </w:r>
      <w:r w:rsidR="003E4416" w:rsidRPr="002D7B9F">
        <w:t>beneficiam</w:t>
      </w:r>
      <w:r w:rsidRPr="002D7B9F">
        <w:t xml:space="preserve">, no território </w:t>
      </w:r>
      <w:bookmarkStart w:id="8" w:name="_Hlk229658082"/>
      <w:r w:rsidR="00601E3C" w:rsidRPr="002D7B9F">
        <w:t xml:space="preserve">do </w:t>
      </w:r>
      <w:r w:rsidR="00F046FF" w:rsidRPr="002D7B9F">
        <w:t>respetivo</w:t>
      </w:r>
      <w:r w:rsidR="00601E3C" w:rsidRPr="002D7B9F">
        <w:t xml:space="preserve"> Est</w:t>
      </w:r>
      <w:r w:rsidR="00231ACB" w:rsidRPr="002D7B9F">
        <w:t>a</w:t>
      </w:r>
      <w:r w:rsidR="00601E3C" w:rsidRPr="002D7B9F">
        <w:t>do</w:t>
      </w:r>
      <w:r w:rsidR="00601E3C" w:rsidRPr="002D7B9F">
        <w:noBreakHyphen/>
        <w:t>Membro</w:t>
      </w:r>
      <w:bookmarkEnd w:id="8"/>
      <w:r w:rsidRPr="002D7B9F">
        <w:t xml:space="preserve">, das imunidades reconhecidas aos membros do Parlamento do seu </w:t>
      </w:r>
      <w:r w:rsidR="00F01BB2" w:rsidRPr="002D7B9F">
        <w:t>Estado</w:t>
      </w:r>
      <w:r w:rsidR="00F01BB2" w:rsidRPr="002D7B9F">
        <w:noBreakHyphen/>
        <w:t>Membro</w:t>
      </w:r>
      <w:r w:rsidRPr="002D7B9F">
        <w:t>;</w:t>
      </w:r>
    </w:p>
    <w:p w14:paraId="651B21DF" w14:textId="77777777" w:rsidR="00115647" w:rsidRPr="002D7B9F" w:rsidRDefault="00115647" w:rsidP="00115647">
      <w:pPr>
        <w:pStyle w:val="NormalHanging12a"/>
      </w:pPr>
      <w:r w:rsidRPr="002D7B9F">
        <w:t>F.</w:t>
      </w:r>
      <w:r w:rsidRPr="002D7B9F">
        <w:tab/>
        <w:t xml:space="preserve">Considerando que o artigo 57.º, </w:t>
      </w:r>
      <w:proofErr w:type="spellStart"/>
      <w:r w:rsidRPr="002D7B9F">
        <w:t>n.</w:t>
      </w:r>
      <w:r w:rsidRPr="002D7B9F">
        <w:rPr>
          <w:vertAlign w:val="superscript"/>
        </w:rPr>
        <w:t>os</w:t>
      </w:r>
      <w:proofErr w:type="spellEnd"/>
      <w:r w:rsidRPr="002D7B9F">
        <w:t> 2 e 3, da Constituição austríaca dispõe que:</w:t>
      </w:r>
    </w:p>
    <w:p w14:paraId="5CEF5D46" w14:textId="3C68057A" w:rsidR="00115647" w:rsidRPr="002D7B9F" w:rsidRDefault="00115647" w:rsidP="008C450F">
      <w:pPr>
        <w:pStyle w:val="NormalHanging12a"/>
        <w:ind w:firstLine="0"/>
        <w:rPr>
          <w:i/>
        </w:rPr>
      </w:pPr>
      <w:r w:rsidRPr="002D7B9F">
        <w:t>«</w:t>
      </w:r>
      <w:r w:rsidRPr="002D7B9F">
        <w:rPr>
          <w:i/>
        </w:rPr>
        <w:t>2.</w:t>
      </w:r>
      <w:r w:rsidRPr="002D7B9F">
        <w:rPr>
          <w:i/>
        </w:rPr>
        <w:tab/>
        <w:t>Os membros do Conselho Nacional</w:t>
      </w:r>
      <w:r w:rsidR="008C450F" w:rsidRPr="002D7B9F">
        <w:rPr>
          <w:i/>
        </w:rPr>
        <w:t xml:space="preserve"> só</w:t>
      </w:r>
      <w:r w:rsidRPr="002D7B9F">
        <w:rPr>
          <w:i/>
        </w:rPr>
        <w:t xml:space="preserve"> podem ser detidos </w:t>
      </w:r>
      <w:r w:rsidR="00601E3C" w:rsidRPr="002D7B9F">
        <w:rPr>
          <w:i/>
        </w:rPr>
        <w:t xml:space="preserve">por infração penal </w:t>
      </w:r>
      <w:r w:rsidRPr="002D7B9F">
        <w:rPr>
          <w:i/>
        </w:rPr>
        <w:t>com o consentimento do Conselho Nacional</w:t>
      </w:r>
      <w:r w:rsidR="00601E3C" w:rsidRPr="002D7B9F">
        <w:rPr>
          <w:i/>
        </w:rPr>
        <w:t xml:space="preserve">, </w:t>
      </w:r>
      <w:r w:rsidR="008C450F" w:rsidRPr="002D7B9F">
        <w:rPr>
          <w:i/>
        </w:rPr>
        <w:t>a menos que sejam apanhados em flagrante delito</w:t>
      </w:r>
      <w:r w:rsidRPr="002D7B9F">
        <w:rPr>
          <w:i/>
        </w:rPr>
        <w:t>. É igualmente necessário o consentimento do Conselho Nacional para efetuar</w:t>
      </w:r>
      <w:r w:rsidR="00F046FF" w:rsidRPr="002D7B9F">
        <w:rPr>
          <w:i/>
        </w:rPr>
        <w:t xml:space="preserve"> </w:t>
      </w:r>
      <w:r w:rsidR="008C450F" w:rsidRPr="002D7B9F">
        <w:rPr>
          <w:i/>
        </w:rPr>
        <w:t>qua</w:t>
      </w:r>
      <w:r w:rsidR="00150789" w:rsidRPr="002D7B9F">
        <w:rPr>
          <w:i/>
        </w:rPr>
        <w:t>l</w:t>
      </w:r>
      <w:r w:rsidR="008C450F" w:rsidRPr="002D7B9F">
        <w:rPr>
          <w:i/>
        </w:rPr>
        <w:t>quer</w:t>
      </w:r>
      <w:r w:rsidRPr="002D7B9F">
        <w:rPr>
          <w:i/>
        </w:rPr>
        <w:t xml:space="preserve"> busca </w:t>
      </w:r>
      <w:r w:rsidR="00150789" w:rsidRPr="002D7B9F">
        <w:rPr>
          <w:i/>
        </w:rPr>
        <w:t>de instalações</w:t>
      </w:r>
      <w:r w:rsidR="008C450F" w:rsidRPr="002D7B9F">
        <w:rPr>
          <w:i/>
        </w:rPr>
        <w:t xml:space="preserve">, </w:t>
      </w:r>
      <w:r w:rsidR="00150789" w:rsidRPr="002D7B9F">
        <w:rPr>
          <w:i/>
        </w:rPr>
        <w:t>exceto</w:t>
      </w:r>
      <w:r w:rsidR="008C450F" w:rsidRPr="002D7B9F">
        <w:rPr>
          <w:i/>
        </w:rPr>
        <w:t xml:space="preserve"> com o consentimento</w:t>
      </w:r>
      <w:r w:rsidRPr="002D7B9F">
        <w:rPr>
          <w:i/>
        </w:rPr>
        <w:t xml:space="preserve"> do Conselho Nacional.</w:t>
      </w:r>
    </w:p>
    <w:p w14:paraId="65DA2A88" w14:textId="460AB2D4" w:rsidR="00115647" w:rsidRPr="002D7B9F" w:rsidRDefault="00115647" w:rsidP="00115647">
      <w:pPr>
        <w:pStyle w:val="NormalHanging12a"/>
        <w:ind w:firstLine="0"/>
        <w:rPr>
          <w:i/>
          <w:iCs/>
        </w:rPr>
      </w:pPr>
      <w:r w:rsidRPr="002D7B9F">
        <w:rPr>
          <w:i/>
        </w:rPr>
        <w:t>3.</w:t>
      </w:r>
      <w:r w:rsidRPr="002D7B9F">
        <w:rPr>
          <w:i/>
        </w:rPr>
        <w:tab/>
      </w:r>
      <w:r w:rsidR="00150789" w:rsidRPr="002D7B9F">
        <w:rPr>
          <w:i/>
        </w:rPr>
        <w:t xml:space="preserve">Em </w:t>
      </w:r>
      <w:r w:rsidR="00F046FF" w:rsidRPr="002D7B9F">
        <w:rPr>
          <w:i/>
        </w:rPr>
        <w:t>quaisquer</w:t>
      </w:r>
      <w:r w:rsidR="00150789" w:rsidRPr="002D7B9F">
        <w:rPr>
          <w:i/>
        </w:rPr>
        <w:t xml:space="preserve"> outros casos, os </w:t>
      </w:r>
      <w:r w:rsidRPr="002D7B9F">
        <w:rPr>
          <w:i/>
        </w:rPr>
        <w:t>membros do Conselho Nacional só podem ser acusados</w:t>
      </w:r>
      <w:r w:rsidR="00150789" w:rsidRPr="002D7B9F">
        <w:rPr>
          <w:i/>
        </w:rPr>
        <w:t xml:space="preserve"> de uma infração penal</w:t>
      </w:r>
      <w:r w:rsidRPr="002D7B9F">
        <w:rPr>
          <w:i/>
        </w:rPr>
        <w:t xml:space="preserve"> </w:t>
      </w:r>
      <w:r w:rsidR="00150789" w:rsidRPr="002D7B9F">
        <w:rPr>
          <w:i/>
        </w:rPr>
        <w:t xml:space="preserve">sem </w:t>
      </w:r>
      <w:r w:rsidRPr="002D7B9F">
        <w:rPr>
          <w:i/>
        </w:rPr>
        <w:t xml:space="preserve">o consentimento do Conselho Nacional </w:t>
      </w:r>
      <w:r w:rsidR="00150789" w:rsidRPr="002D7B9F">
        <w:rPr>
          <w:i/>
        </w:rPr>
        <w:t xml:space="preserve">se </w:t>
      </w:r>
      <w:r w:rsidR="00F046FF" w:rsidRPr="002D7B9F">
        <w:rPr>
          <w:i/>
        </w:rPr>
        <w:t>tal</w:t>
      </w:r>
      <w:r w:rsidR="00150789" w:rsidRPr="002D7B9F">
        <w:rPr>
          <w:i/>
        </w:rPr>
        <w:t xml:space="preserve"> infração for</w:t>
      </w:r>
      <w:r w:rsidRPr="002D7B9F">
        <w:rPr>
          <w:i/>
        </w:rPr>
        <w:t xml:space="preserve"> manifestamente </w:t>
      </w:r>
      <w:r w:rsidR="00150789" w:rsidRPr="002D7B9F">
        <w:rPr>
          <w:i/>
        </w:rPr>
        <w:t>alheia à</w:t>
      </w:r>
      <w:r w:rsidRPr="002D7B9F">
        <w:rPr>
          <w:i/>
        </w:rPr>
        <w:t xml:space="preserve"> atividade </w:t>
      </w:r>
      <w:r w:rsidR="00944632" w:rsidRPr="002D7B9F">
        <w:rPr>
          <w:i/>
        </w:rPr>
        <w:t xml:space="preserve">política </w:t>
      </w:r>
      <w:r w:rsidRPr="002D7B9F">
        <w:rPr>
          <w:i/>
        </w:rPr>
        <w:t xml:space="preserve">do deputado. No entanto, a autoridade </w:t>
      </w:r>
      <w:r w:rsidR="00944632" w:rsidRPr="002D7B9F">
        <w:rPr>
          <w:i/>
        </w:rPr>
        <w:t xml:space="preserve">competente para o exercício da ação penal </w:t>
      </w:r>
      <w:r w:rsidRPr="002D7B9F">
        <w:rPr>
          <w:i/>
        </w:rPr>
        <w:t xml:space="preserve">deve obter uma decisão do Conselho Nacional sobre a existência dessa ligação </w:t>
      </w:r>
      <w:r w:rsidR="00F046FF" w:rsidRPr="002D7B9F">
        <w:rPr>
          <w:i/>
        </w:rPr>
        <w:t xml:space="preserve">caso </w:t>
      </w:r>
      <w:r w:rsidRPr="002D7B9F">
        <w:rPr>
          <w:i/>
        </w:rPr>
        <w:t xml:space="preserve">o </w:t>
      </w:r>
      <w:r w:rsidR="00944632" w:rsidRPr="002D7B9F">
        <w:rPr>
          <w:i/>
        </w:rPr>
        <w:t xml:space="preserve">membro </w:t>
      </w:r>
      <w:r w:rsidRPr="002D7B9F">
        <w:rPr>
          <w:i/>
        </w:rPr>
        <w:t>em causa</w:t>
      </w:r>
      <w:r w:rsidR="00944632" w:rsidRPr="002D7B9F">
        <w:rPr>
          <w:i/>
        </w:rPr>
        <w:t>,</w:t>
      </w:r>
      <w:r w:rsidRPr="002D7B9F">
        <w:rPr>
          <w:i/>
        </w:rPr>
        <w:t xml:space="preserve"> ou um </w:t>
      </w:r>
      <w:r w:rsidRPr="002D7B9F">
        <w:rPr>
          <w:i/>
        </w:rPr>
        <w:lastRenderedPageBreak/>
        <w:t xml:space="preserve">terço dos membros da comissão permanente responsável </w:t>
      </w:r>
      <w:r w:rsidR="00944632" w:rsidRPr="002D7B9F">
        <w:rPr>
          <w:i/>
        </w:rPr>
        <w:t xml:space="preserve">por </w:t>
      </w:r>
      <w:r w:rsidR="00F046FF" w:rsidRPr="002D7B9F">
        <w:rPr>
          <w:i/>
        </w:rPr>
        <w:t>tais</w:t>
      </w:r>
      <w:r w:rsidR="00944632" w:rsidRPr="002D7B9F">
        <w:rPr>
          <w:i/>
        </w:rPr>
        <w:t xml:space="preserve"> matérias,</w:t>
      </w:r>
      <w:r w:rsidRPr="002D7B9F">
        <w:rPr>
          <w:i/>
        </w:rPr>
        <w:t xml:space="preserve"> o solicitar. </w:t>
      </w:r>
      <w:r w:rsidR="00944632" w:rsidRPr="002D7B9F">
        <w:rPr>
          <w:i/>
        </w:rPr>
        <w:t>Mediante</w:t>
      </w:r>
      <w:r w:rsidRPr="002D7B9F">
        <w:rPr>
          <w:i/>
        </w:rPr>
        <w:t xml:space="preserve"> tal pedido, </w:t>
      </w:r>
      <w:r w:rsidR="008B3AAB" w:rsidRPr="002D7B9F">
        <w:rPr>
          <w:i/>
        </w:rPr>
        <w:t xml:space="preserve">a autoridade competente para a </w:t>
      </w:r>
      <w:r w:rsidRPr="002D7B9F">
        <w:rPr>
          <w:i/>
        </w:rPr>
        <w:t xml:space="preserve">ação penal </w:t>
      </w:r>
      <w:r w:rsidR="008B3AAB" w:rsidRPr="002D7B9F">
        <w:rPr>
          <w:i/>
        </w:rPr>
        <w:t>deve</w:t>
      </w:r>
      <w:r w:rsidR="00F046FF" w:rsidRPr="002D7B9F">
        <w:rPr>
          <w:i/>
        </w:rPr>
        <w:t>rá</w:t>
      </w:r>
      <w:r w:rsidR="008B3AAB" w:rsidRPr="002D7B9F">
        <w:rPr>
          <w:i/>
        </w:rPr>
        <w:t xml:space="preserve"> abster</w:t>
      </w:r>
      <w:r w:rsidR="008B3AAB" w:rsidRPr="002D7B9F">
        <w:rPr>
          <w:i/>
        </w:rPr>
        <w:noBreakHyphen/>
        <w:t xml:space="preserve">se </w:t>
      </w:r>
      <w:r w:rsidRPr="002D7B9F">
        <w:rPr>
          <w:i/>
        </w:rPr>
        <w:t xml:space="preserve">imediatamente </w:t>
      </w:r>
      <w:r w:rsidR="008B3AAB" w:rsidRPr="002D7B9F">
        <w:rPr>
          <w:i/>
        </w:rPr>
        <w:t>de tomar qualquer medida ou descontinuar qualquer medida já iniciada</w:t>
      </w:r>
      <w:r w:rsidRPr="002D7B9F">
        <w:rPr>
          <w:i/>
        </w:rPr>
        <w:t>.»;</w:t>
      </w:r>
    </w:p>
    <w:p w14:paraId="7D9E9704" w14:textId="237B5871" w:rsidR="00115647" w:rsidRPr="002D7B9F" w:rsidRDefault="00115647" w:rsidP="00115647">
      <w:pPr>
        <w:pStyle w:val="NormalHanging12a"/>
      </w:pPr>
      <w:r w:rsidRPr="002D7B9F">
        <w:t>G.</w:t>
      </w:r>
      <w:r w:rsidRPr="002D7B9F">
        <w:tab/>
        <w:t xml:space="preserve">Considerando que o objetivo da imunidade prevista no Protocolo n.º 7 relativo aos Privilégios e Imunidades da União Europeia </w:t>
      </w:r>
      <w:r w:rsidR="009C4742" w:rsidRPr="002D7B9F">
        <w:t xml:space="preserve">consiste em </w:t>
      </w:r>
      <w:r w:rsidRPr="002D7B9F">
        <w:t>proteger o Parlamento e os seus deputados de processos judiciais relacionados com atividades exercidas no desempenho das suas funções parlamentares e que não podem ser separadas dessas funções;</w:t>
      </w:r>
    </w:p>
    <w:p w14:paraId="48147F12" w14:textId="72057914" w:rsidR="00115647" w:rsidRPr="002D7B9F" w:rsidRDefault="00115647" w:rsidP="00115647">
      <w:pPr>
        <w:pStyle w:val="NormalHanging12a"/>
      </w:pPr>
      <w:r w:rsidRPr="002D7B9F">
        <w:t>H.</w:t>
      </w:r>
      <w:r w:rsidRPr="002D7B9F">
        <w:tab/>
        <w:t>Considerando que, nos termos do artigo 5.º, n.º 2, do seu Regimento, a imunidade parlamentar não é um privilégio pessoal dos deputados, mas sim uma garantia da independência do Parlamento como um todo, e dos seus membros;</w:t>
      </w:r>
    </w:p>
    <w:p w14:paraId="555BB0E0" w14:textId="5FD2127E" w:rsidR="00115647" w:rsidRPr="002D7B9F" w:rsidRDefault="00115647" w:rsidP="00115647">
      <w:pPr>
        <w:pStyle w:val="NormalHanging12a"/>
      </w:pPr>
      <w:r w:rsidRPr="002D7B9F">
        <w:t>I.</w:t>
      </w:r>
      <w:r w:rsidRPr="002D7B9F">
        <w:tab/>
        <w:t xml:space="preserve">Considerando que, no caso em apreço, o Parlamento não </w:t>
      </w:r>
      <w:r w:rsidR="00F046FF" w:rsidRPr="002D7B9F">
        <w:t>encontrou</w:t>
      </w:r>
      <w:r w:rsidR="003E4416" w:rsidRPr="002D7B9F">
        <w:t xml:space="preserve"> indícios</w:t>
      </w:r>
      <w:r w:rsidRPr="002D7B9F">
        <w:t xml:space="preserve"> de </w:t>
      </w:r>
      <w:proofErr w:type="spellStart"/>
      <w:r w:rsidRPr="002D7B9F">
        <w:rPr>
          <w:i/>
          <w:iCs/>
        </w:rPr>
        <w:t>fumus</w:t>
      </w:r>
      <w:proofErr w:type="spellEnd"/>
      <w:r w:rsidRPr="002D7B9F">
        <w:rPr>
          <w:i/>
          <w:iCs/>
        </w:rPr>
        <w:t xml:space="preserve"> </w:t>
      </w:r>
      <w:proofErr w:type="spellStart"/>
      <w:r w:rsidRPr="002D7B9F">
        <w:rPr>
          <w:i/>
          <w:iCs/>
        </w:rPr>
        <w:t>persecutionis</w:t>
      </w:r>
      <w:proofErr w:type="spellEnd"/>
      <w:r w:rsidRPr="002D7B9F">
        <w:t xml:space="preserve">, ou seja, </w:t>
      </w:r>
      <w:r w:rsidR="003A59E6" w:rsidRPr="002D7B9F">
        <w:t>não parece que a intenção subjacente ao</w:t>
      </w:r>
      <w:r w:rsidRPr="002D7B9F">
        <w:t xml:space="preserve"> processo em causa </w:t>
      </w:r>
      <w:r w:rsidR="003A59E6" w:rsidRPr="002D7B9F">
        <w:t>tenha sido a</w:t>
      </w:r>
      <w:r w:rsidRPr="002D7B9F">
        <w:t xml:space="preserve"> de prejudicar a atividade política </w:t>
      </w:r>
      <w:r w:rsidR="003A59E6" w:rsidRPr="002D7B9F">
        <w:t xml:space="preserve">de </w:t>
      </w:r>
      <w:proofErr w:type="spellStart"/>
      <w:r w:rsidR="003A59E6" w:rsidRPr="002D7B9F">
        <w:t>Harald</w:t>
      </w:r>
      <w:proofErr w:type="spellEnd"/>
      <w:r w:rsidR="003A59E6" w:rsidRPr="002D7B9F">
        <w:t> </w:t>
      </w:r>
      <w:proofErr w:type="spellStart"/>
      <w:r w:rsidR="003A59E6" w:rsidRPr="002D7B9F">
        <w:t>Vilimsky</w:t>
      </w:r>
      <w:proofErr w:type="spellEnd"/>
      <w:r w:rsidR="003A59E6" w:rsidRPr="002D7B9F">
        <w:t xml:space="preserve"> enquanto</w:t>
      </w:r>
      <w:r w:rsidRPr="002D7B9F">
        <w:t xml:space="preserve"> deputado ao Parlamento Europeu</w:t>
      </w:r>
      <w:r w:rsidR="00567463" w:rsidRPr="002D7B9F">
        <w:t>,</w:t>
      </w:r>
      <w:r w:rsidR="003A59E6" w:rsidRPr="002D7B9F">
        <w:t xml:space="preserve"> </w:t>
      </w:r>
      <w:bookmarkStart w:id="9" w:name="_Hlk229658531"/>
      <w:r w:rsidR="003A59E6" w:rsidRPr="002D7B9F">
        <w:t>e, por conseguinte, a independência do Parlamento</w:t>
      </w:r>
      <w:bookmarkEnd w:id="9"/>
      <w:r w:rsidR="00567463" w:rsidRPr="002D7B9F">
        <w:t>;</w:t>
      </w:r>
    </w:p>
    <w:p w14:paraId="399D6B53" w14:textId="57A3DA4C" w:rsidR="00115647" w:rsidRPr="002D7B9F" w:rsidRDefault="00115647" w:rsidP="00115647">
      <w:pPr>
        <w:pStyle w:val="NormalHanging12a"/>
      </w:pPr>
      <w:r w:rsidRPr="002D7B9F">
        <w:t>J.</w:t>
      </w:r>
      <w:r w:rsidRPr="002D7B9F">
        <w:tab/>
        <w:t>Considerando, que o Parlamento não pode ser equiparado a um tribunal e que o deputado, no contexto de um processo de levantamento da imunidade, não pode ser considerado «arguido»</w:t>
      </w:r>
      <w:r w:rsidRPr="002D7B9F">
        <w:rPr>
          <w:vertAlign w:val="superscript"/>
        </w:rPr>
        <w:footnoteReference w:id="2"/>
      </w:r>
      <w:r w:rsidRPr="002D7B9F">
        <w:t>;</w:t>
      </w:r>
    </w:p>
    <w:p w14:paraId="672B22D8" w14:textId="77777777" w:rsidR="00115647" w:rsidRPr="002D7B9F" w:rsidRDefault="00115647" w:rsidP="00115647">
      <w:pPr>
        <w:pStyle w:val="NormalHanging12a"/>
      </w:pPr>
      <w:r w:rsidRPr="002D7B9F">
        <w:t>1.</w:t>
      </w:r>
      <w:r w:rsidRPr="002D7B9F">
        <w:tab/>
        <w:t xml:space="preserve">Decide levantar a imunidade de </w:t>
      </w:r>
      <w:proofErr w:type="spellStart"/>
      <w:r w:rsidRPr="002D7B9F">
        <w:t>Harald</w:t>
      </w:r>
      <w:proofErr w:type="spellEnd"/>
      <w:r w:rsidRPr="002D7B9F">
        <w:t> </w:t>
      </w:r>
      <w:proofErr w:type="spellStart"/>
      <w:r w:rsidRPr="002D7B9F">
        <w:t>Vilimsky</w:t>
      </w:r>
      <w:proofErr w:type="spellEnd"/>
      <w:r w:rsidRPr="002D7B9F">
        <w:t>;</w:t>
      </w:r>
    </w:p>
    <w:p w14:paraId="7CE4B48C" w14:textId="090D697D" w:rsidR="00694CE6" w:rsidRPr="002D7B9F" w:rsidRDefault="00115647" w:rsidP="00694CE6">
      <w:pPr>
        <w:pStyle w:val="NormalHanging12a"/>
      </w:pPr>
      <w:r w:rsidRPr="002D7B9F">
        <w:t>2.</w:t>
      </w:r>
      <w:r w:rsidRPr="002D7B9F">
        <w:tab/>
        <w:t xml:space="preserve">Encarrega a sua Presidente de transmitir de imediato a presente decisão, bem como o relatório da sua comissão competente, à autoridade competente da República da Áustria e a </w:t>
      </w:r>
      <w:proofErr w:type="spellStart"/>
      <w:r w:rsidRPr="002D7B9F">
        <w:t>Harald</w:t>
      </w:r>
      <w:proofErr w:type="spellEnd"/>
      <w:r w:rsidRPr="002D7B9F">
        <w:t> </w:t>
      </w:r>
      <w:proofErr w:type="spellStart"/>
      <w:r w:rsidRPr="002D7B9F">
        <w:t>Vilimsky</w:t>
      </w:r>
      <w:proofErr w:type="spellEnd"/>
      <w:r w:rsidRPr="002D7B9F">
        <w:t xml:space="preserve">. </w:t>
      </w:r>
    </w:p>
    <w:p w14:paraId="235F98EC" w14:textId="40E56FEA" w:rsidR="00E365E1" w:rsidRPr="002D7B9F" w:rsidRDefault="00E365E1" w:rsidP="00E013B3"/>
    <w:sectPr w:rsidR="00E365E1" w:rsidRPr="002D7B9F" w:rsidSect="00694C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8DBD9" w14:textId="77777777" w:rsidR="00E013B3" w:rsidRPr="00694CE6" w:rsidRDefault="00E013B3">
      <w:r w:rsidRPr="00694CE6">
        <w:separator/>
      </w:r>
    </w:p>
  </w:endnote>
  <w:endnote w:type="continuationSeparator" w:id="0">
    <w:p w14:paraId="43E6A2DC" w14:textId="77777777" w:rsidR="00E013B3" w:rsidRPr="00694CE6" w:rsidRDefault="00E013B3">
      <w:r w:rsidRPr="00694C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11768" w14:textId="77777777" w:rsidR="00064002" w:rsidRPr="00694C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242B6" w14:textId="77777777" w:rsidR="00064002" w:rsidRPr="00694C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92FCD" w14:textId="77777777" w:rsidR="00064002" w:rsidRPr="00694C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AA35" w14:textId="77777777" w:rsidR="00E013B3" w:rsidRPr="00694CE6" w:rsidRDefault="00E013B3">
      <w:r w:rsidRPr="00694CE6">
        <w:separator/>
      </w:r>
    </w:p>
  </w:footnote>
  <w:footnote w:type="continuationSeparator" w:id="0">
    <w:p w14:paraId="5AA0642A" w14:textId="77777777" w:rsidR="00E013B3" w:rsidRPr="00694CE6" w:rsidRDefault="00E013B3">
      <w:r w:rsidRPr="00694CE6">
        <w:continuationSeparator/>
      </w:r>
    </w:p>
  </w:footnote>
  <w:footnote w:id="1">
    <w:p w14:paraId="074CDBC2" w14:textId="4171428C" w:rsidR="00115647" w:rsidRPr="00694CE6" w:rsidRDefault="00115647" w:rsidP="00694CE6">
      <w:pPr>
        <w:pStyle w:val="FootnoteText"/>
        <w:ind w:left="567" w:hanging="567"/>
        <w:rPr>
          <w:sz w:val="24"/>
          <w:lang w:val="pt-PT"/>
        </w:rPr>
      </w:pPr>
      <w:r w:rsidRPr="00694CE6">
        <w:rPr>
          <w:rStyle w:val="FootnoteReference"/>
          <w:sz w:val="24"/>
          <w:lang w:val="pt-PT"/>
        </w:rPr>
        <w:footnoteRef/>
      </w:r>
      <w:r w:rsidR="00694CE6" w:rsidRPr="00694CE6">
        <w:rPr>
          <w:sz w:val="24"/>
          <w:lang w:val="pt-PT"/>
        </w:rPr>
        <w:t xml:space="preserve"> </w:t>
      </w:r>
      <w:r w:rsidR="00694CE6" w:rsidRPr="00694CE6">
        <w:rPr>
          <w:sz w:val="24"/>
          <w:lang w:val="pt-PT"/>
        </w:rPr>
        <w:tab/>
      </w:r>
      <w:r w:rsidRPr="00694CE6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694CE6">
        <w:rPr>
          <w:sz w:val="24"/>
          <w:lang w:val="pt-PT"/>
        </w:rPr>
        <w:t>Gregorio</w:t>
      </w:r>
      <w:proofErr w:type="spellEnd"/>
      <w:r w:rsidRPr="00694CE6">
        <w:rPr>
          <w:sz w:val="24"/>
          <w:lang w:val="pt-PT"/>
        </w:rPr>
        <w:t xml:space="preserve"> e Clemente, C-200/07 e C-201/07, ECLI:EU:C:2008:579; Acórdão do Tribunal Geral de 19 de março de 2010, </w:t>
      </w:r>
      <w:proofErr w:type="spellStart"/>
      <w:r w:rsidRPr="00694CE6">
        <w:rPr>
          <w:sz w:val="24"/>
          <w:lang w:val="pt-PT"/>
        </w:rPr>
        <w:t>Gollnisch</w:t>
      </w:r>
      <w:proofErr w:type="spellEnd"/>
      <w:r w:rsidRPr="00694CE6">
        <w:rPr>
          <w:sz w:val="24"/>
          <w:lang w:val="pt-PT"/>
        </w:rPr>
        <w:t xml:space="preserve">/Parlamento Europeu, T-42/06, ECLI:EU:T:2010:102; Acórdão do Tribunal de Justiça de 6 de setembro de 2011, </w:t>
      </w:r>
      <w:proofErr w:type="spellStart"/>
      <w:r w:rsidRPr="00694CE6">
        <w:rPr>
          <w:sz w:val="24"/>
          <w:lang w:val="pt-PT"/>
        </w:rPr>
        <w:t>Patriciello</w:t>
      </w:r>
      <w:proofErr w:type="spellEnd"/>
      <w:r w:rsidRPr="00694CE6">
        <w:rPr>
          <w:sz w:val="24"/>
          <w:lang w:val="pt-PT"/>
        </w:rPr>
        <w:t xml:space="preserve">, C‑163/10, ECLI: EU:C:2011:543; Acórdão do Tribunal Geral de 17 de janeiro de 2013, </w:t>
      </w:r>
      <w:proofErr w:type="spellStart"/>
      <w:r w:rsidRPr="00694CE6">
        <w:rPr>
          <w:sz w:val="24"/>
          <w:lang w:val="pt-PT"/>
        </w:rPr>
        <w:t>Gollnisch</w:t>
      </w:r>
      <w:proofErr w:type="spellEnd"/>
      <w:r w:rsidRPr="00694CE6">
        <w:rPr>
          <w:sz w:val="24"/>
          <w:lang w:val="pt-PT"/>
        </w:rPr>
        <w:t xml:space="preserve">/Parlamento Europeu, T-346/11 e T-347/11, ECLI:EU:T:2013:23; Acórdão do Tribunal de Justiça de 19 de dezembro de 2019, </w:t>
      </w:r>
      <w:proofErr w:type="spellStart"/>
      <w:r w:rsidRPr="00694CE6">
        <w:rPr>
          <w:sz w:val="24"/>
          <w:lang w:val="pt-PT"/>
        </w:rPr>
        <w:t>Junqueras</w:t>
      </w:r>
      <w:proofErr w:type="spellEnd"/>
      <w:r w:rsidRPr="00694CE6">
        <w:rPr>
          <w:sz w:val="24"/>
          <w:lang w:val="pt-PT"/>
        </w:rPr>
        <w:t xml:space="preserve"> </w:t>
      </w:r>
      <w:proofErr w:type="spellStart"/>
      <w:r w:rsidRPr="00694CE6">
        <w:rPr>
          <w:sz w:val="24"/>
          <w:lang w:val="pt-PT"/>
        </w:rPr>
        <w:t>Vies</w:t>
      </w:r>
      <w:proofErr w:type="spellEnd"/>
      <w:r w:rsidRPr="00694CE6">
        <w:rPr>
          <w:sz w:val="24"/>
          <w:lang w:val="pt-PT"/>
        </w:rPr>
        <w:t>, C-502/19, ECLI:EU:C:2019:1115.</w:t>
      </w:r>
    </w:p>
  </w:footnote>
  <w:footnote w:id="2">
    <w:p w14:paraId="2A974B97" w14:textId="3A28D3D8" w:rsidR="00115647" w:rsidRPr="00694CE6" w:rsidRDefault="00115647" w:rsidP="00694CE6">
      <w:pPr>
        <w:pStyle w:val="FootnoteText"/>
        <w:ind w:left="567" w:hanging="567"/>
        <w:rPr>
          <w:sz w:val="24"/>
          <w:lang w:val="pt-PT"/>
        </w:rPr>
      </w:pPr>
      <w:r w:rsidRPr="00694CE6">
        <w:rPr>
          <w:rStyle w:val="FootnoteReference"/>
          <w:sz w:val="24"/>
          <w:lang w:val="pt-PT"/>
        </w:rPr>
        <w:footnoteRef/>
      </w:r>
      <w:r w:rsidR="00694CE6" w:rsidRPr="00694CE6">
        <w:rPr>
          <w:sz w:val="24"/>
          <w:lang w:val="pt-PT"/>
        </w:rPr>
        <w:t xml:space="preserve"> </w:t>
      </w:r>
      <w:r w:rsidR="00694CE6" w:rsidRPr="00694CE6">
        <w:rPr>
          <w:sz w:val="24"/>
          <w:lang w:val="pt-PT"/>
        </w:rPr>
        <w:tab/>
      </w:r>
      <w:r w:rsidRPr="00694CE6">
        <w:rPr>
          <w:sz w:val="24"/>
          <w:lang w:val="pt-PT"/>
        </w:rPr>
        <w:t xml:space="preserve">Acórdão do Tribunal Geral de 30 de abril de 2019, </w:t>
      </w:r>
      <w:proofErr w:type="spellStart"/>
      <w:r w:rsidRPr="00694CE6">
        <w:rPr>
          <w:sz w:val="24"/>
          <w:lang w:val="pt-PT"/>
        </w:rPr>
        <w:t>Briois</w:t>
      </w:r>
      <w:proofErr w:type="spellEnd"/>
      <w:r w:rsidRPr="00694CE6">
        <w:rPr>
          <w:sz w:val="24"/>
          <w:lang w:val="pt-PT"/>
        </w:rPr>
        <w:t>/Parlamento Europeu, T-214/18, ECLI:EU:T:2019:266, n.º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16499" w14:textId="77777777" w:rsidR="00064002" w:rsidRPr="00694C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ED1E" w14:textId="77777777" w:rsidR="00064002" w:rsidRPr="00694C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E7E78" w14:textId="77777777" w:rsidR="00064002" w:rsidRPr="00694C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6273149">
    <w:abstractNumId w:val="9"/>
  </w:num>
  <w:num w:numId="2" w16cid:durableId="1674144520">
    <w:abstractNumId w:val="9"/>
  </w:num>
  <w:num w:numId="3" w16cid:durableId="818771604">
    <w:abstractNumId w:val="7"/>
  </w:num>
  <w:num w:numId="4" w16cid:durableId="657854377">
    <w:abstractNumId w:val="7"/>
  </w:num>
  <w:num w:numId="5" w16cid:durableId="89086997">
    <w:abstractNumId w:val="6"/>
  </w:num>
  <w:num w:numId="6" w16cid:durableId="180625325">
    <w:abstractNumId w:val="6"/>
  </w:num>
  <w:num w:numId="7" w16cid:durableId="530534065">
    <w:abstractNumId w:val="5"/>
  </w:num>
  <w:num w:numId="8" w16cid:durableId="72898365">
    <w:abstractNumId w:val="5"/>
  </w:num>
  <w:num w:numId="9" w16cid:durableId="1315992164">
    <w:abstractNumId w:val="4"/>
  </w:num>
  <w:num w:numId="10" w16cid:durableId="710765038">
    <w:abstractNumId w:val="4"/>
  </w:num>
  <w:num w:numId="11" w16cid:durableId="486046228">
    <w:abstractNumId w:val="8"/>
  </w:num>
  <w:num w:numId="12" w16cid:durableId="1890264403">
    <w:abstractNumId w:val="8"/>
  </w:num>
  <w:num w:numId="13" w16cid:durableId="686521953">
    <w:abstractNumId w:val="3"/>
  </w:num>
  <w:num w:numId="14" w16cid:durableId="554967974">
    <w:abstractNumId w:val="3"/>
  </w:num>
  <w:num w:numId="15" w16cid:durableId="1186754749">
    <w:abstractNumId w:val="2"/>
  </w:num>
  <w:num w:numId="16" w16cid:durableId="629214162">
    <w:abstractNumId w:val="2"/>
  </w:num>
  <w:num w:numId="17" w16cid:durableId="1073161529">
    <w:abstractNumId w:val="1"/>
  </w:num>
  <w:num w:numId="18" w16cid:durableId="1439175382">
    <w:abstractNumId w:val="1"/>
  </w:num>
  <w:num w:numId="19" w16cid:durableId="356203407">
    <w:abstractNumId w:val="0"/>
  </w:num>
  <w:num w:numId="20" w16cid:durableId="1375616292">
    <w:abstractNumId w:val="0"/>
  </w:num>
  <w:num w:numId="21" w16cid:durableId="223954364">
    <w:abstractNumId w:val="9"/>
  </w:num>
  <w:num w:numId="22" w16cid:durableId="1027831411">
    <w:abstractNumId w:val="7"/>
  </w:num>
  <w:num w:numId="23" w16cid:durableId="1745758989">
    <w:abstractNumId w:val="6"/>
  </w:num>
  <w:num w:numId="24" w16cid:durableId="1496842276">
    <w:abstractNumId w:val="5"/>
  </w:num>
  <w:num w:numId="25" w16cid:durableId="732972056">
    <w:abstractNumId w:val="4"/>
  </w:num>
  <w:num w:numId="26" w16cid:durableId="1421289042">
    <w:abstractNumId w:val="8"/>
  </w:num>
  <w:num w:numId="27" w16cid:durableId="694037347">
    <w:abstractNumId w:val="3"/>
  </w:num>
  <w:num w:numId="28" w16cid:durableId="1300451258">
    <w:abstractNumId w:val="2"/>
  </w:num>
  <w:num w:numId="29" w16cid:durableId="297999140">
    <w:abstractNumId w:val="1"/>
  </w:num>
  <w:num w:numId="30" w16cid:durableId="810709793">
    <w:abstractNumId w:val="0"/>
  </w:num>
  <w:num w:numId="31" w16cid:durableId="221646197">
    <w:abstractNumId w:val="9"/>
  </w:num>
  <w:num w:numId="32" w16cid:durableId="1680233214">
    <w:abstractNumId w:val="7"/>
  </w:num>
  <w:num w:numId="33" w16cid:durableId="2143962781">
    <w:abstractNumId w:val="6"/>
  </w:num>
  <w:num w:numId="34" w16cid:durableId="714038035">
    <w:abstractNumId w:val="5"/>
  </w:num>
  <w:num w:numId="35" w16cid:durableId="2127962640">
    <w:abstractNumId w:val="4"/>
  </w:num>
  <w:num w:numId="36" w16cid:durableId="820468838">
    <w:abstractNumId w:val="8"/>
  </w:num>
  <w:num w:numId="37" w16cid:durableId="315496231">
    <w:abstractNumId w:val="3"/>
  </w:num>
  <w:num w:numId="38" w16cid:durableId="2084328224">
    <w:abstractNumId w:val="2"/>
  </w:num>
  <w:num w:numId="39" w16cid:durableId="936056686">
    <w:abstractNumId w:val="1"/>
  </w:num>
  <w:num w:numId="40" w16cid:durableId="1708141306">
    <w:abstractNumId w:val="0"/>
  </w:num>
  <w:num w:numId="41" w16cid:durableId="1468280433">
    <w:abstractNumId w:val="10"/>
  </w:num>
  <w:num w:numId="42" w16cid:durableId="18508098">
    <w:abstractNumId w:val="10"/>
  </w:num>
  <w:num w:numId="43" w16cid:durableId="1539976748">
    <w:abstractNumId w:val="10"/>
  </w:num>
  <w:num w:numId="44" w16cid:durableId="6721446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PT"/>
    <w:docVar w:name="dvnumam" w:val="0"/>
    <w:docVar w:name="dvpe" w:val="784.495"/>
    <w:docVar w:name="dvrapporteur" w:val="Relator: "/>
    <w:docVar w:name="dvtitre" w:val="Decisão do Parlamento Europeu, de ... de ... de 2026,_x000d__x000a_ sobre o pedido de levantamento da imunidade de Harald Vilimsky(2025/2158(IMM))"/>
  </w:docVars>
  <w:rsids>
    <w:rsidRoot w:val="00E013B3"/>
    <w:rsid w:val="00002272"/>
    <w:rsid w:val="00064002"/>
    <w:rsid w:val="000677B9"/>
    <w:rsid w:val="000831BA"/>
    <w:rsid w:val="000A42CC"/>
    <w:rsid w:val="000E7DD9"/>
    <w:rsid w:val="0010095E"/>
    <w:rsid w:val="00115647"/>
    <w:rsid w:val="00125B37"/>
    <w:rsid w:val="00150789"/>
    <w:rsid w:val="00187494"/>
    <w:rsid w:val="001F32AE"/>
    <w:rsid w:val="00231ACB"/>
    <w:rsid w:val="002767FF"/>
    <w:rsid w:val="002B18FE"/>
    <w:rsid w:val="002B5493"/>
    <w:rsid w:val="002D7B9F"/>
    <w:rsid w:val="00343214"/>
    <w:rsid w:val="00361C00"/>
    <w:rsid w:val="00395FA1"/>
    <w:rsid w:val="003A59E6"/>
    <w:rsid w:val="003B05BB"/>
    <w:rsid w:val="003E15D4"/>
    <w:rsid w:val="003E4416"/>
    <w:rsid w:val="00407F82"/>
    <w:rsid w:val="00411CCE"/>
    <w:rsid w:val="0041666E"/>
    <w:rsid w:val="00421060"/>
    <w:rsid w:val="00471C19"/>
    <w:rsid w:val="004867E3"/>
    <w:rsid w:val="00494A28"/>
    <w:rsid w:val="004C0004"/>
    <w:rsid w:val="004C52D7"/>
    <w:rsid w:val="004C5D52"/>
    <w:rsid w:val="0050519A"/>
    <w:rsid w:val="005072A1"/>
    <w:rsid w:val="00514517"/>
    <w:rsid w:val="00545827"/>
    <w:rsid w:val="00560270"/>
    <w:rsid w:val="00567463"/>
    <w:rsid w:val="005C23AF"/>
    <w:rsid w:val="005C2568"/>
    <w:rsid w:val="005F0D14"/>
    <w:rsid w:val="005F1B17"/>
    <w:rsid w:val="00601E3C"/>
    <w:rsid w:val="006037C0"/>
    <w:rsid w:val="006631B6"/>
    <w:rsid w:val="00680577"/>
    <w:rsid w:val="00694CE6"/>
    <w:rsid w:val="006E5E6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AAB"/>
    <w:rsid w:val="008C2AC6"/>
    <w:rsid w:val="008C450F"/>
    <w:rsid w:val="008F58FB"/>
    <w:rsid w:val="00906070"/>
    <w:rsid w:val="00930C23"/>
    <w:rsid w:val="0093193B"/>
    <w:rsid w:val="00937B99"/>
    <w:rsid w:val="00944632"/>
    <w:rsid w:val="009509D8"/>
    <w:rsid w:val="00950B64"/>
    <w:rsid w:val="00981893"/>
    <w:rsid w:val="009C4742"/>
    <w:rsid w:val="00A1687D"/>
    <w:rsid w:val="00A43E52"/>
    <w:rsid w:val="00A4678D"/>
    <w:rsid w:val="00A778C7"/>
    <w:rsid w:val="00AB441E"/>
    <w:rsid w:val="00AB6293"/>
    <w:rsid w:val="00AE0928"/>
    <w:rsid w:val="00AE347F"/>
    <w:rsid w:val="00AF3B82"/>
    <w:rsid w:val="00B12E95"/>
    <w:rsid w:val="00B22876"/>
    <w:rsid w:val="00B558F0"/>
    <w:rsid w:val="00B93622"/>
    <w:rsid w:val="00BB6E2E"/>
    <w:rsid w:val="00BD48FE"/>
    <w:rsid w:val="00BD7BD8"/>
    <w:rsid w:val="00BE6ADC"/>
    <w:rsid w:val="00C05BFE"/>
    <w:rsid w:val="00C23CD4"/>
    <w:rsid w:val="00C61C0C"/>
    <w:rsid w:val="00C941CB"/>
    <w:rsid w:val="00CA3B29"/>
    <w:rsid w:val="00CC2357"/>
    <w:rsid w:val="00CF071A"/>
    <w:rsid w:val="00CF3798"/>
    <w:rsid w:val="00D058B8"/>
    <w:rsid w:val="00D56C11"/>
    <w:rsid w:val="00D834A0"/>
    <w:rsid w:val="00D872DF"/>
    <w:rsid w:val="00D91E21"/>
    <w:rsid w:val="00DA7FCD"/>
    <w:rsid w:val="00E013B3"/>
    <w:rsid w:val="00E365E1"/>
    <w:rsid w:val="00E820A4"/>
    <w:rsid w:val="00EB006A"/>
    <w:rsid w:val="00EB4772"/>
    <w:rsid w:val="00ED169E"/>
    <w:rsid w:val="00ED4235"/>
    <w:rsid w:val="00F01BB2"/>
    <w:rsid w:val="00F04346"/>
    <w:rsid w:val="00F046FF"/>
    <w:rsid w:val="00F075DC"/>
    <w:rsid w:val="00F149E9"/>
    <w:rsid w:val="00F5134D"/>
    <w:rsid w:val="00F74202"/>
    <w:rsid w:val="00F834E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FBA5F"/>
  <w15:chartTrackingRefBased/>
  <w15:docId w15:val="{C8C65224-EA82-444E-8224-E6DA2E5E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15647"/>
    <w:pPr>
      <w:spacing w:after="240"/>
      <w:ind w:left="567" w:hanging="567"/>
    </w:pPr>
  </w:style>
  <w:style w:type="paragraph" w:customStyle="1" w:styleId="EPComma">
    <w:name w:val="EPComma"/>
    <w:basedOn w:val="Normal"/>
    <w:rsid w:val="00115647"/>
    <w:pPr>
      <w:spacing w:before="480" w:after="240"/>
    </w:pPr>
  </w:style>
  <w:style w:type="paragraph" w:styleId="Revision">
    <w:name w:val="Revision"/>
    <w:hidden/>
    <w:uiPriority w:val="99"/>
    <w:semiHidden/>
    <w:rsid w:val="00CF3798"/>
    <w:rPr>
      <w:sz w:val="24"/>
      <w:lang w:val="pt-PT"/>
    </w:rPr>
  </w:style>
  <w:style w:type="character" w:styleId="CommentReference">
    <w:name w:val="annotation reference"/>
    <w:basedOn w:val="DefaultParagraphFont"/>
    <w:rsid w:val="00CF37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379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379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F37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3798"/>
    <w:rPr>
      <w:b/>
      <w:bCs/>
      <w:lang w:val="pt-PT"/>
    </w:rPr>
  </w:style>
  <w:style w:type="character" w:styleId="Hyperlink">
    <w:name w:val="Hyperlink"/>
    <w:basedOn w:val="DefaultParagraphFont"/>
    <w:rsid w:val="00CF37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985</Words>
  <Characters>5280</Characters>
  <Application>Microsoft Office Word</Application>
  <DocSecurity>0</DocSecurity>
  <Lines>251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2026-05-19T11:45:00Z</dcterms:created>
  <dcterms:modified xsi:type="dcterms:W3CDTF">2026-05-19T11:45:00Z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