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3EC4" w14:paraId="215934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2E7020" w14:textId="77777777" w:rsidR="00751A4A" w:rsidRPr="00E43EC4" w:rsidRDefault="002B7EE8" w:rsidP="0010095E">
            <w:pPr>
              <w:pStyle w:val="EPName"/>
            </w:pPr>
            <w:r w:rsidRPr="00E43EC4">
              <w:t>Evropský parlament</w:t>
            </w:r>
          </w:p>
          <w:p w14:paraId="21904236" w14:textId="77777777" w:rsidR="00751A4A" w:rsidRPr="00E43E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3EC4">
              <w:t>2024</w:t>
            </w:r>
            <w:r w:rsidR="00817416" w:rsidRPr="00E43EC4">
              <w:t>-202</w:t>
            </w:r>
            <w:r w:rsidRPr="00E43EC4">
              <w:t>9</w:t>
            </w:r>
          </w:p>
        </w:tc>
        <w:tc>
          <w:tcPr>
            <w:tcW w:w="2268" w:type="dxa"/>
            <w:shd w:val="clear" w:color="auto" w:fill="auto"/>
          </w:tcPr>
          <w:p w14:paraId="3648C924" w14:textId="77777777" w:rsidR="00751A4A" w:rsidRPr="00E43EC4" w:rsidRDefault="00187494" w:rsidP="0010095E">
            <w:pPr>
              <w:pStyle w:val="EPLogo"/>
            </w:pPr>
            <w:r w:rsidRPr="00E43EC4">
              <w:rPr>
                <w:noProof/>
                <w:lang w:eastAsia="ja-JP"/>
              </w:rPr>
              <w:drawing>
                <wp:inline distT="0" distB="0" distL="0" distR="0" wp14:anchorId="69ED72FE" wp14:editId="556178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3C5ACF" w14:textId="77777777" w:rsidR="00D058B8" w:rsidRPr="00E43EC4" w:rsidRDefault="00D058B8" w:rsidP="004C5D52">
      <w:pPr>
        <w:pStyle w:val="LineTop"/>
      </w:pPr>
    </w:p>
    <w:p w14:paraId="0474C006" w14:textId="77777777" w:rsidR="00680577" w:rsidRPr="00E43EC4" w:rsidRDefault="002B7EE8" w:rsidP="00680577">
      <w:pPr>
        <w:pStyle w:val="EPBodyTA1"/>
      </w:pPr>
      <w:r w:rsidRPr="00E43EC4">
        <w:t>PŘIJATÉ TEXTY</w:t>
      </w:r>
    </w:p>
    <w:p w14:paraId="0DF74D5F" w14:textId="77777777" w:rsidR="00D058B8" w:rsidRPr="00E43EC4" w:rsidRDefault="00D058B8" w:rsidP="00D058B8">
      <w:pPr>
        <w:pStyle w:val="LineBottom"/>
      </w:pPr>
    </w:p>
    <w:p w14:paraId="635FE8E9" w14:textId="446E5944" w:rsidR="002B7EE8" w:rsidRPr="00634925" w:rsidRDefault="002B7EE8" w:rsidP="002B7EE8">
      <w:pPr>
        <w:pStyle w:val="ATHeading1"/>
      </w:pPr>
      <w:bookmarkStart w:id="0" w:name="TANumber"/>
      <w:r w:rsidRPr="00634925">
        <w:t>P10_TA(2026)0</w:t>
      </w:r>
      <w:r w:rsidR="009A2750">
        <w:t>165</w:t>
      </w:r>
      <w:bookmarkEnd w:id="0"/>
    </w:p>
    <w:p w14:paraId="717723B5" w14:textId="77777777" w:rsidR="002B7EE8" w:rsidRPr="00634925" w:rsidRDefault="002B7EE8" w:rsidP="002B7EE8">
      <w:pPr>
        <w:pStyle w:val="ATHeading2"/>
      </w:pPr>
      <w:bookmarkStart w:id="1" w:name="title"/>
      <w:r w:rsidRPr="00634925">
        <w:t xml:space="preserve">Žádost, aby byla Angelika </w:t>
      </w:r>
      <w:proofErr w:type="spellStart"/>
      <w:r w:rsidRPr="00634925">
        <w:t>Nieblerová</w:t>
      </w:r>
      <w:proofErr w:type="spellEnd"/>
      <w:r w:rsidRPr="00634925">
        <w:t xml:space="preserve"> zbavena imunity</w:t>
      </w:r>
      <w:bookmarkEnd w:id="1"/>
    </w:p>
    <w:p w14:paraId="02A1DAA2" w14:textId="77777777" w:rsidR="002B7EE8" w:rsidRPr="00E43EC4" w:rsidRDefault="002B7EE8" w:rsidP="002B7EE8">
      <w:pPr>
        <w:rPr>
          <w:i/>
          <w:vanish/>
        </w:rPr>
      </w:pPr>
      <w:r w:rsidRPr="00E43EC4">
        <w:rPr>
          <w:i/>
        </w:rPr>
        <w:fldChar w:fldCharType="begin"/>
      </w:r>
      <w:r w:rsidRPr="00E43EC4">
        <w:rPr>
          <w:i/>
        </w:rPr>
        <w:instrText xml:space="preserve"> TC"(</w:instrText>
      </w:r>
      <w:bookmarkStart w:id="2" w:name="DocNumber"/>
      <w:r w:rsidRPr="00E43EC4">
        <w:rPr>
          <w:i/>
        </w:rPr>
        <w:instrText>A10-0127/2026</w:instrText>
      </w:r>
      <w:bookmarkEnd w:id="2"/>
      <w:r w:rsidRPr="00E43EC4">
        <w:rPr>
          <w:i/>
        </w:rPr>
        <w:instrText xml:space="preserve"> - Zpravodaj: Marcin Sypniewski)"\l3 \n&gt; \* MERGEFORMAT </w:instrText>
      </w:r>
      <w:r w:rsidRPr="00E43EC4">
        <w:rPr>
          <w:i/>
        </w:rPr>
        <w:fldChar w:fldCharType="end"/>
      </w:r>
    </w:p>
    <w:p w14:paraId="164D2057" w14:textId="77777777" w:rsidR="002B7EE8" w:rsidRPr="00E43EC4" w:rsidRDefault="002B7EE8" w:rsidP="002B7EE8">
      <w:pPr>
        <w:rPr>
          <w:vanish/>
        </w:rPr>
      </w:pPr>
      <w:bookmarkStart w:id="3" w:name="Commission"/>
      <w:r w:rsidRPr="00E43EC4">
        <w:rPr>
          <w:vanish/>
        </w:rPr>
        <w:t>Výbor pro právní záležitosti</w:t>
      </w:r>
      <w:bookmarkEnd w:id="3"/>
    </w:p>
    <w:p w14:paraId="27DE78E2" w14:textId="77777777" w:rsidR="002B7EE8" w:rsidRPr="00E43EC4" w:rsidRDefault="002B7EE8" w:rsidP="002B7EE8">
      <w:pPr>
        <w:rPr>
          <w:vanish/>
        </w:rPr>
      </w:pPr>
      <w:bookmarkStart w:id="4" w:name="PE"/>
      <w:r w:rsidRPr="00E43EC4">
        <w:rPr>
          <w:vanish/>
        </w:rPr>
        <w:t>PE784.494</w:t>
      </w:r>
      <w:bookmarkEnd w:id="4"/>
    </w:p>
    <w:p w14:paraId="1CD04754" w14:textId="77777777" w:rsidR="002B7EE8" w:rsidRPr="00634925" w:rsidRDefault="002B7EE8" w:rsidP="002B7EE8">
      <w:pPr>
        <w:pStyle w:val="ATHeading3"/>
      </w:pPr>
      <w:bookmarkStart w:id="5" w:name="Sujet"/>
      <w:r w:rsidRPr="00634925">
        <w:t xml:space="preserve">Rozhodnutí Evropského parlamentu ze dne 19. května 2026 o žádosti, aby byla Angelika </w:t>
      </w:r>
      <w:proofErr w:type="spellStart"/>
      <w:r w:rsidRPr="00634925">
        <w:t>Nieblerová</w:t>
      </w:r>
      <w:proofErr w:type="spellEnd"/>
      <w:r w:rsidRPr="00634925">
        <w:t xml:space="preserve"> zbavena imunity</w:t>
      </w:r>
      <w:bookmarkEnd w:id="5"/>
      <w:r w:rsidRPr="00634925">
        <w:t xml:space="preserve"> </w:t>
      </w:r>
      <w:bookmarkStart w:id="6" w:name="References"/>
      <w:r w:rsidRPr="00634925">
        <w:t>(2025/2175(IMM))</w:t>
      </w:r>
      <w:bookmarkEnd w:id="6"/>
    </w:p>
    <w:p w14:paraId="688E05C9" w14:textId="77777777" w:rsidR="00971761" w:rsidRPr="00E43EC4" w:rsidRDefault="00971761" w:rsidP="00971761">
      <w:pPr>
        <w:pStyle w:val="EPComma"/>
      </w:pPr>
      <w:bookmarkStart w:id="7" w:name="TextBodyBegin"/>
      <w:bookmarkEnd w:id="7"/>
      <w:r w:rsidRPr="00E43EC4">
        <w:rPr>
          <w:i/>
        </w:rPr>
        <w:t>Evropský parlament</w:t>
      </w:r>
      <w:r w:rsidRPr="00E43EC4">
        <w:t>,</w:t>
      </w:r>
    </w:p>
    <w:p w14:paraId="2B80D9D2" w14:textId="1B8A91A3" w:rsidR="00971761" w:rsidRPr="00E43EC4" w:rsidRDefault="00971761" w:rsidP="00E43EC4">
      <w:pPr>
        <w:pStyle w:val="NormalHanging12a"/>
      </w:pPr>
      <w:r w:rsidRPr="00E43EC4">
        <w:t>–</w:t>
      </w:r>
      <w:r w:rsidRPr="00E43EC4">
        <w:tab/>
        <w:t>s ohledem na žádost</w:t>
      </w:r>
      <w:r w:rsidR="00B63341">
        <w:t>, aby byla</w:t>
      </w:r>
      <w:r w:rsidRPr="00E43EC4">
        <w:t xml:space="preserve"> Angelik</w:t>
      </w:r>
      <w:r w:rsidR="00B63341">
        <w:t>a</w:t>
      </w:r>
      <w:r w:rsidRPr="00E43EC4">
        <w:t xml:space="preserve"> </w:t>
      </w:r>
      <w:proofErr w:type="spellStart"/>
      <w:r w:rsidRPr="00E43EC4">
        <w:t>Nieblerov</w:t>
      </w:r>
      <w:r w:rsidR="00B63341">
        <w:t>á</w:t>
      </w:r>
      <w:proofErr w:type="spellEnd"/>
      <w:r w:rsidR="00B63341">
        <w:t xml:space="preserve"> zbavena</w:t>
      </w:r>
      <w:r w:rsidRPr="00E43EC4">
        <w:t xml:space="preserve"> imunity, kterou předložila </w:t>
      </w:r>
      <w:r w:rsidR="00332FB7">
        <w:t>E</w:t>
      </w:r>
      <w:r w:rsidRPr="00E43EC4">
        <w:t>vropská nejvyšší žalobkyně v dopise ze dne 21. července 2025, kterou potvrdila ve svém dopise ze dne 1. září 2025 a </w:t>
      </w:r>
      <w:r w:rsidR="0027334D">
        <w:t>která</w:t>
      </w:r>
      <w:r w:rsidRPr="00E43EC4">
        <w:t xml:space="preserve"> souvisí s předběžným vyšetřováním, </w:t>
      </w:r>
      <w:r w:rsidR="0027334D">
        <w:t>jež</w:t>
      </w:r>
      <w:r w:rsidRPr="00E43EC4">
        <w:t xml:space="preserve"> má být zahájeno proti Angelice </w:t>
      </w:r>
      <w:proofErr w:type="spellStart"/>
      <w:r w:rsidRPr="00E43EC4">
        <w:t>Nieblerové</w:t>
      </w:r>
      <w:proofErr w:type="spellEnd"/>
      <w:r w:rsidR="007339CB">
        <w:t>,</w:t>
      </w:r>
      <w:r w:rsidRPr="00E43EC4">
        <w:t xml:space="preserve"> a </w:t>
      </w:r>
      <w:r w:rsidR="007339CB">
        <w:t>která</w:t>
      </w:r>
      <w:r w:rsidRPr="00E43EC4">
        <w:t xml:space="preserve"> </w:t>
      </w:r>
      <w:r w:rsidR="007339CB">
        <w:t>byla dne 10. září 2025 oznámena</w:t>
      </w:r>
      <w:r w:rsidRPr="00E43EC4">
        <w:t xml:space="preserve"> Parlament</w:t>
      </w:r>
      <w:r w:rsidR="007339CB">
        <w:t>u</w:t>
      </w:r>
      <w:r w:rsidRPr="00E43EC4">
        <w:t>,</w:t>
      </w:r>
    </w:p>
    <w:p w14:paraId="0931130D" w14:textId="77777777" w:rsidR="00971761" w:rsidRPr="00E43EC4" w:rsidRDefault="00971761" w:rsidP="00E43EC4">
      <w:pPr>
        <w:pStyle w:val="NormalHanging12a"/>
      </w:pPr>
      <w:r w:rsidRPr="00E43EC4">
        <w:t>–</w:t>
      </w:r>
      <w:r w:rsidRPr="00E43EC4">
        <w:tab/>
        <w:t xml:space="preserve">poté, co Angelika </w:t>
      </w:r>
      <w:proofErr w:type="spellStart"/>
      <w:r w:rsidRPr="00E43EC4">
        <w:t>Nieblerová</w:t>
      </w:r>
      <w:proofErr w:type="spellEnd"/>
      <w:r w:rsidRPr="00E43EC4">
        <w:t xml:space="preserve"> dostala dne 15. dubna 2026 příležitost vyjádřit se v souladu s čl. 9 odst. 6 jednacího řádu,</w:t>
      </w:r>
    </w:p>
    <w:p w14:paraId="3AB49152" w14:textId="20ECF542" w:rsidR="00971761" w:rsidRPr="00E43EC4" w:rsidRDefault="00971761" w:rsidP="00E43EC4">
      <w:pPr>
        <w:pStyle w:val="NormalHanging12a"/>
      </w:pPr>
      <w:r w:rsidRPr="00E43EC4">
        <w:t>–</w:t>
      </w:r>
      <w:r w:rsidRPr="00E43EC4">
        <w:tab/>
        <w:t xml:space="preserve">s ohledem na články 8 a 9 </w:t>
      </w:r>
      <w:r w:rsidR="007339CB">
        <w:t>P</w:t>
      </w:r>
      <w:r w:rsidRPr="00E43EC4">
        <w:t>rotokolu č. 7 o výsadách a imunitách Evropské unie a na čl. 6 odst. 2 aktu ze dne 20. září 1976 o volbě členů Evropského parlamentu ve všeobecných a přímých volbách,</w:t>
      </w:r>
    </w:p>
    <w:p w14:paraId="3C37C816" w14:textId="77777777" w:rsidR="00971761" w:rsidRPr="00E43EC4" w:rsidRDefault="00971761" w:rsidP="00E43EC4">
      <w:pPr>
        <w:pStyle w:val="NormalHanging12a"/>
        <w:rPr>
          <w:b/>
        </w:rPr>
      </w:pPr>
      <w:r w:rsidRPr="00E43EC4">
        <w:t>–</w:t>
      </w:r>
      <w:r w:rsidRPr="00E43EC4">
        <w:tab/>
        <w:t>s ohledem na nařízení Rady (EU) 2017/1939 ze dne 12. října 2017, kterým se provádí posílená spolupráce za účelem zřízení Úřadu evropského veřejného žalobce</w:t>
      </w:r>
      <w:r w:rsidRPr="00E43EC4">
        <w:rPr>
          <w:vertAlign w:val="superscript"/>
        </w:rPr>
        <w:footnoteReference w:id="1"/>
      </w:r>
      <w:r w:rsidRPr="00E43EC4">
        <w:t>, a zejména čl. 29 odst. 2 tohoto nařízení,</w:t>
      </w:r>
    </w:p>
    <w:p w14:paraId="4303D0E7" w14:textId="77777777" w:rsidR="00971761" w:rsidRPr="00E43EC4" w:rsidRDefault="00971761" w:rsidP="00E43EC4">
      <w:pPr>
        <w:pStyle w:val="NormalHanging12a"/>
      </w:pPr>
      <w:r w:rsidRPr="00E43EC4">
        <w:t>–</w:t>
      </w:r>
      <w:r w:rsidRPr="00E43EC4">
        <w:tab/>
        <w:t>s ohledem na rozsudky Soudního dvora Evropské unie ze dne 21. října 2008, 19. března 2010, 6. září 2011, 17. ledna 2013 a 19. prosince 2019</w:t>
      </w:r>
      <w:r w:rsidRPr="00E43EC4">
        <w:rPr>
          <w:vertAlign w:val="superscript"/>
        </w:rPr>
        <w:footnoteReference w:id="2"/>
      </w:r>
      <w:r w:rsidRPr="00E43EC4">
        <w:t>,</w:t>
      </w:r>
    </w:p>
    <w:p w14:paraId="047210C1" w14:textId="77777777" w:rsidR="00971761" w:rsidRPr="00E43EC4" w:rsidRDefault="00971761" w:rsidP="00E43EC4">
      <w:pPr>
        <w:pStyle w:val="NormalHanging12a"/>
      </w:pPr>
      <w:r w:rsidRPr="00E43EC4">
        <w:lastRenderedPageBreak/>
        <w:t>–</w:t>
      </w:r>
      <w:r w:rsidRPr="00E43EC4">
        <w:tab/>
        <w:t>s ohledem na článek 46 Základního zákona Spolkové republiky Německo,</w:t>
      </w:r>
    </w:p>
    <w:p w14:paraId="26F95FA2" w14:textId="77777777" w:rsidR="00971761" w:rsidRPr="00E43EC4" w:rsidRDefault="00971761" w:rsidP="00E43EC4">
      <w:pPr>
        <w:pStyle w:val="NormalHanging12a"/>
      </w:pPr>
      <w:r w:rsidRPr="00E43EC4">
        <w:t>–</w:t>
      </w:r>
      <w:r w:rsidRPr="00E43EC4">
        <w:tab/>
        <w:t>s ohledem na čl. 5 odst. 2, čl. 6 odst. 1 a článek 9 jednacího řádu,</w:t>
      </w:r>
    </w:p>
    <w:p w14:paraId="47D68113" w14:textId="77777777" w:rsidR="00971761" w:rsidRPr="00E43EC4" w:rsidRDefault="00971761" w:rsidP="00E43EC4">
      <w:pPr>
        <w:pStyle w:val="NormalHanging12a"/>
      </w:pPr>
      <w:r w:rsidRPr="00E43EC4">
        <w:t>–</w:t>
      </w:r>
      <w:r w:rsidRPr="00E43EC4">
        <w:tab/>
        <w:t>s ohledem na zprávu Výboru pro právní záležitosti (A10</w:t>
      </w:r>
      <w:r w:rsidRPr="00E43EC4">
        <w:noBreakHyphen/>
        <w:t>0127/2026),</w:t>
      </w:r>
    </w:p>
    <w:p w14:paraId="0B228ABA" w14:textId="4968F533" w:rsidR="00971761" w:rsidRPr="00E43EC4" w:rsidRDefault="00971761" w:rsidP="00E43EC4">
      <w:pPr>
        <w:pStyle w:val="NormalHanging12a"/>
      </w:pPr>
      <w:r w:rsidRPr="00E43EC4">
        <w:t>A.</w:t>
      </w:r>
      <w:r w:rsidRPr="00E43EC4">
        <w:tab/>
        <w:t xml:space="preserve">vzhledem k tomu, že evropská nejvyšší žalobkyně předložila dne 21. července 2025 prostřednictvím dopisu žádost o to, aby byla poslankyně Evropského </w:t>
      </w:r>
      <w:r w:rsidR="00D16B03">
        <w:t>p</w:t>
      </w:r>
      <w:r w:rsidRPr="00E43EC4">
        <w:t xml:space="preserve">arlamentu zvolená v Německu Angelika </w:t>
      </w:r>
      <w:proofErr w:type="spellStart"/>
      <w:r w:rsidRPr="00E43EC4">
        <w:t>Nieblerová</w:t>
      </w:r>
      <w:proofErr w:type="spellEnd"/>
      <w:r w:rsidRPr="00E43EC4">
        <w:t xml:space="preserve"> zbavena imunity v souvislosti s údajnými trestnými činy, k nimž došlo v letech 2017 až 2025, a tuto žádost potvrdila v dopise ze dne 1. září 2025;</w:t>
      </w:r>
    </w:p>
    <w:p w14:paraId="4730A65C" w14:textId="6DC0AA86" w:rsidR="00971761" w:rsidRPr="00E43EC4" w:rsidRDefault="00971761" w:rsidP="00E43EC4">
      <w:pPr>
        <w:pStyle w:val="NormalHanging12a"/>
      </w:pPr>
      <w:r w:rsidRPr="00E43EC4">
        <w:t>B.</w:t>
      </w:r>
      <w:r w:rsidRPr="00E43EC4">
        <w:tab/>
        <w:t xml:space="preserve">vzhledem k tomu, že podle této žádosti založené na informacích </w:t>
      </w:r>
      <w:r w:rsidR="00D16B03">
        <w:t xml:space="preserve">od </w:t>
      </w:r>
      <w:r w:rsidRPr="00E43EC4">
        <w:t xml:space="preserve">soukromé osoby, která pro </w:t>
      </w:r>
      <w:r w:rsidR="0097469E" w:rsidRPr="00E43EC4">
        <w:t>Angelik</w:t>
      </w:r>
      <w:r w:rsidR="0097469E">
        <w:t>u</w:t>
      </w:r>
      <w:r w:rsidR="0097469E" w:rsidRPr="00E43EC4">
        <w:t xml:space="preserve"> </w:t>
      </w:r>
      <w:proofErr w:type="spellStart"/>
      <w:r w:rsidR="0097469E" w:rsidRPr="00E43EC4">
        <w:t>Nieblerov</w:t>
      </w:r>
      <w:r w:rsidR="0097469E">
        <w:t>ou</w:t>
      </w:r>
      <w:proofErr w:type="spellEnd"/>
      <w:r w:rsidR="0097469E" w:rsidRPr="00E43EC4">
        <w:t xml:space="preserve"> </w:t>
      </w:r>
      <w:r w:rsidRPr="00E43EC4">
        <w:t xml:space="preserve">pracovala od srpna 2021 do září 2023, Angelika </w:t>
      </w:r>
      <w:proofErr w:type="spellStart"/>
      <w:r w:rsidRPr="00E43EC4">
        <w:t>Nieblerová</w:t>
      </w:r>
      <w:proofErr w:type="spellEnd"/>
      <w:r w:rsidRPr="00E43EC4">
        <w:t xml:space="preserve"> údajně od roku 2017, tj. od 8. do 10. volebního období neoprávněně žádala o úhrady výdajů za cesty do Štrasburku a Bruselu, údajně </w:t>
      </w:r>
      <w:r w:rsidR="00D16B03">
        <w:t>dočasně</w:t>
      </w:r>
      <w:r w:rsidRPr="00E43EC4">
        <w:t xml:space="preserve"> využívala akreditované asistenty a místní asistenty k soukromým účelům nebo k účelům nesouvisejícím s její funkcí poslankyně Evropského parlamentu </w:t>
      </w:r>
      <w:r w:rsidR="0097469E">
        <w:t>nebo</w:t>
      </w:r>
      <w:r w:rsidRPr="00E43EC4">
        <w:t xml:space="preserve"> s plněním parlamentních povinností, dále údajně zaměstnávala místního asistenta, </w:t>
      </w:r>
      <w:r w:rsidR="0097469E" w:rsidRPr="00E43EC4">
        <w:t xml:space="preserve">jehož plat vyplácel Evropský parlament za práci pro Angeliku </w:t>
      </w:r>
      <w:proofErr w:type="spellStart"/>
      <w:r w:rsidR="0097469E" w:rsidRPr="00E43EC4">
        <w:t>Nieblerovou</w:t>
      </w:r>
      <w:proofErr w:type="spellEnd"/>
      <w:r w:rsidR="0097469E">
        <w:t xml:space="preserve"> a </w:t>
      </w:r>
      <w:r w:rsidRPr="00E43EC4">
        <w:t xml:space="preserve">který údajně pracoval výhradně pro bývalého poslance Evropského parlamentu téže strany; vzhledem k tomu, že podle uvedené žádosti a na základě poskytnutých informací existuje podezření, že </w:t>
      </w:r>
      <w:r w:rsidR="008350DC" w:rsidRPr="00E43EC4">
        <w:t xml:space="preserve">Angelika </w:t>
      </w:r>
      <w:proofErr w:type="spellStart"/>
      <w:r w:rsidR="008350DC" w:rsidRPr="00E43EC4">
        <w:t>Nieblerová</w:t>
      </w:r>
      <w:proofErr w:type="spellEnd"/>
      <w:r w:rsidR="008350DC" w:rsidRPr="00E43EC4">
        <w:t xml:space="preserve"> </w:t>
      </w:r>
      <w:r w:rsidRPr="00E43EC4">
        <w:t>využívala výdaje na parlamentní asistenci v rozporu s čl. 29 odst. 2 rozhodnutí předsednictva ze dne 11. září 2023 o prováděcích opatřeních ke statutu poslanců Evropského parlamentu</w:t>
      </w:r>
      <w:r w:rsidRPr="00E43EC4">
        <w:rPr>
          <w:rStyle w:val="FootnoteReference"/>
        </w:rPr>
        <w:footnoteReference w:id="3"/>
      </w:r>
      <w:r w:rsidRPr="00E43EC4">
        <w:t xml:space="preserve">; vzhledem k tomu, že </w:t>
      </w:r>
      <w:r w:rsidR="00CB1050">
        <w:t>toto údajné</w:t>
      </w:r>
      <w:r w:rsidRPr="00E43EC4">
        <w:t xml:space="preserve"> jednání by proto mohlo představovat trestný čin podvodu podle čl. 263 odst. 1 a 3 německého trestního zákoníku;</w:t>
      </w:r>
    </w:p>
    <w:p w14:paraId="306AF861" w14:textId="135AC14E" w:rsidR="00971761" w:rsidRPr="00E43EC4" w:rsidRDefault="00971761" w:rsidP="00E43EC4">
      <w:pPr>
        <w:pStyle w:val="NormalHanging12a"/>
      </w:pPr>
      <w:r w:rsidRPr="00E43EC4">
        <w:t>C.</w:t>
      </w:r>
      <w:r w:rsidRPr="00E43EC4">
        <w:tab/>
        <w:t xml:space="preserve">vzhledem k tomu, že Angelika </w:t>
      </w:r>
      <w:proofErr w:type="spellStart"/>
      <w:r w:rsidRPr="00E43EC4">
        <w:t>Nieblerová</w:t>
      </w:r>
      <w:proofErr w:type="spellEnd"/>
      <w:r w:rsidRPr="00E43EC4">
        <w:t xml:space="preserve"> byla zvolena do Evropského parlamentu v evropských volbách v květnu 2014 a </w:t>
      </w:r>
      <w:r w:rsidR="000808A8">
        <w:t>znovu zvolena</w:t>
      </w:r>
      <w:r w:rsidRPr="00E43EC4">
        <w:t xml:space="preserve"> v květnu 2019 a v červnu 2024 a v době údajného spáchání trestných činů byla tedy poslankyní Evropského parlamentu; </w:t>
      </w:r>
    </w:p>
    <w:p w14:paraId="12C77CBB" w14:textId="77777777" w:rsidR="00971761" w:rsidRPr="00E43EC4" w:rsidRDefault="00971761" w:rsidP="00E43EC4">
      <w:pPr>
        <w:pStyle w:val="NormalHanging12a"/>
      </w:pPr>
      <w:r w:rsidRPr="00E43EC4">
        <w:t>D.</w:t>
      </w:r>
      <w:r w:rsidRPr="00E43EC4">
        <w:tab/>
        <w:t xml:space="preserve">vzhledem k tomu, že údajné trestné činy a následná žádost o zbavení Angeliky </w:t>
      </w:r>
      <w:proofErr w:type="spellStart"/>
      <w:r w:rsidRPr="00E43EC4">
        <w:t>Nieblerové</w:t>
      </w:r>
      <w:proofErr w:type="spellEnd"/>
      <w:r w:rsidRPr="00E43EC4">
        <w:t xml:space="preserve"> imunity nejsou tedy spojeny s jejími názory nebo hlasováním při výkonu její funkce ve smyslu článku 8 Protokolu č. 7 o výsadách a imunitách Evropské unie;</w:t>
      </w:r>
    </w:p>
    <w:p w14:paraId="0A08BD19" w14:textId="1B862D83" w:rsidR="00971761" w:rsidRPr="00E43EC4" w:rsidRDefault="00971761" w:rsidP="00E43EC4">
      <w:pPr>
        <w:pStyle w:val="NormalHanging12a"/>
      </w:pPr>
      <w:r w:rsidRPr="00E43EC4">
        <w:t>E.</w:t>
      </w:r>
      <w:r w:rsidRPr="00E43EC4">
        <w:tab/>
        <w:t xml:space="preserve">vzhledem k tomu, že čl. 9 </w:t>
      </w:r>
      <w:r w:rsidR="00CB1050">
        <w:t xml:space="preserve">první pododstavec </w:t>
      </w:r>
      <w:r w:rsidRPr="00E43EC4">
        <w:t xml:space="preserve">písm. a) Protokolu č. 7 o výsadách a imunitách Evropské unie stanoví, že v průběhu zasedání Evropského parlamentu jeho poslanci požívají na území vlastního státu imunit přiznávaných </w:t>
      </w:r>
      <w:r w:rsidR="00CB1050">
        <w:t>členům</w:t>
      </w:r>
      <w:r w:rsidRPr="00E43EC4">
        <w:t xml:space="preserve"> parlamentu vlastního státu;</w:t>
      </w:r>
    </w:p>
    <w:p w14:paraId="0C4B0D2D" w14:textId="77777777" w:rsidR="00971761" w:rsidRPr="00E43EC4" w:rsidRDefault="00971761" w:rsidP="00E43EC4">
      <w:pPr>
        <w:pStyle w:val="NormalHanging12a"/>
      </w:pPr>
      <w:r w:rsidRPr="00E43EC4">
        <w:t>F.</w:t>
      </w:r>
      <w:r w:rsidRPr="00E43EC4">
        <w:tab/>
        <w:t>vzhledem k tomu, že čl. 46 odst. 2, 3 a 4 Základního zákona Spolkové republiky Německo stanoví, že:</w:t>
      </w:r>
    </w:p>
    <w:p w14:paraId="36452774" w14:textId="77777777" w:rsidR="00971761" w:rsidRPr="00E43EC4" w:rsidRDefault="00971761" w:rsidP="00E43EC4">
      <w:pPr>
        <w:pStyle w:val="NormalHanging12a"/>
        <w:ind w:left="1134"/>
      </w:pPr>
      <w:r w:rsidRPr="00E43EC4">
        <w:t>„2)</w:t>
      </w:r>
      <w:r w:rsidRPr="00E43EC4">
        <w:tab/>
        <w:t xml:space="preserve">V případě spáchání trestného činu smí být poslanec stíhán nebo zadržen pouze se souhlasem Spolkového sněmu, pokud nebyl přistižen při činu nebo v průběhu </w:t>
      </w:r>
      <w:r w:rsidRPr="00E43EC4">
        <w:lastRenderedPageBreak/>
        <w:t>následujícího dne.</w:t>
      </w:r>
    </w:p>
    <w:p w14:paraId="16075826" w14:textId="77777777" w:rsidR="00971761" w:rsidRPr="00E43EC4" w:rsidRDefault="00971761" w:rsidP="00E43EC4">
      <w:pPr>
        <w:pStyle w:val="NormalHanging12a"/>
        <w:ind w:left="1134"/>
      </w:pPr>
      <w:r w:rsidRPr="00E43EC4">
        <w:t>3)</w:t>
      </w:r>
      <w:r w:rsidRPr="00E43EC4">
        <w:tab/>
        <w:t>Souhlas Spolkového sněmu je rovněž nutný k jakémukoli omezení osobní svobody poslance nebo k tomu, aby bylo proti poslanci zahájeno řízení podle článku 18.</w:t>
      </w:r>
    </w:p>
    <w:p w14:paraId="32CD5677" w14:textId="48C96C6B" w:rsidR="00971761" w:rsidRPr="00E43EC4" w:rsidRDefault="00971761" w:rsidP="00E43EC4">
      <w:pPr>
        <w:pStyle w:val="NormalHanging12a"/>
        <w:ind w:left="1134"/>
      </w:pPr>
      <w:r w:rsidRPr="00E43EC4">
        <w:t>4)</w:t>
      </w:r>
      <w:r w:rsidRPr="00E43EC4">
        <w:tab/>
        <w:t xml:space="preserve">Jakékoli trestní řízení nebo </w:t>
      </w:r>
      <w:r w:rsidR="00A36F20">
        <w:t xml:space="preserve">jakékoli </w:t>
      </w:r>
      <w:r w:rsidRPr="00E43EC4">
        <w:t>řízení podle článku 18, které je vedeno proti poslanci, jeho zadržování nebo jiné omezení jeho osobní svobody musí být na žádost Spolkového sněmu zastaveno.“;</w:t>
      </w:r>
    </w:p>
    <w:p w14:paraId="0A7AD09A" w14:textId="77777777" w:rsidR="00971761" w:rsidRPr="00E43EC4" w:rsidRDefault="00971761" w:rsidP="00E43EC4">
      <w:pPr>
        <w:pStyle w:val="NormalHanging12a"/>
      </w:pPr>
      <w:r w:rsidRPr="00E43EC4">
        <w:t>G.</w:t>
      </w:r>
      <w:r w:rsidRPr="00E43EC4">
        <w:tab/>
        <w:t>vzhledem k tomu, že účelem imunity stanovené v Protokolu č. 7 o výsadách a imunitách Evropské unie je chránit Parlament a jeho poslance před soudními řízeními v souvislosti s činností, kterou vykonávají v rámci plnění svých parlamentních povinností a která nemůže být od těchto povinností oddělena;</w:t>
      </w:r>
    </w:p>
    <w:p w14:paraId="24A14E5B" w14:textId="058CB124" w:rsidR="00971761" w:rsidRPr="00E43EC4" w:rsidRDefault="00971761" w:rsidP="00E43EC4">
      <w:pPr>
        <w:pStyle w:val="NormalHanging12a"/>
      </w:pPr>
      <w:r w:rsidRPr="00E43EC4">
        <w:t>H.</w:t>
      </w:r>
      <w:r w:rsidRPr="00E43EC4">
        <w:tab/>
        <w:t>vzhledem k tomu, že podle čl. 5 odst. 2 jednacího řádu není poslanecká imunita osobní výsadou poslanců, nýbrž zárukou nezávislosti Evropského parlamentu jako celku a jeho poslanců;</w:t>
      </w:r>
    </w:p>
    <w:p w14:paraId="5B47CB8E" w14:textId="6AC1BABD" w:rsidR="00971761" w:rsidRPr="00E43EC4" w:rsidRDefault="00971761" w:rsidP="00E43EC4">
      <w:pPr>
        <w:pStyle w:val="NormalHanging12a"/>
      </w:pPr>
      <w:bookmarkStart w:id="8" w:name="_Hlk227752086"/>
      <w:r w:rsidRPr="00E43EC4">
        <w:t>I.</w:t>
      </w:r>
      <w:bookmarkStart w:id="9" w:name="_Hlk227752575"/>
      <w:r w:rsidRPr="00E43EC4">
        <w:tab/>
      </w:r>
      <w:bookmarkEnd w:id="8"/>
      <w:bookmarkEnd w:id="9"/>
      <w:r w:rsidRPr="00E43EC4">
        <w:t xml:space="preserve">vzhledem k tomu, že z informací a vysvětlení poskytnutých v souvislosti s tímto případem je nutné vyvodit nějaký závěr; vzhledem k tomu, že některé prvky a důvody, na nichž je založena stížnost, která vedla k této žádosti o zbavení imunity, jsou značně nejisté, a to včetně anonymní povahy stížnosti, v důsledku čehož není možné stížnost smysluplně posoudit a vyloučit, že ji mohla podat soukromá osoba, která jedná z čistě politických důvodů a jejímž záměrem je zdiskreditovat </w:t>
      </w:r>
      <w:r w:rsidR="000808A8" w:rsidRPr="00E43EC4">
        <w:t>Angelik</w:t>
      </w:r>
      <w:r w:rsidR="000808A8">
        <w:t>u</w:t>
      </w:r>
      <w:r w:rsidR="000808A8" w:rsidRPr="00E43EC4">
        <w:t xml:space="preserve"> </w:t>
      </w:r>
      <w:proofErr w:type="spellStart"/>
      <w:r w:rsidR="000808A8" w:rsidRPr="00E43EC4">
        <w:t>Nieblerov</w:t>
      </w:r>
      <w:r w:rsidR="000808A8">
        <w:t>ou</w:t>
      </w:r>
      <w:proofErr w:type="spellEnd"/>
      <w:r w:rsidRPr="00E43EC4">
        <w:t xml:space="preserve">; vzhledem k tomu, že načasování a selektivní charakter stížnosti tyto obavy ještě zesilují, zejména s ohledem na důležitou politickou roli </w:t>
      </w:r>
      <w:r w:rsidR="000808A8" w:rsidRPr="00E43EC4">
        <w:t>Angelik</w:t>
      </w:r>
      <w:r w:rsidR="000808A8">
        <w:t>y</w:t>
      </w:r>
      <w:r w:rsidR="000808A8" w:rsidRPr="00E43EC4">
        <w:t xml:space="preserve"> </w:t>
      </w:r>
      <w:proofErr w:type="spellStart"/>
      <w:r w:rsidR="000808A8" w:rsidRPr="00E43EC4">
        <w:t>Nieblerov</w:t>
      </w:r>
      <w:r w:rsidR="000808A8">
        <w:t>é</w:t>
      </w:r>
      <w:proofErr w:type="spellEnd"/>
      <w:r w:rsidR="000808A8" w:rsidRPr="00E43EC4">
        <w:t xml:space="preserve"> </w:t>
      </w:r>
      <w:r w:rsidRPr="00E43EC4">
        <w:t xml:space="preserve">; vzhledem k tomu, že nesrovnalosti vyskytující se v žádosti, včetně zjevné nepřesnosti, pokud jde o výši uvedených finančních částek a o konkrétní okolnosti údajného pochybení, vyvolávají podezření, že záměrem řízení může být poškození pověsti Angeliky </w:t>
      </w:r>
      <w:proofErr w:type="spellStart"/>
      <w:r w:rsidRPr="00E43EC4">
        <w:t>Nieblerové</w:t>
      </w:r>
      <w:proofErr w:type="spellEnd"/>
      <w:r w:rsidRPr="00E43EC4">
        <w:t>;</w:t>
      </w:r>
    </w:p>
    <w:p w14:paraId="6C58DFE6" w14:textId="1D3AE783" w:rsidR="00971761" w:rsidRPr="00E43EC4" w:rsidRDefault="00971761" w:rsidP="00E43EC4">
      <w:pPr>
        <w:pStyle w:val="NormalHanging12a"/>
      </w:pPr>
      <w:r w:rsidRPr="00E43EC4">
        <w:t>J.</w:t>
      </w:r>
      <w:r w:rsidRPr="00E43EC4">
        <w:tab/>
        <w:t xml:space="preserve">vzhledem k tomu, že se </w:t>
      </w:r>
      <w:r w:rsidR="00A36F20">
        <w:t>proto</w:t>
      </w:r>
      <w:r w:rsidRPr="00E43EC4">
        <w:t xml:space="preserve"> jedná o případ, kdy lze předpokládat existenci </w:t>
      </w:r>
      <w:proofErr w:type="spellStart"/>
      <w:r w:rsidRPr="00634925">
        <w:rPr>
          <w:i/>
          <w:iCs/>
        </w:rPr>
        <w:t>fumus</w:t>
      </w:r>
      <w:proofErr w:type="spellEnd"/>
      <w:r w:rsidRPr="00634925">
        <w:rPr>
          <w:i/>
          <w:iCs/>
        </w:rPr>
        <w:t xml:space="preserve"> </w:t>
      </w:r>
      <w:proofErr w:type="spellStart"/>
      <w:r w:rsidRPr="00634925">
        <w:rPr>
          <w:i/>
          <w:iCs/>
        </w:rPr>
        <w:t>persecutionis</w:t>
      </w:r>
      <w:proofErr w:type="spellEnd"/>
      <w:r w:rsidRPr="00E43EC4">
        <w:t xml:space="preserve">, </w:t>
      </w:r>
      <w:r w:rsidR="00AE5E6D">
        <w:t>tedy</w:t>
      </w:r>
      <w:r w:rsidRPr="00E43EC4">
        <w:t> „konkrétních skutečností“</w:t>
      </w:r>
      <w:r w:rsidRPr="00E43EC4">
        <w:rPr>
          <w:vertAlign w:val="superscript"/>
        </w:rPr>
        <w:footnoteReference w:id="4"/>
      </w:r>
      <w:r w:rsidRPr="00E43EC4">
        <w:t xml:space="preserve"> dokazujících, že </w:t>
      </w:r>
      <w:r w:rsidR="00A36F20">
        <w:t>úmyslem</w:t>
      </w:r>
      <w:r w:rsidRPr="00E43EC4">
        <w:t xml:space="preserve"> daného soudního řízení je </w:t>
      </w:r>
      <w:r w:rsidR="00A36F20">
        <w:t>poškodit</w:t>
      </w:r>
      <w:r w:rsidRPr="00E43EC4">
        <w:t xml:space="preserve"> politickou činnost </w:t>
      </w:r>
      <w:bookmarkStart w:id="10" w:name="_Hlk223449412"/>
      <w:r w:rsidRPr="00E43EC4">
        <w:t xml:space="preserve">Angeliky </w:t>
      </w:r>
      <w:proofErr w:type="spellStart"/>
      <w:r w:rsidRPr="00E43EC4">
        <w:t>Nieblerové</w:t>
      </w:r>
      <w:bookmarkEnd w:id="10"/>
      <w:proofErr w:type="spellEnd"/>
      <w:r w:rsidRPr="00E43EC4">
        <w:t>, zejména její činnost poslankyně Evropského parlamentu;</w:t>
      </w:r>
    </w:p>
    <w:p w14:paraId="2892682D" w14:textId="5DE7F037" w:rsidR="00971761" w:rsidRPr="00E43EC4" w:rsidRDefault="00971761" w:rsidP="00E43EC4">
      <w:pPr>
        <w:pStyle w:val="NormalHanging12a"/>
      </w:pPr>
      <w:r w:rsidRPr="00E43EC4">
        <w:t>K.</w:t>
      </w:r>
      <w:r w:rsidRPr="00E43EC4">
        <w:tab/>
        <w:t xml:space="preserve">vzhledem k tomu, že </w:t>
      </w:r>
      <w:r w:rsidR="00AE5E6D" w:rsidRPr="00821A16">
        <w:t xml:space="preserve">na jedné straně </w:t>
      </w:r>
      <w:r w:rsidRPr="00E43EC4">
        <w:t xml:space="preserve">Parlament nelze považovat za soud a že </w:t>
      </w:r>
      <w:r w:rsidR="00AE5E6D" w:rsidRPr="00821A16">
        <w:t xml:space="preserve">na straně druhé </w:t>
      </w:r>
      <w:r w:rsidRPr="00E43EC4">
        <w:t>poslan</w:t>
      </w:r>
      <w:r w:rsidR="00AE5E6D">
        <w:t>ec</w:t>
      </w:r>
      <w:r w:rsidRPr="00E43EC4">
        <w:t xml:space="preserve"> ne</w:t>
      </w:r>
      <w:r w:rsidR="00AE5E6D">
        <w:t>může být</w:t>
      </w:r>
      <w:r w:rsidRPr="00E43EC4">
        <w:t xml:space="preserve"> v rámci řízení o zbavení imunity považov</w:t>
      </w:r>
      <w:r w:rsidR="00AE5E6D">
        <w:t>án</w:t>
      </w:r>
      <w:r w:rsidRPr="00E43EC4">
        <w:t xml:space="preserve"> za obžalované</w:t>
      </w:r>
      <w:r w:rsidR="00AE5E6D">
        <w:t>ho</w:t>
      </w:r>
      <w:r w:rsidRPr="00E43EC4">
        <w:rPr>
          <w:vertAlign w:val="superscript"/>
        </w:rPr>
        <w:footnoteReference w:id="5"/>
      </w:r>
      <w:r w:rsidRPr="00E43EC4">
        <w:t>;</w:t>
      </w:r>
    </w:p>
    <w:p w14:paraId="13B3564D" w14:textId="77777777" w:rsidR="00971761" w:rsidRPr="00E43EC4" w:rsidRDefault="00971761" w:rsidP="00E43EC4">
      <w:pPr>
        <w:pStyle w:val="NormalHanging12a"/>
      </w:pPr>
      <w:r w:rsidRPr="00E43EC4">
        <w:t>1.</w:t>
      </w:r>
      <w:r w:rsidRPr="00E43EC4">
        <w:tab/>
        <w:t xml:space="preserve">rozhodl, že se Angelika </w:t>
      </w:r>
      <w:proofErr w:type="spellStart"/>
      <w:r w:rsidRPr="00E43EC4">
        <w:t>Nieblerová</w:t>
      </w:r>
      <w:proofErr w:type="spellEnd"/>
      <w:r w:rsidRPr="00E43EC4">
        <w:t xml:space="preserve"> nezbavuje imunity;</w:t>
      </w:r>
    </w:p>
    <w:p w14:paraId="590E0C23" w14:textId="25F75BE7" w:rsidR="00E365E1" w:rsidRPr="00E43EC4" w:rsidRDefault="00971761" w:rsidP="00634925">
      <w:pPr>
        <w:spacing w:after="240"/>
        <w:ind w:left="567" w:hanging="567"/>
      </w:pPr>
      <w:r w:rsidRPr="00E43EC4">
        <w:t>2.</w:t>
      </w:r>
      <w:r w:rsidRPr="00E43EC4">
        <w:tab/>
        <w:t xml:space="preserve">pověřuje svou předsedkyni, aby toto rozhodnutí a zprávu příslušného výboru </w:t>
      </w:r>
      <w:r w:rsidR="000808A8" w:rsidRPr="00E43EC4">
        <w:t xml:space="preserve">ihned předala </w:t>
      </w:r>
      <w:r w:rsidRPr="00E43EC4">
        <w:t xml:space="preserve">Úřadu evropského veřejného žalobce a Angelice </w:t>
      </w:r>
      <w:proofErr w:type="spellStart"/>
      <w:r w:rsidRPr="00E43EC4">
        <w:t>Nieblerové</w:t>
      </w:r>
      <w:proofErr w:type="spellEnd"/>
      <w:r w:rsidRPr="00E43EC4">
        <w:t>.</w:t>
      </w:r>
    </w:p>
    <w:sectPr w:rsidR="00E365E1" w:rsidRPr="00E43EC4" w:rsidSect="001D71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17966" w14:textId="77777777" w:rsidR="002B7EE8" w:rsidRPr="001D71C1" w:rsidRDefault="002B7EE8">
      <w:r w:rsidRPr="001D71C1">
        <w:separator/>
      </w:r>
    </w:p>
  </w:endnote>
  <w:endnote w:type="continuationSeparator" w:id="0">
    <w:p w14:paraId="62831D6B" w14:textId="77777777" w:rsidR="002B7EE8" w:rsidRPr="001D71C1" w:rsidRDefault="002B7EE8">
      <w:r w:rsidRPr="001D71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FD08" w14:textId="77777777" w:rsidR="00064002" w:rsidRPr="001D71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5D40" w14:textId="77777777" w:rsidR="00064002" w:rsidRPr="001D71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D9F7" w14:textId="77777777" w:rsidR="00064002" w:rsidRPr="001D71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F5FF2" w14:textId="77777777" w:rsidR="002B7EE8" w:rsidRPr="001D71C1" w:rsidRDefault="002B7EE8">
      <w:r w:rsidRPr="001D71C1">
        <w:separator/>
      </w:r>
    </w:p>
  </w:footnote>
  <w:footnote w:type="continuationSeparator" w:id="0">
    <w:p w14:paraId="4297253B" w14:textId="77777777" w:rsidR="002B7EE8" w:rsidRPr="001D71C1" w:rsidRDefault="002B7EE8">
      <w:r w:rsidRPr="001D71C1">
        <w:continuationSeparator/>
      </w:r>
    </w:p>
  </w:footnote>
  <w:footnote w:id="1">
    <w:p w14:paraId="132FE8FF" w14:textId="5F78BD85" w:rsidR="00971761" w:rsidRPr="001D71C1" w:rsidRDefault="00971761" w:rsidP="001D71C1">
      <w:pPr>
        <w:pStyle w:val="FootnoteText"/>
        <w:ind w:left="567" w:hanging="567"/>
        <w:rPr>
          <w:sz w:val="24"/>
          <w:lang w:val="cs-CZ"/>
        </w:rPr>
      </w:pPr>
      <w:r w:rsidRPr="001D71C1">
        <w:rPr>
          <w:rStyle w:val="FootnoteReference"/>
          <w:sz w:val="24"/>
          <w:lang w:val="cs-CZ"/>
        </w:rPr>
        <w:footnoteRef/>
      </w:r>
      <w:r w:rsidR="001D71C1" w:rsidRPr="001D71C1">
        <w:rPr>
          <w:sz w:val="24"/>
          <w:lang w:val="cs-CZ"/>
        </w:rPr>
        <w:t xml:space="preserve"> </w:t>
      </w:r>
      <w:r w:rsidR="001D71C1" w:rsidRPr="001D71C1">
        <w:rPr>
          <w:sz w:val="24"/>
          <w:lang w:val="cs-CZ"/>
        </w:rPr>
        <w:tab/>
      </w:r>
      <w:proofErr w:type="spellStart"/>
      <w:r w:rsidRPr="001D71C1">
        <w:rPr>
          <w:sz w:val="24"/>
          <w:lang w:val="cs-CZ"/>
        </w:rPr>
        <w:t>Úř</w:t>
      </w:r>
      <w:proofErr w:type="spellEnd"/>
      <w:r w:rsidRPr="001D71C1">
        <w:rPr>
          <w:sz w:val="24"/>
          <w:lang w:val="cs-CZ"/>
        </w:rPr>
        <w:t xml:space="preserve">. </w:t>
      </w:r>
      <w:proofErr w:type="spellStart"/>
      <w:r w:rsidRPr="001D71C1">
        <w:rPr>
          <w:sz w:val="24"/>
          <w:lang w:val="cs-CZ"/>
        </w:rPr>
        <w:t>věst</w:t>
      </w:r>
      <w:proofErr w:type="spellEnd"/>
      <w:r w:rsidRPr="001D71C1">
        <w:rPr>
          <w:sz w:val="24"/>
          <w:lang w:val="cs-CZ"/>
        </w:rPr>
        <w:t>. L 283, 31.10.2017, s. 1.</w:t>
      </w:r>
    </w:p>
  </w:footnote>
  <w:footnote w:id="2">
    <w:p w14:paraId="300A41C6" w14:textId="72F4DB30" w:rsidR="00971761" w:rsidRPr="001D71C1" w:rsidRDefault="00971761" w:rsidP="001D71C1">
      <w:pPr>
        <w:pStyle w:val="FootnoteText"/>
        <w:ind w:left="567" w:hanging="567"/>
        <w:rPr>
          <w:sz w:val="24"/>
          <w:lang w:val="cs-CZ"/>
        </w:rPr>
      </w:pPr>
      <w:r w:rsidRPr="001D71C1">
        <w:rPr>
          <w:rStyle w:val="FootnoteReference"/>
          <w:sz w:val="24"/>
          <w:lang w:val="cs-CZ"/>
        </w:rPr>
        <w:footnoteRef/>
      </w:r>
      <w:r w:rsidR="001D71C1" w:rsidRPr="001D71C1">
        <w:rPr>
          <w:sz w:val="24"/>
          <w:lang w:val="cs-CZ"/>
        </w:rPr>
        <w:t xml:space="preserve"> </w:t>
      </w:r>
      <w:r w:rsidR="001D71C1" w:rsidRPr="001D71C1">
        <w:rPr>
          <w:sz w:val="24"/>
          <w:lang w:val="cs-CZ"/>
        </w:rPr>
        <w:tab/>
      </w:r>
      <w:r w:rsidRPr="001D71C1">
        <w:rPr>
          <w:sz w:val="24"/>
          <w:lang w:val="cs-CZ"/>
        </w:rPr>
        <w:t xml:space="preserve">Rozsudek Soudního dvora ze dne 21. října 2008, </w:t>
      </w:r>
      <w:proofErr w:type="spellStart"/>
      <w:r w:rsidRPr="001D71C1">
        <w:rPr>
          <w:iCs/>
          <w:sz w:val="24"/>
          <w:lang w:val="cs-CZ"/>
        </w:rPr>
        <w:t>Marra</w:t>
      </w:r>
      <w:proofErr w:type="spellEnd"/>
      <w:r w:rsidRPr="001D71C1">
        <w:rPr>
          <w:iCs/>
          <w:sz w:val="24"/>
          <w:lang w:val="cs-CZ"/>
        </w:rPr>
        <w:t xml:space="preserve"> v. De </w:t>
      </w:r>
      <w:proofErr w:type="spellStart"/>
      <w:r w:rsidRPr="001D71C1">
        <w:rPr>
          <w:iCs/>
          <w:sz w:val="24"/>
          <w:lang w:val="cs-CZ"/>
        </w:rPr>
        <w:t>Gregorio</w:t>
      </w:r>
      <w:proofErr w:type="spellEnd"/>
      <w:r w:rsidRPr="001D71C1">
        <w:rPr>
          <w:iCs/>
          <w:sz w:val="24"/>
          <w:lang w:val="cs-CZ"/>
        </w:rPr>
        <w:t xml:space="preserve"> a Clemente, C-200/07 a C-201/07, ECLI:EU:C:2008:579; rozsudek Tribunálu ze dne 19. března 2010, </w:t>
      </w:r>
      <w:proofErr w:type="spellStart"/>
      <w:r w:rsidRPr="001D71C1">
        <w:rPr>
          <w:iCs/>
          <w:sz w:val="24"/>
          <w:lang w:val="cs-CZ"/>
        </w:rPr>
        <w:t>Gollnisch</w:t>
      </w:r>
      <w:proofErr w:type="spellEnd"/>
      <w:r w:rsidRPr="001D71C1">
        <w:rPr>
          <w:iCs/>
          <w:sz w:val="24"/>
          <w:lang w:val="cs-CZ"/>
        </w:rPr>
        <w:t xml:space="preserve"> v. Parlament, T-42/06, ECLI:EU:T:2010:102; rozsudek Soudního dvora ze dne 6. září 2011, </w:t>
      </w:r>
      <w:proofErr w:type="spellStart"/>
      <w:r w:rsidRPr="001D71C1">
        <w:rPr>
          <w:iCs/>
          <w:sz w:val="24"/>
          <w:lang w:val="cs-CZ"/>
        </w:rPr>
        <w:t>Patriciello</w:t>
      </w:r>
      <w:proofErr w:type="spellEnd"/>
      <w:r w:rsidRPr="001D71C1">
        <w:rPr>
          <w:iCs/>
          <w:sz w:val="24"/>
          <w:lang w:val="cs-CZ"/>
        </w:rPr>
        <w:t xml:space="preserve">, C-163/10, ECLI: EU:C:2011:543; rozsudek Tribunálu ze dne 17. ledna 2013, </w:t>
      </w:r>
      <w:proofErr w:type="spellStart"/>
      <w:r w:rsidRPr="001D71C1">
        <w:rPr>
          <w:iCs/>
          <w:sz w:val="24"/>
          <w:lang w:val="cs-CZ"/>
        </w:rPr>
        <w:t>Gollnisch</w:t>
      </w:r>
      <w:proofErr w:type="spellEnd"/>
      <w:r w:rsidRPr="001D71C1">
        <w:rPr>
          <w:iCs/>
          <w:sz w:val="24"/>
          <w:lang w:val="cs-CZ"/>
        </w:rPr>
        <w:t xml:space="preserve"> v. Parlament, T-346/11 a T-347/11, ECLI:EU:T:2013:23; rozsudek Soudního dvora ze dne 19. prosince 2019, </w:t>
      </w:r>
      <w:proofErr w:type="spellStart"/>
      <w:r w:rsidRPr="001D71C1">
        <w:rPr>
          <w:iCs/>
          <w:sz w:val="24"/>
          <w:lang w:val="cs-CZ"/>
        </w:rPr>
        <w:t>Junqueras</w:t>
      </w:r>
      <w:proofErr w:type="spellEnd"/>
      <w:r w:rsidRPr="001D71C1">
        <w:rPr>
          <w:iCs/>
          <w:sz w:val="24"/>
          <w:lang w:val="cs-CZ"/>
        </w:rPr>
        <w:t xml:space="preserve"> </w:t>
      </w:r>
      <w:proofErr w:type="spellStart"/>
      <w:r w:rsidRPr="001D71C1">
        <w:rPr>
          <w:iCs/>
          <w:sz w:val="24"/>
          <w:lang w:val="cs-CZ"/>
        </w:rPr>
        <w:t>Vies</w:t>
      </w:r>
      <w:proofErr w:type="spellEnd"/>
      <w:r w:rsidRPr="001D71C1">
        <w:rPr>
          <w:sz w:val="24"/>
          <w:lang w:val="cs-CZ"/>
        </w:rPr>
        <w:t>, C-502/19, ECLI:EU:C:2019:1115.</w:t>
      </w:r>
    </w:p>
  </w:footnote>
  <w:footnote w:id="3">
    <w:p w14:paraId="148A192E" w14:textId="5C2C16B5" w:rsidR="00971761" w:rsidRPr="001D71C1" w:rsidRDefault="00971761" w:rsidP="001D71C1">
      <w:pPr>
        <w:pStyle w:val="FootnoteText"/>
        <w:ind w:left="567" w:hanging="567"/>
        <w:rPr>
          <w:sz w:val="24"/>
          <w:lang w:val="cs-CZ"/>
        </w:rPr>
      </w:pPr>
      <w:r w:rsidRPr="001D71C1">
        <w:rPr>
          <w:rStyle w:val="FootnoteReference"/>
          <w:color w:val="000000" w:themeColor="text1"/>
          <w:sz w:val="24"/>
          <w:lang w:val="cs-CZ"/>
        </w:rPr>
        <w:footnoteRef/>
      </w:r>
      <w:r w:rsidR="001D71C1" w:rsidRPr="001D71C1">
        <w:rPr>
          <w:sz w:val="24"/>
          <w:lang w:val="cs-CZ"/>
        </w:rPr>
        <w:t xml:space="preserve"> </w:t>
      </w:r>
      <w:r w:rsidR="001D71C1" w:rsidRPr="001D71C1">
        <w:rPr>
          <w:sz w:val="24"/>
          <w:lang w:val="cs-CZ"/>
        </w:rPr>
        <w:tab/>
      </w:r>
      <w:r w:rsidRPr="001D71C1">
        <w:rPr>
          <w:sz w:val="24"/>
          <w:lang w:val="cs-CZ"/>
        </w:rPr>
        <w:t>Rozhodnutí předsednictva ze dne 11. září 2023 o prováděcích opatřeních ke statutu poslanců Evropského parlamentu a o zrušení rozhodnutí předsednictva ze dne 19. května a 9. července 2008 (</w:t>
      </w:r>
      <w:proofErr w:type="spellStart"/>
      <w:r w:rsidRPr="001D71C1">
        <w:rPr>
          <w:sz w:val="24"/>
          <w:lang w:val="cs-CZ"/>
        </w:rPr>
        <w:t>Úř</w:t>
      </w:r>
      <w:proofErr w:type="spellEnd"/>
      <w:r w:rsidRPr="001D71C1">
        <w:rPr>
          <w:sz w:val="24"/>
          <w:lang w:val="cs-CZ"/>
        </w:rPr>
        <w:t xml:space="preserve">. </w:t>
      </w:r>
      <w:proofErr w:type="spellStart"/>
      <w:r w:rsidRPr="001D71C1">
        <w:rPr>
          <w:sz w:val="24"/>
          <w:lang w:val="cs-CZ"/>
        </w:rPr>
        <w:t>věst</w:t>
      </w:r>
      <w:proofErr w:type="spellEnd"/>
      <w:r w:rsidRPr="001D71C1">
        <w:rPr>
          <w:sz w:val="24"/>
          <w:lang w:val="cs-CZ"/>
        </w:rPr>
        <w:t>. C, C/2024/2814, 26.4.2024, ELI:</w:t>
      </w:r>
      <w:r w:rsidRPr="001D71C1">
        <w:rPr>
          <w:color w:val="000000" w:themeColor="text1"/>
          <w:sz w:val="24"/>
          <w:lang w:val="cs-CZ"/>
        </w:rPr>
        <w:t> </w:t>
      </w:r>
      <w:r>
        <w:fldChar w:fldCharType="begin"/>
      </w:r>
      <w:r w:rsidRPr="0027334D">
        <w:rPr>
          <w:lang w:val="cs-CZ"/>
        </w:rPr>
        <w:instrText>HYPERLINK "http://data.europa.eu/eli/C/2024/2814/oj" \t "_blank" \o "Umožňuje přístup k dokumentu prostřednictvím identifikátoru ELI URI."</w:instrText>
      </w:r>
      <w:r>
        <w:fldChar w:fldCharType="separate"/>
      </w:r>
      <w:r w:rsidRPr="00634925">
        <w:rPr>
          <w:rStyle w:val="Hyperlink"/>
          <w:color w:val="3333FF"/>
          <w:sz w:val="24"/>
          <w:lang w:val="cs-CZ"/>
        </w:rPr>
        <w:t>http://data.europa.eu/</w:t>
      </w:r>
      <w:proofErr w:type="spellStart"/>
      <w:r w:rsidRPr="00634925">
        <w:rPr>
          <w:rStyle w:val="Hyperlink"/>
          <w:color w:val="3333FF"/>
          <w:sz w:val="24"/>
          <w:lang w:val="cs-CZ"/>
        </w:rPr>
        <w:t>eli</w:t>
      </w:r>
      <w:proofErr w:type="spellEnd"/>
      <w:r w:rsidRPr="00634925">
        <w:rPr>
          <w:rStyle w:val="Hyperlink"/>
          <w:color w:val="3333FF"/>
          <w:sz w:val="24"/>
          <w:lang w:val="cs-CZ"/>
        </w:rPr>
        <w:t>/C/2024/2814/oj</w:t>
      </w:r>
      <w:r>
        <w:fldChar w:fldCharType="end"/>
      </w:r>
      <w:r w:rsidRPr="001D71C1">
        <w:rPr>
          <w:color w:val="000000" w:themeColor="text1"/>
          <w:sz w:val="24"/>
          <w:lang w:val="cs-CZ"/>
        </w:rPr>
        <w:t xml:space="preserve">). </w:t>
      </w:r>
    </w:p>
  </w:footnote>
  <w:footnote w:id="4">
    <w:p w14:paraId="10F4C1CC" w14:textId="3F4BD36E" w:rsidR="00971761" w:rsidRPr="001D71C1" w:rsidRDefault="00971761" w:rsidP="001D71C1">
      <w:pPr>
        <w:pStyle w:val="FootnoteText"/>
        <w:ind w:left="567" w:hanging="567"/>
        <w:rPr>
          <w:sz w:val="24"/>
          <w:lang w:val="cs-CZ"/>
        </w:rPr>
      </w:pPr>
      <w:r w:rsidRPr="001D71C1">
        <w:rPr>
          <w:rStyle w:val="FootnoteReference"/>
          <w:sz w:val="24"/>
          <w:lang w:val="cs-CZ"/>
        </w:rPr>
        <w:footnoteRef/>
      </w:r>
      <w:r w:rsidR="001D71C1" w:rsidRPr="001D71C1">
        <w:rPr>
          <w:sz w:val="24"/>
          <w:lang w:val="cs-CZ"/>
        </w:rPr>
        <w:t xml:space="preserve"> </w:t>
      </w:r>
      <w:r w:rsidR="001D71C1" w:rsidRPr="001D71C1">
        <w:rPr>
          <w:sz w:val="24"/>
          <w:lang w:val="cs-CZ"/>
        </w:rPr>
        <w:tab/>
      </w:r>
      <w:r w:rsidRPr="001D71C1">
        <w:rPr>
          <w:sz w:val="24"/>
          <w:lang w:val="cs-CZ"/>
        </w:rPr>
        <w:t xml:space="preserve">Rozsudek Soudního dvora ze dne 17. září 2020, </w:t>
      </w:r>
      <w:proofErr w:type="spellStart"/>
      <w:r w:rsidRPr="001D71C1">
        <w:rPr>
          <w:sz w:val="24"/>
          <w:lang w:val="cs-CZ"/>
        </w:rPr>
        <w:t>Troszczynski</w:t>
      </w:r>
      <w:proofErr w:type="spellEnd"/>
      <w:r w:rsidRPr="001D71C1">
        <w:rPr>
          <w:sz w:val="24"/>
          <w:lang w:val="cs-CZ"/>
        </w:rPr>
        <w:t xml:space="preserve"> v. Parlament, C-12/19 P, ECLI:EU:C:2020:725, bod 26.</w:t>
      </w:r>
    </w:p>
  </w:footnote>
  <w:footnote w:id="5">
    <w:p w14:paraId="18BB588C" w14:textId="69E67476" w:rsidR="00971761" w:rsidRPr="001D71C1" w:rsidRDefault="00971761" w:rsidP="001D71C1">
      <w:pPr>
        <w:pStyle w:val="FootnoteText"/>
        <w:ind w:left="567" w:hanging="567"/>
        <w:rPr>
          <w:sz w:val="24"/>
          <w:lang w:val="cs-CZ"/>
        </w:rPr>
      </w:pPr>
      <w:r w:rsidRPr="001D71C1">
        <w:rPr>
          <w:rStyle w:val="FootnoteReference"/>
          <w:sz w:val="24"/>
          <w:lang w:val="cs-CZ"/>
        </w:rPr>
        <w:footnoteRef/>
      </w:r>
      <w:r w:rsidR="001D71C1" w:rsidRPr="001D71C1">
        <w:rPr>
          <w:sz w:val="24"/>
          <w:lang w:val="cs-CZ"/>
        </w:rPr>
        <w:t xml:space="preserve"> </w:t>
      </w:r>
      <w:r w:rsidR="001D71C1" w:rsidRPr="001D71C1">
        <w:rPr>
          <w:sz w:val="24"/>
          <w:lang w:val="cs-CZ"/>
        </w:rPr>
        <w:tab/>
      </w:r>
      <w:r w:rsidRPr="001D71C1">
        <w:rPr>
          <w:sz w:val="24"/>
          <w:lang w:val="cs-CZ"/>
        </w:rPr>
        <w:t xml:space="preserve">Rozsudek Tribunálu ze dne 30. dubna 2019, </w:t>
      </w:r>
      <w:proofErr w:type="spellStart"/>
      <w:r w:rsidRPr="001D71C1">
        <w:rPr>
          <w:sz w:val="24"/>
          <w:lang w:val="cs-CZ"/>
        </w:rPr>
        <w:t>Briois</w:t>
      </w:r>
      <w:proofErr w:type="spellEnd"/>
      <w:r w:rsidRPr="001D71C1">
        <w:rPr>
          <w:sz w:val="24"/>
          <w:lang w:val="cs-CZ"/>
        </w:rPr>
        <w:t xml:space="preserve"> v. Parlament, T-214/18, ECLI:</w:t>
      </w:r>
      <w:proofErr w:type="gramStart"/>
      <w:r w:rsidRPr="001D71C1">
        <w:rPr>
          <w:sz w:val="24"/>
          <w:lang w:val="cs-CZ"/>
        </w:rPr>
        <w:t>EU:T</w:t>
      </w:r>
      <w:proofErr w:type="gramEnd"/>
      <w:r w:rsidRPr="001D71C1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2299A" w14:textId="77777777" w:rsidR="00064002" w:rsidRPr="001D71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B7AD6" w14:textId="77777777" w:rsidR="00064002" w:rsidRPr="001D71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59CAE" w14:textId="77777777" w:rsidR="00064002" w:rsidRPr="001D71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2419483">
    <w:abstractNumId w:val="9"/>
  </w:num>
  <w:num w:numId="2" w16cid:durableId="2011641510">
    <w:abstractNumId w:val="9"/>
  </w:num>
  <w:num w:numId="3" w16cid:durableId="438567520">
    <w:abstractNumId w:val="7"/>
  </w:num>
  <w:num w:numId="4" w16cid:durableId="1636255441">
    <w:abstractNumId w:val="7"/>
  </w:num>
  <w:num w:numId="5" w16cid:durableId="1807896708">
    <w:abstractNumId w:val="6"/>
  </w:num>
  <w:num w:numId="6" w16cid:durableId="196704338">
    <w:abstractNumId w:val="6"/>
  </w:num>
  <w:num w:numId="7" w16cid:durableId="502932573">
    <w:abstractNumId w:val="5"/>
  </w:num>
  <w:num w:numId="8" w16cid:durableId="1138493251">
    <w:abstractNumId w:val="5"/>
  </w:num>
  <w:num w:numId="9" w16cid:durableId="2065399484">
    <w:abstractNumId w:val="4"/>
  </w:num>
  <w:num w:numId="10" w16cid:durableId="1183475573">
    <w:abstractNumId w:val="4"/>
  </w:num>
  <w:num w:numId="11" w16cid:durableId="58476683">
    <w:abstractNumId w:val="8"/>
  </w:num>
  <w:num w:numId="12" w16cid:durableId="1826697836">
    <w:abstractNumId w:val="8"/>
  </w:num>
  <w:num w:numId="13" w16cid:durableId="1282227762">
    <w:abstractNumId w:val="3"/>
  </w:num>
  <w:num w:numId="14" w16cid:durableId="2089813145">
    <w:abstractNumId w:val="3"/>
  </w:num>
  <w:num w:numId="15" w16cid:durableId="1089352445">
    <w:abstractNumId w:val="2"/>
  </w:num>
  <w:num w:numId="16" w16cid:durableId="601228971">
    <w:abstractNumId w:val="2"/>
  </w:num>
  <w:num w:numId="17" w16cid:durableId="380057346">
    <w:abstractNumId w:val="1"/>
  </w:num>
  <w:num w:numId="18" w16cid:durableId="1968125559">
    <w:abstractNumId w:val="1"/>
  </w:num>
  <w:num w:numId="19" w16cid:durableId="2069304603">
    <w:abstractNumId w:val="0"/>
  </w:num>
  <w:num w:numId="20" w16cid:durableId="1643924684">
    <w:abstractNumId w:val="0"/>
  </w:num>
  <w:num w:numId="21" w16cid:durableId="90703000">
    <w:abstractNumId w:val="9"/>
  </w:num>
  <w:num w:numId="22" w16cid:durableId="1609192441">
    <w:abstractNumId w:val="7"/>
  </w:num>
  <w:num w:numId="23" w16cid:durableId="776020461">
    <w:abstractNumId w:val="6"/>
  </w:num>
  <w:num w:numId="24" w16cid:durableId="411581513">
    <w:abstractNumId w:val="5"/>
  </w:num>
  <w:num w:numId="25" w16cid:durableId="1808083615">
    <w:abstractNumId w:val="4"/>
  </w:num>
  <w:num w:numId="26" w16cid:durableId="603729612">
    <w:abstractNumId w:val="8"/>
  </w:num>
  <w:num w:numId="27" w16cid:durableId="1904414224">
    <w:abstractNumId w:val="3"/>
  </w:num>
  <w:num w:numId="28" w16cid:durableId="1727027448">
    <w:abstractNumId w:val="2"/>
  </w:num>
  <w:num w:numId="29" w16cid:durableId="1658722523">
    <w:abstractNumId w:val="1"/>
  </w:num>
  <w:num w:numId="30" w16cid:durableId="1800151687">
    <w:abstractNumId w:val="0"/>
  </w:num>
  <w:num w:numId="31" w16cid:durableId="1498033600">
    <w:abstractNumId w:val="9"/>
  </w:num>
  <w:num w:numId="32" w16cid:durableId="1032536371">
    <w:abstractNumId w:val="7"/>
  </w:num>
  <w:num w:numId="33" w16cid:durableId="1119573087">
    <w:abstractNumId w:val="6"/>
  </w:num>
  <w:num w:numId="34" w16cid:durableId="2133741490">
    <w:abstractNumId w:val="5"/>
  </w:num>
  <w:num w:numId="35" w16cid:durableId="329915051">
    <w:abstractNumId w:val="4"/>
  </w:num>
  <w:num w:numId="36" w16cid:durableId="1961915068">
    <w:abstractNumId w:val="8"/>
  </w:num>
  <w:num w:numId="37" w16cid:durableId="1191452650">
    <w:abstractNumId w:val="3"/>
  </w:num>
  <w:num w:numId="38" w16cid:durableId="215548665">
    <w:abstractNumId w:val="2"/>
  </w:num>
  <w:num w:numId="39" w16cid:durableId="1229876621">
    <w:abstractNumId w:val="1"/>
  </w:num>
  <w:num w:numId="40" w16cid:durableId="98379795">
    <w:abstractNumId w:val="0"/>
  </w:num>
  <w:num w:numId="41" w16cid:durableId="909198054">
    <w:abstractNumId w:val="10"/>
  </w:num>
  <w:num w:numId="42" w16cid:durableId="1766535493">
    <w:abstractNumId w:val="10"/>
  </w:num>
  <w:num w:numId="43" w16cid:durableId="1250696878">
    <w:abstractNumId w:val="10"/>
  </w:num>
  <w:num w:numId="44" w16cid:durableId="1406597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6"/>
    <w:docVar w:name="dvlangue" w:val="CS"/>
    <w:docVar w:name="dvnumam" w:val="0"/>
    <w:docVar w:name="dvpe" w:val="784.494"/>
    <w:docVar w:name="dvrapporteur" w:val="Zpravodaj: "/>
    <w:docVar w:name="dvtitre" w:val="Rozhodnutí Evropského parlamentu ze dne 19. května 2026 o žádosti, aby byla Angelika Nieblerová zbavena imunity(2025/2175(IMM))"/>
  </w:docVars>
  <w:rsids>
    <w:rsidRoot w:val="002B7EE8"/>
    <w:rsid w:val="00002272"/>
    <w:rsid w:val="00064002"/>
    <w:rsid w:val="000677B9"/>
    <w:rsid w:val="000808A8"/>
    <w:rsid w:val="000831BA"/>
    <w:rsid w:val="000A42CC"/>
    <w:rsid w:val="000E7DD9"/>
    <w:rsid w:val="0010095E"/>
    <w:rsid w:val="00125B37"/>
    <w:rsid w:val="00187494"/>
    <w:rsid w:val="001D71C1"/>
    <w:rsid w:val="001F32AE"/>
    <w:rsid w:val="0027334D"/>
    <w:rsid w:val="002767FF"/>
    <w:rsid w:val="002A79F7"/>
    <w:rsid w:val="002B18FE"/>
    <w:rsid w:val="002B5493"/>
    <w:rsid w:val="002B7EE8"/>
    <w:rsid w:val="00332FB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AF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4925"/>
    <w:rsid w:val="006631B6"/>
    <w:rsid w:val="00680577"/>
    <w:rsid w:val="006F74FA"/>
    <w:rsid w:val="00731ADD"/>
    <w:rsid w:val="007339CB"/>
    <w:rsid w:val="00734777"/>
    <w:rsid w:val="00747932"/>
    <w:rsid w:val="00751A4A"/>
    <w:rsid w:val="00756632"/>
    <w:rsid w:val="00762C74"/>
    <w:rsid w:val="00786EC0"/>
    <w:rsid w:val="007A4B1C"/>
    <w:rsid w:val="007D1690"/>
    <w:rsid w:val="007E22AD"/>
    <w:rsid w:val="00817416"/>
    <w:rsid w:val="008350DC"/>
    <w:rsid w:val="00842779"/>
    <w:rsid w:val="00865F67"/>
    <w:rsid w:val="00881A7B"/>
    <w:rsid w:val="008840E5"/>
    <w:rsid w:val="00887B3E"/>
    <w:rsid w:val="008A5C7A"/>
    <w:rsid w:val="008C2AC6"/>
    <w:rsid w:val="00930C23"/>
    <w:rsid w:val="0093193B"/>
    <w:rsid w:val="009509D8"/>
    <w:rsid w:val="00950B64"/>
    <w:rsid w:val="00971761"/>
    <w:rsid w:val="0097469E"/>
    <w:rsid w:val="00981893"/>
    <w:rsid w:val="009A2750"/>
    <w:rsid w:val="00A1687D"/>
    <w:rsid w:val="00A36F20"/>
    <w:rsid w:val="00A43E52"/>
    <w:rsid w:val="00A4678D"/>
    <w:rsid w:val="00A778C7"/>
    <w:rsid w:val="00AB441E"/>
    <w:rsid w:val="00AB6293"/>
    <w:rsid w:val="00AE0928"/>
    <w:rsid w:val="00AE5E6D"/>
    <w:rsid w:val="00AF3B82"/>
    <w:rsid w:val="00B12E95"/>
    <w:rsid w:val="00B22876"/>
    <w:rsid w:val="00B558F0"/>
    <w:rsid w:val="00B63341"/>
    <w:rsid w:val="00BD48FE"/>
    <w:rsid w:val="00BD7BD8"/>
    <w:rsid w:val="00BE6ADC"/>
    <w:rsid w:val="00C00C36"/>
    <w:rsid w:val="00C05BFE"/>
    <w:rsid w:val="00C23CD4"/>
    <w:rsid w:val="00C61C0C"/>
    <w:rsid w:val="00C941CB"/>
    <w:rsid w:val="00CB1050"/>
    <w:rsid w:val="00CC13B3"/>
    <w:rsid w:val="00CC2357"/>
    <w:rsid w:val="00CF071A"/>
    <w:rsid w:val="00D058B8"/>
    <w:rsid w:val="00D16B03"/>
    <w:rsid w:val="00D56C11"/>
    <w:rsid w:val="00D834A0"/>
    <w:rsid w:val="00D872DF"/>
    <w:rsid w:val="00D91E21"/>
    <w:rsid w:val="00DA7FCD"/>
    <w:rsid w:val="00E365E1"/>
    <w:rsid w:val="00E43EC4"/>
    <w:rsid w:val="00E820A4"/>
    <w:rsid w:val="00EB006A"/>
    <w:rsid w:val="00EB4772"/>
    <w:rsid w:val="00ED169E"/>
    <w:rsid w:val="00ED4235"/>
    <w:rsid w:val="00F04346"/>
    <w:rsid w:val="00F075DC"/>
    <w:rsid w:val="00F149E9"/>
    <w:rsid w:val="00F1694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0B3FB6"/>
  <w15:chartTrackingRefBased/>
  <w15:docId w15:val="{D8476A40-BF24-4717-82C8-A8F368F04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71761"/>
    <w:pPr>
      <w:spacing w:after="240"/>
      <w:ind w:left="567" w:hanging="567"/>
    </w:pPr>
  </w:style>
  <w:style w:type="paragraph" w:customStyle="1" w:styleId="EPComma">
    <w:name w:val="EPComma"/>
    <w:basedOn w:val="Normal"/>
    <w:rsid w:val="00971761"/>
    <w:pPr>
      <w:spacing w:before="480" w:after="240"/>
    </w:pPr>
  </w:style>
  <w:style w:type="character" w:styleId="Hyperlink">
    <w:name w:val="Hyperlink"/>
    <w:basedOn w:val="DefaultParagraphFont"/>
    <w:unhideWhenUsed/>
    <w:rsid w:val="0097176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43EC4"/>
    <w:rPr>
      <w:sz w:val="24"/>
      <w:lang w:val="cs-CZ"/>
    </w:rPr>
  </w:style>
  <w:style w:type="character" w:styleId="CommentReference">
    <w:name w:val="annotation reference"/>
    <w:basedOn w:val="DefaultParagraphFont"/>
    <w:rsid w:val="00AE5E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5E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5E6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E5E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5E6D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997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2026-05-19T11:32:00Z</dcterms:created>
  <dcterms:modified xsi:type="dcterms:W3CDTF">2026-05-19T11:32:00Z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A10-0127/2026</vt:lpwstr>
  </property>
  <property fmtid="{D5CDD505-2E9C-101B-9397-08002B2CF9AE}" pid="4" name="&lt;Type&gt;">
    <vt:lpwstr>RR</vt:lpwstr>
  </property>
</Properties>
</file>