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5578" w14:paraId="7B410E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B4EF74" w14:textId="77777777" w:rsidR="00751A4A" w:rsidRPr="00D15578" w:rsidRDefault="003D34FD" w:rsidP="0010095E">
            <w:pPr>
              <w:pStyle w:val="EPName"/>
            </w:pPr>
            <w:r w:rsidRPr="00D15578">
              <w:t xml:space="preserve">Parlamento </w:t>
            </w:r>
            <w:proofErr w:type="gramStart"/>
            <w:r w:rsidRPr="00D15578">
              <w:t>Europeu</w:t>
            </w:r>
            <w:proofErr w:type="gramEnd"/>
          </w:p>
          <w:p w14:paraId="7A52F3B4" w14:textId="77777777" w:rsidR="00751A4A" w:rsidRPr="00D155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5578">
              <w:t>2024</w:t>
            </w:r>
            <w:r w:rsidR="00817416" w:rsidRPr="00D15578">
              <w:t>-202</w:t>
            </w:r>
            <w:r w:rsidRPr="00D15578">
              <w:t>9</w:t>
            </w:r>
          </w:p>
        </w:tc>
        <w:tc>
          <w:tcPr>
            <w:tcW w:w="2268" w:type="dxa"/>
            <w:shd w:val="clear" w:color="auto" w:fill="auto"/>
          </w:tcPr>
          <w:p w14:paraId="5B5C33EE" w14:textId="77777777" w:rsidR="00751A4A" w:rsidRPr="00D15578" w:rsidRDefault="00187494" w:rsidP="0010095E">
            <w:pPr>
              <w:pStyle w:val="EPLogo"/>
            </w:pPr>
            <w:r w:rsidRPr="00D15578">
              <w:rPr>
                <w:noProof/>
                <w:lang w:eastAsia="ja-JP"/>
              </w:rPr>
              <w:drawing>
                <wp:inline distT="0" distB="0" distL="0" distR="0" wp14:anchorId="39D4D664" wp14:editId="353183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E55471" w14:textId="77777777" w:rsidR="00D058B8" w:rsidRPr="00D15578" w:rsidRDefault="00D058B8" w:rsidP="004C5D52">
      <w:pPr>
        <w:pStyle w:val="LineTop"/>
      </w:pPr>
    </w:p>
    <w:p w14:paraId="3DE5203C" w14:textId="77777777" w:rsidR="00680577" w:rsidRPr="00D15578" w:rsidRDefault="003D34FD" w:rsidP="00680577">
      <w:pPr>
        <w:pStyle w:val="EPBodyTA1"/>
      </w:pPr>
      <w:r w:rsidRPr="00D15578">
        <w:t>TEXTOS APROVADOS</w:t>
      </w:r>
    </w:p>
    <w:p w14:paraId="1A126595" w14:textId="77777777" w:rsidR="00D058B8" w:rsidRPr="00D15578" w:rsidRDefault="00D058B8" w:rsidP="00D058B8">
      <w:pPr>
        <w:pStyle w:val="LineBottom"/>
      </w:pPr>
    </w:p>
    <w:p w14:paraId="4ECFB90E" w14:textId="19689E54" w:rsidR="003D34FD" w:rsidRPr="00D15578" w:rsidRDefault="003D34FD" w:rsidP="003D34FD">
      <w:pPr>
        <w:pStyle w:val="ATHeading1"/>
      </w:pPr>
      <w:bookmarkStart w:id="0" w:name="TANumber"/>
      <w:r w:rsidRPr="00D15578">
        <w:t>P10_TA(2026)0</w:t>
      </w:r>
      <w:r w:rsidR="00D15578" w:rsidRPr="00D15578">
        <w:t>166</w:t>
      </w:r>
      <w:bookmarkEnd w:id="0"/>
    </w:p>
    <w:p w14:paraId="11FB2335" w14:textId="77777777" w:rsidR="003D34FD" w:rsidRPr="00D15578" w:rsidRDefault="003D34FD" w:rsidP="003D34FD">
      <w:pPr>
        <w:pStyle w:val="ATHeading2"/>
      </w:pPr>
      <w:bookmarkStart w:id="1" w:name="title"/>
      <w:r w:rsidRPr="00D15578">
        <w:t xml:space="preserve">Pedido de levantamento da imunidade de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bookmarkEnd w:id="1"/>
      <w:proofErr w:type="spellEnd"/>
    </w:p>
    <w:p w14:paraId="6A8268EA" w14:textId="77777777" w:rsidR="003D34FD" w:rsidRPr="00D15578" w:rsidRDefault="003D34FD" w:rsidP="003D34FD">
      <w:pPr>
        <w:rPr>
          <w:i/>
          <w:vanish/>
        </w:rPr>
      </w:pPr>
      <w:r w:rsidRPr="00D15578">
        <w:rPr>
          <w:i/>
        </w:rPr>
        <w:fldChar w:fldCharType="begin"/>
      </w:r>
      <w:r w:rsidRPr="00D15578">
        <w:rPr>
          <w:i/>
        </w:rPr>
        <w:instrText xml:space="preserve"> TC"(</w:instrText>
      </w:r>
      <w:bookmarkStart w:id="2" w:name="DocNumber"/>
      <w:r w:rsidRPr="00D15578">
        <w:rPr>
          <w:i/>
        </w:rPr>
        <w:instrText>A10-0128/2026</w:instrText>
      </w:r>
      <w:bookmarkEnd w:id="2"/>
      <w:r w:rsidRPr="00D15578">
        <w:rPr>
          <w:i/>
        </w:rPr>
        <w:instrText xml:space="preserve"> - Relator: Marcin Sypniewski)"\l3 \n&gt; \* MERGEFORMAT </w:instrText>
      </w:r>
      <w:r w:rsidRPr="00D15578">
        <w:rPr>
          <w:i/>
        </w:rPr>
        <w:fldChar w:fldCharType="end"/>
      </w:r>
    </w:p>
    <w:p w14:paraId="27FFCFD9" w14:textId="77777777" w:rsidR="003D34FD" w:rsidRPr="00D15578" w:rsidRDefault="003D34FD" w:rsidP="003D34FD">
      <w:pPr>
        <w:rPr>
          <w:vanish/>
        </w:rPr>
      </w:pPr>
      <w:bookmarkStart w:id="3" w:name="Commission"/>
      <w:r w:rsidRPr="00D15578">
        <w:rPr>
          <w:vanish/>
        </w:rPr>
        <w:t>Comissão dos Assuntos Jurídicos</w:t>
      </w:r>
      <w:bookmarkEnd w:id="3"/>
    </w:p>
    <w:p w14:paraId="1BD56E75" w14:textId="77777777" w:rsidR="003D34FD" w:rsidRPr="00D15578" w:rsidRDefault="003D34FD" w:rsidP="003D34FD">
      <w:pPr>
        <w:rPr>
          <w:vanish/>
        </w:rPr>
      </w:pPr>
      <w:bookmarkStart w:id="4" w:name="PE"/>
      <w:r w:rsidRPr="00D15578">
        <w:rPr>
          <w:vanish/>
        </w:rPr>
        <w:t>PE786.974</w:t>
      </w:r>
      <w:bookmarkEnd w:id="4"/>
    </w:p>
    <w:p w14:paraId="731D804E" w14:textId="5EED65CC" w:rsidR="003D34FD" w:rsidRPr="00D15578" w:rsidRDefault="003D34FD" w:rsidP="003D34FD">
      <w:pPr>
        <w:pStyle w:val="ATHeading3"/>
      </w:pPr>
      <w:bookmarkStart w:id="5" w:name="Sujet"/>
      <w:r w:rsidRPr="00D15578">
        <w:t xml:space="preserve">Decisão do Parlamento Europeu, de </w:t>
      </w:r>
      <w:r w:rsidR="000967BF" w:rsidRPr="00D15578">
        <w:t>19</w:t>
      </w:r>
      <w:r w:rsidRPr="00D15578">
        <w:t xml:space="preserve"> de </w:t>
      </w:r>
      <w:r w:rsidR="000967BF" w:rsidRPr="00D15578">
        <w:t xml:space="preserve">maio </w:t>
      </w:r>
      <w:r w:rsidRPr="00D15578">
        <w:t xml:space="preserve">de 2026, sobre o pedido de levantamento da imunidade de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bookmarkEnd w:id="5"/>
      <w:proofErr w:type="spellEnd"/>
      <w:r w:rsidRPr="00D15578">
        <w:t xml:space="preserve"> </w:t>
      </w:r>
      <w:bookmarkStart w:id="6" w:name="References"/>
      <w:r w:rsidRPr="00D15578">
        <w:t>(2025/2234(IMM))</w:t>
      </w:r>
      <w:bookmarkEnd w:id="6"/>
    </w:p>
    <w:p w14:paraId="02425419" w14:textId="77777777" w:rsidR="0074561E" w:rsidRPr="00D15578" w:rsidRDefault="0074561E" w:rsidP="0074561E">
      <w:pPr>
        <w:pStyle w:val="EPComma"/>
      </w:pPr>
      <w:bookmarkStart w:id="7" w:name="TextBodyBegin"/>
      <w:bookmarkEnd w:id="7"/>
      <w:r w:rsidRPr="00D15578">
        <w:rPr>
          <w:i/>
          <w:iCs/>
        </w:rPr>
        <w:t>O Parlamento Europeu,</w:t>
      </w:r>
    </w:p>
    <w:p w14:paraId="45A0EE3E" w14:textId="4F86222F" w:rsidR="0074561E" w:rsidRPr="00D15578" w:rsidRDefault="0074561E" w:rsidP="0074561E">
      <w:pPr>
        <w:pStyle w:val="NormalHanging12a"/>
      </w:pPr>
      <w:r w:rsidRPr="00D15578">
        <w:t>–</w:t>
      </w:r>
      <w:r w:rsidRPr="00D15578">
        <w:tab/>
        <w:t xml:space="preserve">Tendo recebido um pedido de levantamento da imunidade de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>, enviado por carta</w:t>
      </w:r>
      <w:r w:rsidR="00681045" w:rsidRPr="00D15578">
        <w:t>,</w:t>
      </w:r>
      <w:r w:rsidRPr="00D15578">
        <w:t xml:space="preserve"> de 7 de outubro de 2025, do procurador</w:t>
      </w:r>
      <w:r w:rsidRPr="00D15578">
        <w:noBreakHyphen/>
        <w:t xml:space="preserve">geral adjunto do Supremo Tribunal da </w:t>
      </w:r>
      <w:r w:rsidR="000967BF" w:rsidRPr="00D15578">
        <w:t>República Helénica</w:t>
      </w:r>
      <w:r w:rsidRPr="00D15578">
        <w:t xml:space="preserve">, </w:t>
      </w:r>
      <w:r w:rsidR="00BC5050" w:rsidRPr="00D15578">
        <w:t xml:space="preserve">transmitindo </w:t>
      </w:r>
      <w:r w:rsidRPr="00D15578">
        <w:t xml:space="preserve">um pedido </w:t>
      </w:r>
      <w:r w:rsidR="00E540AB" w:rsidRPr="00D15578">
        <w:t>d</w:t>
      </w:r>
      <w:r w:rsidRPr="00D15578">
        <w:t xml:space="preserve">o procurador da República do Tribunal de Primeira Instância de Atenas no âmbito de uma ação penal a instaurar contra </w:t>
      </w:r>
      <w:proofErr w:type="spellStart"/>
      <w:r w:rsidR="00E540AB" w:rsidRPr="00D15578">
        <w:t>Nikos</w:t>
      </w:r>
      <w:proofErr w:type="spellEnd"/>
      <w:r w:rsidR="00E540AB" w:rsidRPr="00D15578">
        <w:t xml:space="preserve"> </w:t>
      </w:r>
      <w:proofErr w:type="spellStart"/>
      <w:r w:rsidR="00E540AB" w:rsidRPr="00D15578">
        <w:t>Pappas</w:t>
      </w:r>
      <w:proofErr w:type="spellEnd"/>
      <w:r w:rsidRPr="00D15578">
        <w:t>,</w:t>
      </w:r>
      <w:r w:rsidR="00BC5050" w:rsidRPr="00D15578">
        <w:t xml:space="preserve"> e </w:t>
      </w:r>
      <w:r w:rsidR="00B132DA" w:rsidRPr="00D15578">
        <w:t>tendo o pedido sido anunciado</w:t>
      </w:r>
      <w:r w:rsidRPr="00D15578">
        <w:t xml:space="preserve"> ao Parlamento em 12 de novembro de 2025,</w:t>
      </w:r>
    </w:p>
    <w:p w14:paraId="49E08BFA" w14:textId="77777777" w:rsidR="0074561E" w:rsidRPr="00D15578" w:rsidRDefault="0074561E" w:rsidP="0074561E">
      <w:pPr>
        <w:pStyle w:val="NormalHanging12a"/>
      </w:pPr>
      <w:r w:rsidRPr="00D15578">
        <w:t>–</w:t>
      </w:r>
      <w:r w:rsidRPr="00D15578">
        <w:tab/>
        <w:t xml:space="preserve">Tendo ouvido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 xml:space="preserve"> em 15 de abril de 2026, nos termos do artigo 9.º, n.º 6, do seu Regimento, </w:t>
      </w:r>
    </w:p>
    <w:p w14:paraId="4666E34A" w14:textId="77777777" w:rsidR="0074561E" w:rsidRPr="00D15578" w:rsidRDefault="0074561E" w:rsidP="0074561E">
      <w:pPr>
        <w:pStyle w:val="NormalHanging12a"/>
      </w:pPr>
      <w:r w:rsidRPr="00D15578">
        <w:t>–</w:t>
      </w:r>
      <w:r w:rsidRPr="00D15578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742A762E" w14:textId="77777777" w:rsidR="0074561E" w:rsidRPr="00D15578" w:rsidRDefault="0074561E" w:rsidP="0074561E">
      <w:pPr>
        <w:pStyle w:val="NormalHanging12a"/>
      </w:pPr>
      <w:r w:rsidRPr="00D15578">
        <w:t>–</w:t>
      </w:r>
      <w:r w:rsidRPr="00D15578">
        <w:tab/>
        <w:t>Tendo em conta os acórdãos proferidos pelo Tribunal de Justiça da União Europeia em 21 de outubro de 2008, 19 de março de 2010, 6 de setembro de 2011, 17 de janeiro de 2013 e 19 de dezembro de 2019</w:t>
      </w:r>
      <w:r w:rsidRPr="00D15578">
        <w:rPr>
          <w:vertAlign w:val="superscript"/>
        </w:rPr>
        <w:footnoteReference w:id="1"/>
      </w:r>
      <w:r w:rsidRPr="00D15578">
        <w:t>,</w:t>
      </w:r>
    </w:p>
    <w:p w14:paraId="1C04BCEC" w14:textId="77777777" w:rsidR="0074561E" w:rsidRPr="00D15578" w:rsidRDefault="0074561E" w:rsidP="0074561E">
      <w:pPr>
        <w:pStyle w:val="NormalHanging12a"/>
      </w:pPr>
      <w:r w:rsidRPr="00D15578">
        <w:t>–</w:t>
      </w:r>
      <w:r w:rsidRPr="00D15578">
        <w:tab/>
        <w:t>Tendo em conta o artigo 5.º, n.º 2, o artigo 6.º, n.º 1, e o artigo 9.º do seu Regimento,</w:t>
      </w:r>
    </w:p>
    <w:p w14:paraId="7CD06719" w14:textId="77777777" w:rsidR="0074561E" w:rsidRPr="00D15578" w:rsidRDefault="0074561E" w:rsidP="0074561E">
      <w:pPr>
        <w:pStyle w:val="NormalHanging12a"/>
      </w:pPr>
      <w:r w:rsidRPr="00D15578">
        <w:lastRenderedPageBreak/>
        <w:t>–</w:t>
      </w:r>
      <w:r w:rsidRPr="00D15578">
        <w:tab/>
        <w:t>Tendo em conta o relatório da Comissão dos Assuntos Jurídicos (A10</w:t>
      </w:r>
      <w:r w:rsidRPr="00D15578">
        <w:noBreakHyphen/>
        <w:t>0128/2026),</w:t>
      </w:r>
    </w:p>
    <w:p w14:paraId="62102137" w14:textId="6ED67B93" w:rsidR="0074561E" w:rsidRPr="00D15578" w:rsidRDefault="0074561E" w:rsidP="0074561E">
      <w:pPr>
        <w:pStyle w:val="NormalHanging12a"/>
        <w:rPr>
          <w:bCs/>
          <w:iCs/>
        </w:rPr>
      </w:pPr>
      <w:r w:rsidRPr="00D15578">
        <w:t>A.</w:t>
      </w:r>
      <w:r w:rsidRPr="00D15578">
        <w:tab/>
        <w:t>Considerando que o procurador</w:t>
      </w:r>
      <w:r w:rsidRPr="00D15578">
        <w:noBreakHyphen/>
        <w:t xml:space="preserve">geral adjunto do Supremo Tribunal da </w:t>
      </w:r>
      <w:r w:rsidR="00822850" w:rsidRPr="00D15578">
        <w:t xml:space="preserve">República Helénica </w:t>
      </w:r>
      <w:r w:rsidRPr="00D15578">
        <w:t xml:space="preserve">transmitiu um pedido do procurador da República do Tribunal de Primeira Instância de Atenas com vista ao levantamento da imunidade de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>, deputado ao Parlamento Europeu eleito na Grécia, relativamente a alegados insultos em linha e ameaças, constitutivos de crime ao abrigo do artigo 94.º, do artigo 361.º, n.º 1, primeiro e segundo período, e do artigo 333.º, n.º 1, primeiro período, do Código Penal grego;</w:t>
      </w:r>
    </w:p>
    <w:p w14:paraId="1FD733FE" w14:textId="4E9BA45D" w:rsidR="0074561E" w:rsidRPr="00D15578" w:rsidRDefault="0074561E" w:rsidP="0074561E">
      <w:pPr>
        <w:pStyle w:val="NormalHanging12a"/>
      </w:pPr>
      <w:r w:rsidRPr="00D15578">
        <w:t>B.</w:t>
      </w:r>
      <w:r w:rsidRPr="00D15578">
        <w:tab/>
      </w:r>
      <w:bookmarkStart w:id="8" w:name="_Hlk226714510"/>
      <w:r w:rsidRPr="00D15578">
        <w:t xml:space="preserve">Considerando que, </w:t>
      </w:r>
      <w:r w:rsidR="00BC5050" w:rsidRPr="00D15578">
        <w:t>nos termos d</w:t>
      </w:r>
      <w:r w:rsidRPr="00D15578">
        <w:t xml:space="preserve">esse pedido, foi indicado </w:t>
      </w:r>
      <w:r w:rsidR="00BC5050" w:rsidRPr="00D15578">
        <w:t xml:space="preserve">na queixa </w:t>
      </w:r>
      <w:r w:rsidRPr="00D15578">
        <w:t xml:space="preserve">que, em 11 de junho de 2025,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 xml:space="preserve"> alegadamente insultou e ameaçou o queixoso através de mensagens diretas enviadas pela sua conta pessoal no Instagram;</w:t>
      </w:r>
      <w:bookmarkEnd w:id="8"/>
    </w:p>
    <w:p w14:paraId="1DF2582A" w14:textId="4172488C" w:rsidR="0074561E" w:rsidRPr="00D15578" w:rsidRDefault="0074561E" w:rsidP="0074561E">
      <w:pPr>
        <w:pStyle w:val="NormalHanging12a"/>
      </w:pPr>
      <w:r w:rsidRPr="00D15578">
        <w:t>C.</w:t>
      </w:r>
      <w:r w:rsidRPr="00D15578">
        <w:tab/>
        <w:t xml:space="preserve">Considerando que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 xml:space="preserve"> foi eleito para o Parlamento Europeu nas eleições europeias de junho de 2024 e que</w:t>
      </w:r>
      <w:r w:rsidR="00822850" w:rsidRPr="00D15578">
        <w:t xml:space="preserve">, </w:t>
      </w:r>
      <w:r w:rsidR="003258D2" w:rsidRPr="00D15578">
        <w:t>por conseguinte</w:t>
      </w:r>
      <w:r w:rsidR="00822850" w:rsidRPr="00D15578">
        <w:t>,</w:t>
      </w:r>
      <w:r w:rsidRPr="00D15578">
        <w:t xml:space="preserve"> era deputado ao Parlamento Europeu no momento das alegadas infrações; </w:t>
      </w:r>
      <w:r w:rsidR="00E222FD" w:rsidRPr="00D15578">
        <w:t xml:space="preserve">considerando </w:t>
      </w:r>
      <w:r w:rsidRPr="00D15578">
        <w:t>que, de acordo com o pedido, a queixa contra ele apresentada data de 16 de julho de 2025;</w:t>
      </w:r>
    </w:p>
    <w:p w14:paraId="752D0245" w14:textId="77777777" w:rsidR="0074561E" w:rsidRPr="00D15578" w:rsidRDefault="0074561E" w:rsidP="0074561E">
      <w:pPr>
        <w:pStyle w:val="NormalHanging12a"/>
      </w:pPr>
      <w:r w:rsidRPr="00D15578">
        <w:t>D.</w:t>
      </w:r>
      <w:r w:rsidRPr="00D15578">
        <w:tab/>
        <w:t xml:space="preserve">Considerando que o alegado crime não constitui uma opinião ou um voto emitido por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 xml:space="preserve"> no exercício das suas funções, na aceção do artigo 8.º do Protocolo n.º 7 relativo aos Privilégios e Imunidades da União Europeia, nem o pedido subsequente de levantamento da imunidade de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 xml:space="preserve"> está relacionado com tal opinião ou voto;</w:t>
      </w:r>
    </w:p>
    <w:p w14:paraId="5ABD080D" w14:textId="7AC86199" w:rsidR="0074561E" w:rsidRPr="00D15578" w:rsidRDefault="0074561E" w:rsidP="0074561E">
      <w:pPr>
        <w:pStyle w:val="NormalHanging12a"/>
      </w:pPr>
      <w:r w:rsidRPr="00D15578">
        <w:t>E.</w:t>
      </w:r>
      <w:r w:rsidRPr="00D15578">
        <w:tab/>
        <w:t xml:space="preserve">Considerando que o artigo 9.º, primeiro parágrafo, alínea a), do Protocolo n.º 7 relativo aos Privilégios e Imunidades da União Europeia prevê que, </w:t>
      </w:r>
      <w:r w:rsidR="003F2AD5" w:rsidRPr="00D15578">
        <w:t xml:space="preserve">enquanto durarem </w:t>
      </w:r>
      <w:r w:rsidRPr="00D15578">
        <w:t xml:space="preserve">as sessões do Parlamento Europeu, os </w:t>
      </w:r>
      <w:r w:rsidR="00E222FD" w:rsidRPr="00D15578">
        <w:t xml:space="preserve">seus </w:t>
      </w:r>
      <w:r w:rsidR="003F2AD5" w:rsidRPr="00D15578">
        <w:t>membros</w:t>
      </w:r>
      <w:r w:rsidR="00E222FD" w:rsidRPr="00D15578">
        <w:t xml:space="preserve"> beneficiam</w:t>
      </w:r>
      <w:r w:rsidRPr="00D15578">
        <w:t xml:space="preserve">, no </w:t>
      </w:r>
      <w:r w:rsidR="00BC5050" w:rsidRPr="00D15578">
        <w:t>respetivo</w:t>
      </w:r>
      <w:r w:rsidR="003F2AD5" w:rsidRPr="00D15578">
        <w:t xml:space="preserve"> </w:t>
      </w:r>
      <w:r w:rsidRPr="00D15578">
        <w:t>território nacional, das imunidades reconhecidas aos membros do Parlamento do seu país;</w:t>
      </w:r>
    </w:p>
    <w:p w14:paraId="20EAC5A6" w14:textId="77777777" w:rsidR="0074561E" w:rsidRPr="00D15578" w:rsidRDefault="0074561E" w:rsidP="0074561E">
      <w:pPr>
        <w:pStyle w:val="NormalHanging12a"/>
      </w:pPr>
      <w:r w:rsidRPr="00D15578">
        <w:t>F.</w:t>
      </w:r>
      <w:r w:rsidRPr="00D15578">
        <w:tab/>
        <w:t>Considerando que, nos termos do artigo 62.º da Constituição da República Helénica, nenhum deputado pode, durante o seu mandato, ser acusado, detido, preso ou sujeito a outras medidas privativas de liberdade sem autorização da Câmara dos Deputados;</w:t>
      </w:r>
    </w:p>
    <w:p w14:paraId="69AD2C7F" w14:textId="745535B9" w:rsidR="0074561E" w:rsidRPr="00D15578" w:rsidRDefault="0074561E" w:rsidP="0074561E">
      <w:pPr>
        <w:pStyle w:val="NormalHanging12a"/>
      </w:pPr>
      <w:r w:rsidRPr="00D15578">
        <w:t>G.</w:t>
      </w:r>
      <w:r w:rsidRPr="00D15578">
        <w:tab/>
        <w:t xml:space="preserve">Considerando que o objetivo da imunidade prevista no Protocolo n.º 7 relativo aos Privilégios e Imunidades da União Europeia </w:t>
      </w:r>
      <w:r w:rsidR="00E222FD" w:rsidRPr="00D15578">
        <w:t>consiste em</w:t>
      </w:r>
      <w:r w:rsidRPr="00D15578">
        <w:t xml:space="preserve"> proteger o Parlamento e os seus deputados contra processos judiciais relacionados com atividades exercidas no desempenho das suas funções parlamentares e que não podem ser separadas dessas funções;</w:t>
      </w:r>
    </w:p>
    <w:p w14:paraId="3390F102" w14:textId="03FADFE4" w:rsidR="0074561E" w:rsidRPr="00D15578" w:rsidRDefault="0074561E" w:rsidP="0074561E">
      <w:pPr>
        <w:pStyle w:val="NormalHanging12a"/>
      </w:pPr>
      <w:r w:rsidRPr="00D15578">
        <w:t>H.</w:t>
      </w:r>
      <w:r w:rsidRPr="00D15578">
        <w:tab/>
        <w:t xml:space="preserve">Considerando que, nos termos do artigo 5.º, n.º 2, do seu Regimento, a imunidade parlamentar não é um privilégio pessoal </w:t>
      </w:r>
      <w:r w:rsidR="00822850" w:rsidRPr="00D15578">
        <w:t>dos</w:t>
      </w:r>
      <w:r w:rsidRPr="00D15578">
        <w:t xml:space="preserve"> deputado</w:t>
      </w:r>
      <w:r w:rsidR="00822850" w:rsidRPr="00D15578">
        <w:t>s</w:t>
      </w:r>
      <w:r w:rsidRPr="00D15578">
        <w:t xml:space="preserve">, mas </w:t>
      </w:r>
      <w:r w:rsidR="00822850" w:rsidRPr="00D15578">
        <w:t xml:space="preserve">sim </w:t>
      </w:r>
      <w:r w:rsidRPr="00D15578">
        <w:t>uma garantia da independência do Parlamento como um todo</w:t>
      </w:r>
      <w:r w:rsidR="00822850" w:rsidRPr="00D15578">
        <w:t>,</w:t>
      </w:r>
      <w:r w:rsidRPr="00D15578">
        <w:t xml:space="preserve"> e dos seus membros;</w:t>
      </w:r>
    </w:p>
    <w:p w14:paraId="5A7AB0A4" w14:textId="2D00A9C4" w:rsidR="0074561E" w:rsidRPr="00D15578" w:rsidRDefault="0074561E" w:rsidP="0074561E">
      <w:pPr>
        <w:pStyle w:val="NormalHanging12a"/>
      </w:pPr>
      <w:r w:rsidRPr="00D15578">
        <w:t>I.</w:t>
      </w:r>
      <w:r w:rsidRPr="00D15578">
        <w:tab/>
        <w:t xml:space="preserve">Considerando que, no caso em apreço, o Parlamento não encontrou indícios de </w:t>
      </w:r>
      <w:proofErr w:type="spellStart"/>
      <w:r w:rsidRPr="00D15578">
        <w:rPr>
          <w:i/>
          <w:iCs/>
        </w:rPr>
        <w:t>fumus</w:t>
      </w:r>
      <w:proofErr w:type="spellEnd"/>
      <w:r w:rsidRPr="00D15578">
        <w:rPr>
          <w:i/>
          <w:iCs/>
        </w:rPr>
        <w:t xml:space="preserve"> </w:t>
      </w:r>
      <w:proofErr w:type="spellStart"/>
      <w:r w:rsidRPr="00D15578">
        <w:rPr>
          <w:i/>
          <w:iCs/>
        </w:rPr>
        <w:t>persecutionis</w:t>
      </w:r>
      <w:proofErr w:type="spellEnd"/>
      <w:r w:rsidRPr="00D15578">
        <w:t xml:space="preserve">, ou seja, </w:t>
      </w:r>
      <w:r w:rsidR="00856C45" w:rsidRPr="00D15578">
        <w:t xml:space="preserve">não parece que </w:t>
      </w:r>
      <w:r w:rsidR="0035252A" w:rsidRPr="00D15578">
        <w:t>o</w:t>
      </w:r>
      <w:r w:rsidRPr="00D15578">
        <w:t xml:space="preserve"> processo judicial </w:t>
      </w:r>
      <w:r w:rsidR="0035252A" w:rsidRPr="00D15578">
        <w:t>tenha sido</w:t>
      </w:r>
      <w:r w:rsidRPr="00D15578">
        <w:t xml:space="preserve"> instaurado com a intenção de prejudicar a atividade política </w:t>
      </w:r>
      <w:r w:rsidR="00856C45" w:rsidRPr="00D15578">
        <w:t xml:space="preserve">de </w:t>
      </w:r>
      <w:proofErr w:type="spellStart"/>
      <w:r w:rsidR="00856C45" w:rsidRPr="00D15578">
        <w:t>Nikos</w:t>
      </w:r>
      <w:proofErr w:type="spellEnd"/>
      <w:r w:rsidR="00856C45" w:rsidRPr="00D15578">
        <w:t xml:space="preserve"> </w:t>
      </w:r>
      <w:proofErr w:type="spellStart"/>
      <w:r w:rsidR="00856C45" w:rsidRPr="00D15578">
        <w:t>Pappas</w:t>
      </w:r>
      <w:proofErr w:type="spellEnd"/>
      <w:r w:rsidRPr="00D15578">
        <w:t xml:space="preserve"> na sua qualidade de deputado ao Parlamento Europeu</w:t>
      </w:r>
      <w:r w:rsidR="00856C45" w:rsidRPr="00D15578">
        <w:t xml:space="preserve"> e a independência do Parlamento Europeu</w:t>
      </w:r>
      <w:r w:rsidRPr="00D15578">
        <w:t>;</w:t>
      </w:r>
    </w:p>
    <w:p w14:paraId="2FD77865" w14:textId="0D7D7D01" w:rsidR="0074561E" w:rsidRPr="00D15578" w:rsidRDefault="0074561E" w:rsidP="0074561E">
      <w:pPr>
        <w:pStyle w:val="NormalHanging12a"/>
      </w:pPr>
      <w:r w:rsidRPr="00D15578">
        <w:t>J.</w:t>
      </w:r>
      <w:r w:rsidRPr="00D15578">
        <w:tab/>
        <w:t xml:space="preserve">Considerando, por um lado, que o Parlamento não pode ser equiparado a um tribunal e que, por outro, o deputado, no </w:t>
      </w:r>
      <w:r w:rsidR="00BC5050" w:rsidRPr="00D15578">
        <w:t xml:space="preserve">âmbito </w:t>
      </w:r>
      <w:r w:rsidRPr="00D15578">
        <w:t xml:space="preserve">de um processo de levantamento da imunidade, </w:t>
      </w:r>
      <w:r w:rsidRPr="00D15578">
        <w:lastRenderedPageBreak/>
        <w:t>não pode ser considerado «arguido»</w:t>
      </w:r>
      <w:r w:rsidRPr="00D15578">
        <w:rPr>
          <w:vertAlign w:val="superscript"/>
        </w:rPr>
        <w:footnoteReference w:id="2"/>
      </w:r>
      <w:r w:rsidRPr="00D15578">
        <w:t>;</w:t>
      </w:r>
    </w:p>
    <w:p w14:paraId="783274FC" w14:textId="77777777" w:rsidR="0074561E" w:rsidRPr="00D15578" w:rsidRDefault="0074561E" w:rsidP="0074561E">
      <w:pPr>
        <w:pStyle w:val="NormalHanging12a"/>
      </w:pPr>
      <w:r w:rsidRPr="00D15578">
        <w:t>1.</w:t>
      </w:r>
      <w:r w:rsidRPr="00D15578">
        <w:tab/>
        <w:t xml:space="preserve">Decide levantar a imunidade de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>;</w:t>
      </w:r>
    </w:p>
    <w:p w14:paraId="42BECD86" w14:textId="223136B4" w:rsidR="004D0CDF" w:rsidRPr="00D15578" w:rsidRDefault="0074561E" w:rsidP="004D0CDF">
      <w:pPr>
        <w:pStyle w:val="NormalHanging12a"/>
      </w:pPr>
      <w:r w:rsidRPr="00D15578">
        <w:t>2.</w:t>
      </w:r>
      <w:r w:rsidRPr="00D15578">
        <w:tab/>
        <w:t xml:space="preserve">Encarrega a sua Presidente de transmitir de imediato a presente decisão, bem como o relatório da sua comissão </w:t>
      </w:r>
      <w:r w:rsidR="00E222FD" w:rsidRPr="00D15578">
        <w:t>competente</w:t>
      </w:r>
      <w:r w:rsidRPr="00D15578">
        <w:t xml:space="preserve">, às autoridades competentes da República Helénica e a </w:t>
      </w:r>
      <w:proofErr w:type="spellStart"/>
      <w:r w:rsidRPr="00D15578">
        <w:t>Nikos</w:t>
      </w:r>
      <w:proofErr w:type="spellEnd"/>
      <w:r w:rsidRPr="00D15578">
        <w:t xml:space="preserve"> </w:t>
      </w:r>
      <w:proofErr w:type="spellStart"/>
      <w:r w:rsidRPr="00D15578">
        <w:t>Pappas</w:t>
      </w:r>
      <w:proofErr w:type="spellEnd"/>
      <w:r w:rsidRPr="00D15578">
        <w:t>.</w:t>
      </w:r>
    </w:p>
    <w:p w14:paraId="3C3D0AF4" w14:textId="7B0BA1C1" w:rsidR="00E365E1" w:rsidRPr="00D15578" w:rsidRDefault="00E365E1" w:rsidP="003D34FD"/>
    <w:sectPr w:rsidR="00E365E1" w:rsidRPr="00D15578" w:rsidSect="004D0C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BAEB9" w14:textId="77777777" w:rsidR="003D34FD" w:rsidRPr="004D0CDF" w:rsidRDefault="003D34FD">
      <w:r w:rsidRPr="004D0CDF">
        <w:separator/>
      </w:r>
    </w:p>
  </w:endnote>
  <w:endnote w:type="continuationSeparator" w:id="0">
    <w:p w14:paraId="21AA2582" w14:textId="77777777" w:rsidR="003D34FD" w:rsidRPr="004D0CDF" w:rsidRDefault="003D34FD">
      <w:r w:rsidRPr="004D0C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42CEA" w14:textId="77777777" w:rsidR="00064002" w:rsidRPr="004D0C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132D" w14:textId="77777777" w:rsidR="00064002" w:rsidRPr="004D0C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0D70" w14:textId="77777777" w:rsidR="00064002" w:rsidRPr="004D0C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47579" w14:textId="77777777" w:rsidR="003D34FD" w:rsidRPr="004D0CDF" w:rsidRDefault="003D34FD">
      <w:r w:rsidRPr="004D0CDF">
        <w:separator/>
      </w:r>
    </w:p>
  </w:footnote>
  <w:footnote w:type="continuationSeparator" w:id="0">
    <w:p w14:paraId="7E542C5C" w14:textId="77777777" w:rsidR="003D34FD" w:rsidRPr="004D0CDF" w:rsidRDefault="003D34FD">
      <w:r w:rsidRPr="004D0CDF">
        <w:continuationSeparator/>
      </w:r>
    </w:p>
  </w:footnote>
  <w:footnote w:id="1">
    <w:p w14:paraId="12CF5CC4" w14:textId="0EDCD256" w:rsidR="0074561E" w:rsidRPr="004D0CDF" w:rsidRDefault="0074561E" w:rsidP="004D0CDF">
      <w:pPr>
        <w:pStyle w:val="FootnoteText"/>
        <w:ind w:left="567" w:hanging="567"/>
        <w:rPr>
          <w:sz w:val="24"/>
          <w:lang w:val="pt-PT"/>
        </w:rPr>
      </w:pPr>
      <w:r w:rsidRPr="004D0CDF">
        <w:rPr>
          <w:rStyle w:val="FootnoteReference"/>
          <w:sz w:val="24"/>
          <w:lang w:val="pt-PT"/>
        </w:rPr>
        <w:footnoteRef/>
      </w:r>
      <w:r w:rsidR="004D0CDF" w:rsidRPr="004D0CDF">
        <w:rPr>
          <w:sz w:val="24"/>
          <w:lang w:val="pt-PT"/>
        </w:rPr>
        <w:t xml:space="preserve"> </w:t>
      </w:r>
      <w:r w:rsidR="004D0CDF" w:rsidRPr="004D0CDF">
        <w:rPr>
          <w:sz w:val="24"/>
          <w:lang w:val="pt-PT"/>
        </w:rPr>
        <w:tab/>
      </w:r>
      <w:r w:rsidRPr="004D0CDF">
        <w:rPr>
          <w:sz w:val="24"/>
          <w:lang w:val="pt-PT"/>
        </w:rPr>
        <w:t xml:space="preserve">Acórdão do Tribunal de Justiça, de 21 de outubro de 2008, Marra/De </w:t>
      </w:r>
      <w:proofErr w:type="spellStart"/>
      <w:r w:rsidRPr="004D0CDF">
        <w:rPr>
          <w:sz w:val="24"/>
          <w:lang w:val="pt-PT"/>
        </w:rPr>
        <w:t>Gregorio</w:t>
      </w:r>
      <w:proofErr w:type="spellEnd"/>
      <w:r w:rsidRPr="004D0CDF">
        <w:rPr>
          <w:sz w:val="24"/>
          <w:lang w:val="pt-PT"/>
        </w:rPr>
        <w:t xml:space="preserve"> e Clemente, C</w:t>
      </w:r>
      <w:r w:rsidRPr="004D0CDF">
        <w:rPr>
          <w:sz w:val="24"/>
          <w:lang w:val="pt-PT"/>
        </w:rPr>
        <w:noBreakHyphen/>
        <w:t>200/07 e C</w:t>
      </w:r>
      <w:r w:rsidRPr="004D0CDF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4D0CDF">
        <w:rPr>
          <w:sz w:val="24"/>
          <w:lang w:val="pt-PT"/>
        </w:rPr>
        <w:t>Gollnisch</w:t>
      </w:r>
      <w:proofErr w:type="spellEnd"/>
      <w:r w:rsidRPr="004D0CDF">
        <w:rPr>
          <w:sz w:val="24"/>
          <w:lang w:val="pt-PT"/>
        </w:rPr>
        <w:t>/Parlamento Europeu, T</w:t>
      </w:r>
      <w:r w:rsidRPr="004D0CDF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4D0CDF">
        <w:rPr>
          <w:sz w:val="24"/>
          <w:lang w:val="pt-PT"/>
        </w:rPr>
        <w:t>Patriciello</w:t>
      </w:r>
      <w:proofErr w:type="spellEnd"/>
      <w:r w:rsidRPr="004D0CDF">
        <w:rPr>
          <w:sz w:val="24"/>
          <w:lang w:val="pt-PT"/>
        </w:rPr>
        <w:t>, C</w:t>
      </w:r>
      <w:r w:rsidRPr="004D0CDF">
        <w:rPr>
          <w:sz w:val="24"/>
          <w:lang w:val="pt-PT"/>
        </w:rPr>
        <w:noBreakHyphen/>
        <w:t xml:space="preserve">163/10, ECLI: EU:C:2011:543; Acórdão do Tribunal Geral de 17 de janeiro de 2013, </w:t>
      </w:r>
      <w:proofErr w:type="spellStart"/>
      <w:r w:rsidRPr="004D0CDF">
        <w:rPr>
          <w:sz w:val="24"/>
          <w:lang w:val="pt-PT"/>
        </w:rPr>
        <w:t>Gollnisch</w:t>
      </w:r>
      <w:proofErr w:type="spellEnd"/>
      <w:r w:rsidRPr="004D0CDF">
        <w:rPr>
          <w:sz w:val="24"/>
          <w:lang w:val="pt-PT"/>
        </w:rPr>
        <w:t>/Parlamento Europeu, T</w:t>
      </w:r>
      <w:r w:rsidRPr="004D0CDF">
        <w:rPr>
          <w:sz w:val="24"/>
          <w:lang w:val="pt-PT"/>
        </w:rPr>
        <w:noBreakHyphen/>
        <w:t>346/11 e T</w:t>
      </w:r>
      <w:r w:rsidRPr="004D0CDF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4D0CDF">
        <w:rPr>
          <w:sz w:val="24"/>
          <w:lang w:val="pt-PT"/>
        </w:rPr>
        <w:t>Junqueras</w:t>
      </w:r>
      <w:proofErr w:type="spellEnd"/>
      <w:r w:rsidRPr="004D0CDF">
        <w:rPr>
          <w:sz w:val="24"/>
          <w:lang w:val="pt-PT"/>
        </w:rPr>
        <w:t xml:space="preserve"> </w:t>
      </w:r>
      <w:proofErr w:type="spellStart"/>
      <w:r w:rsidRPr="004D0CDF">
        <w:rPr>
          <w:sz w:val="24"/>
          <w:lang w:val="pt-PT"/>
        </w:rPr>
        <w:t>Vies</w:t>
      </w:r>
      <w:proofErr w:type="spellEnd"/>
      <w:r w:rsidRPr="004D0CDF">
        <w:rPr>
          <w:sz w:val="24"/>
          <w:lang w:val="pt-PT"/>
        </w:rPr>
        <w:t>, C</w:t>
      </w:r>
      <w:r w:rsidRPr="004D0CDF">
        <w:rPr>
          <w:sz w:val="24"/>
          <w:lang w:val="pt-PT"/>
        </w:rPr>
        <w:noBreakHyphen/>
        <w:t>502/19, ECLI:EU:C:2019:1115.</w:t>
      </w:r>
    </w:p>
  </w:footnote>
  <w:footnote w:id="2">
    <w:p w14:paraId="38268546" w14:textId="2302A369" w:rsidR="0074561E" w:rsidRPr="004D0CDF" w:rsidRDefault="0074561E" w:rsidP="004D0CDF">
      <w:pPr>
        <w:pStyle w:val="FootnoteText"/>
        <w:ind w:left="567" w:hanging="567"/>
        <w:rPr>
          <w:sz w:val="24"/>
          <w:lang w:val="pt-PT"/>
        </w:rPr>
      </w:pPr>
      <w:r w:rsidRPr="004D0CDF">
        <w:rPr>
          <w:rStyle w:val="FootnoteReference"/>
          <w:sz w:val="24"/>
          <w:lang w:val="pt-PT"/>
        </w:rPr>
        <w:footnoteRef/>
      </w:r>
      <w:r w:rsidR="004D0CDF" w:rsidRPr="004D0CDF">
        <w:rPr>
          <w:sz w:val="24"/>
          <w:lang w:val="pt-PT"/>
        </w:rPr>
        <w:t xml:space="preserve"> </w:t>
      </w:r>
      <w:r w:rsidR="004D0CDF" w:rsidRPr="004D0CDF">
        <w:rPr>
          <w:sz w:val="24"/>
          <w:lang w:val="pt-PT"/>
        </w:rPr>
        <w:tab/>
      </w:r>
      <w:r w:rsidRPr="004D0CDF">
        <w:rPr>
          <w:sz w:val="24"/>
          <w:lang w:val="pt-PT"/>
        </w:rPr>
        <w:t xml:space="preserve">Acórdão do Tribunal Geral de 30 de abril de 2019, </w:t>
      </w:r>
      <w:proofErr w:type="spellStart"/>
      <w:r w:rsidRPr="004D0CDF">
        <w:rPr>
          <w:sz w:val="24"/>
          <w:lang w:val="pt-PT"/>
        </w:rPr>
        <w:t>Briois</w:t>
      </w:r>
      <w:proofErr w:type="spellEnd"/>
      <w:r w:rsidRPr="004D0CDF">
        <w:rPr>
          <w:sz w:val="24"/>
          <w:lang w:val="pt-PT"/>
        </w:rPr>
        <w:t>/Parlamento Europeu, T</w:t>
      </w:r>
      <w:r w:rsidRPr="004D0CDF">
        <w:rPr>
          <w:sz w:val="24"/>
          <w:lang w:val="pt-PT"/>
        </w:rPr>
        <w:noBreakHyphen/>
        <w:t>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F809C" w14:textId="77777777" w:rsidR="00064002" w:rsidRPr="004D0C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28F34" w14:textId="77777777" w:rsidR="00064002" w:rsidRPr="004D0C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F4101" w14:textId="77777777" w:rsidR="00064002" w:rsidRPr="004D0C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3609585">
    <w:abstractNumId w:val="9"/>
  </w:num>
  <w:num w:numId="2" w16cid:durableId="1940482555">
    <w:abstractNumId w:val="9"/>
  </w:num>
  <w:num w:numId="3" w16cid:durableId="1603680241">
    <w:abstractNumId w:val="7"/>
  </w:num>
  <w:num w:numId="4" w16cid:durableId="60718764">
    <w:abstractNumId w:val="7"/>
  </w:num>
  <w:num w:numId="5" w16cid:durableId="240142832">
    <w:abstractNumId w:val="6"/>
  </w:num>
  <w:num w:numId="6" w16cid:durableId="1627005114">
    <w:abstractNumId w:val="6"/>
  </w:num>
  <w:num w:numId="7" w16cid:durableId="2139449298">
    <w:abstractNumId w:val="5"/>
  </w:num>
  <w:num w:numId="8" w16cid:durableId="1785004938">
    <w:abstractNumId w:val="5"/>
  </w:num>
  <w:num w:numId="9" w16cid:durableId="350421509">
    <w:abstractNumId w:val="4"/>
  </w:num>
  <w:num w:numId="10" w16cid:durableId="556743561">
    <w:abstractNumId w:val="4"/>
  </w:num>
  <w:num w:numId="11" w16cid:durableId="1886326650">
    <w:abstractNumId w:val="8"/>
  </w:num>
  <w:num w:numId="12" w16cid:durableId="1443837087">
    <w:abstractNumId w:val="8"/>
  </w:num>
  <w:num w:numId="13" w16cid:durableId="1885019734">
    <w:abstractNumId w:val="3"/>
  </w:num>
  <w:num w:numId="14" w16cid:durableId="382875332">
    <w:abstractNumId w:val="3"/>
  </w:num>
  <w:num w:numId="15" w16cid:durableId="1329168242">
    <w:abstractNumId w:val="2"/>
  </w:num>
  <w:num w:numId="16" w16cid:durableId="5057590">
    <w:abstractNumId w:val="2"/>
  </w:num>
  <w:num w:numId="17" w16cid:durableId="1325013103">
    <w:abstractNumId w:val="1"/>
  </w:num>
  <w:num w:numId="18" w16cid:durableId="1752458494">
    <w:abstractNumId w:val="1"/>
  </w:num>
  <w:num w:numId="19" w16cid:durableId="1418283652">
    <w:abstractNumId w:val="0"/>
  </w:num>
  <w:num w:numId="20" w16cid:durableId="538011996">
    <w:abstractNumId w:val="0"/>
  </w:num>
  <w:num w:numId="21" w16cid:durableId="781534773">
    <w:abstractNumId w:val="9"/>
  </w:num>
  <w:num w:numId="22" w16cid:durableId="969552780">
    <w:abstractNumId w:val="7"/>
  </w:num>
  <w:num w:numId="23" w16cid:durableId="2028822294">
    <w:abstractNumId w:val="6"/>
  </w:num>
  <w:num w:numId="24" w16cid:durableId="1224680335">
    <w:abstractNumId w:val="5"/>
  </w:num>
  <w:num w:numId="25" w16cid:durableId="184515288">
    <w:abstractNumId w:val="4"/>
  </w:num>
  <w:num w:numId="26" w16cid:durableId="1648823296">
    <w:abstractNumId w:val="8"/>
  </w:num>
  <w:num w:numId="27" w16cid:durableId="612253914">
    <w:abstractNumId w:val="3"/>
  </w:num>
  <w:num w:numId="28" w16cid:durableId="994259536">
    <w:abstractNumId w:val="2"/>
  </w:num>
  <w:num w:numId="29" w16cid:durableId="359864088">
    <w:abstractNumId w:val="1"/>
  </w:num>
  <w:num w:numId="30" w16cid:durableId="1021466696">
    <w:abstractNumId w:val="0"/>
  </w:num>
  <w:num w:numId="31" w16cid:durableId="231546564">
    <w:abstractNumId w:val="9"/>
  </w:num>
  <w:num w:numId="32" w16cid:durableId="1797530428">
    <w:abstractNumId w:val="7"/>
  </w:num>
  <w:num w:numId="33" w16cid:durableId="127860740">
    <w:abstractNumId w:val="6"/>
  </w:num>
  <w:num w:numId="34" w16cid:durableId="1554973072">
    <w:abstractNumId w:val="5"/>
  </w:num>
  <w:num w:numId="35" w16cid:durableId="49882971">
    <w:abstractNumId w:val="4"/>
  </w:num>
  <w:num w:numId="36" w16cid:durableId="824318389">
    <w:abstractNumId w:val="8"/>
  </w:num>
  <w:num w:numId="37" w16cid:durableId="461391157">
    <w:abstractNumId w:val="3"/>
  </w:num>
  <w:num w:numId="38" w16cid:durableId="543979017">
    <w:abstractNumId w:val="2"/>
  </w:num>
  <w:num w:numId="39" w16cid:durableId="146093760">
    <w:abstractNumId w:val="1"/>
  </w:num>
  <w:num w:numId="40" w16cid:durableId="855271721">
    <w:abstractNumId w:val="0"/>
  </w:num>
  <w:num w:numId="41" w16cid:durableId="2042705546">
    <w:abstractNumId w:val="10"/>
  </w:num>
  <w:num w:numId="42" w16cid:durableId="441077064">
    <w:abstractNumId w:val="10"/>
  </w:num>
  <w:num w:numId="43" w16cid:durableId="15431780">
    <w:abstractNumId w:val="10"/>
  </w:num>
  <w:num w:numId="44" w16cid:durableId="4879421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PT"/>
    <w:docVar w:name="dvnumam" w:val="0"/>
    <w:docVar w:name="dvpe" w:val="786.974"/>
    <w:docVar w:name="dvrapporteur" w:val="Relator: "/>
    <w:docVar w:name="dvtitre" w:val="Decisão do Parlamento Europeu, de ... de ... de 2026,_x000d__x000a_ sobre o pedido de levantamento da imunidade de Nikos Pappas(2025/2234(IMM))"/>
  </w:docVars>
  <w:rsids>
    <w:rsidRoot w:val="003D34FD"/>
    <w:rsid w:val="00002272"/>
    <w:rsid w:val="00064002"/>
    <w:rsid w:val="000677B9"/>
    <w:rsid w:val="000831BA"/>
    <w:rsid w:val="000967BF"/>
    <w:rsid w:val="000A42CC"/>
    <w:rsid w:val="000E7DD9"/>
    <w:rsid w:val="0010095E"/>
    <w:rsid w:val="00125B37"/>
    <w:rsid w:val="001648D3"/>
    <w:rsid w:val="00187494"/>
    <w:rsid w:val="001F32AE"/>
    <w:rsid w:val="002767FF"/>
    <w:rsid w:val="002B18FE"/>
    <w:rsid w:val="002B5493"/>
    <w:rsid w:val="0030735D"/>
    <w:rsid w:val="003258D2"/>
    <w:rsid w:val="00343214"/>
    <w:rsid w:val="00347FDB"/>
    <w:rsid w:val="0035252A"/>
    <w:rsid w:val="00361C00"/>
    <w:rsid w:val="00395FA1"/>
    <w:rsid w:val="003D34FD"/>
    <w:rsid w:val="003E15D4"/>
    <w:rsid w:val="003F2AD5"/>
    <w:rsid w:val="00411CCE"/>
    <w:rsid w:val="0041666E"/>
    <w:rsid w:val="00421060"/>
    <w:rsid w:val="00471C19"/>
    <w:rsid w:val="004867E3"/>
    <w:rsid w:val="00494A28"/>
    <w:rsid w:val="004C0004"/>
    <w:rsid w:val="004C5D52"/>
    <w:rsid w:val="004D0CDF"/>
    <w:rsid w:val="0050519A"/>
    <w:rsid w:val="005072A1"/>
    <w:rsid w:val="00514517"/>
    <w:rsid w:val="00545827"/>
    <w:rsid w:val="00560270"/>
    <w:rsid w:val="005C2568"/>
    <w:rsid w:val="005F1B17"/>
    <w:rsid w:val="006037C0"/>
    <w:rsid w:val="00616880"/>
    <w:rsid w:val="006631B6"/>
    <w:rsid w:val="00680577"/>
    <w:rsid w:val="00681045"/>
    <w:rsid w:val="006F74FA"/>
    <w:rsid w:val="00731ADD"/>
    <w:rsid w:val="00734777"/>
    <w:rsid w:val="0074561E"/>
    <w:rsid w:val="00747932"/>
    <w:rsid w:val="00751A4A"/>
    <w:rsid w:val="00756632"/>
    <w:rsid w:val="00762C74"/>
    <w:rsid w:val="00775970"/>
    <w:rsid w:val="00786EC0"/>
    <w:rsid w:val="007D1690"/>
    <w:rsid w:val="007E22AD"/>
    <w:rsid w:val="00817416"/>
    <w:rsid w:val="00822850"/>
    <w:rsid w:val="00842779"/>
    <w:rsid w:val="00856C4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2DA"/>
    <w:rsid w:val="00B22876"/>
    <w:rsid w:val="00B338EA"/>
    <w:rsid w:val="00B558F0"/>
    <w:rsid w:val="00BC505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578"/>
    <w:rsid w:val="00D56C11"/>
    <w:rsid w:val="00D834A0"/>
    <w:rsid w:val="00D872DF"/>
    <w:rsid w:val="00D91E21"/>
    <w:rsid w:val="00DA7FCD"/>
    <w:rsid w:val="00E222FD"/>
    <w:rsid w:val="00E365E1"/>
    <w:rsid w:val="00E540AB"/>
    <w:rsid w:val="00E820A4"/>
    <w:rsid w:val="00EB006A"/>
    <w:rsid w:val="00EB4772"/>
    <w:rsid w:val="00ED169E"/>
    <w:rsid w:val="00ED4235"/>
    <w:rsid w:val="00F04346"/>
    <w:rsid w:val="00F075DC"/>
    <w:rsid w:val="00F149E9"/>
    <w:rsid w:val="00F1658E"/>
    <w:rsid w:val="00F5134D"/>
    <w:rsid w:val="00F74202"/>
    <w:rsid w:val="00F834E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785CF"/>
  <w15:chartTrackingRefBased/>
  <w15:docId w15:val="{222FC164-0FAA-4E64-97CB-94B69BFA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4561E"/>
    <w:pPr>
      <w:spacing w:after="240"/>
      <w:ind w:left="567" w:hanging="567"/>
    </w:pPr>
  </w:style>
  <w:style w:type="paragraph" w:customStyle="1" w:styleId="EPComma">
    <w:name w:val="EPComma"/>
    <w:basedOn w:val="Normal"/>
    <w:rsid w:val="0074561E"/>
    <w:pPr>
      <w:spacing w:before="480" w:after="240"/>
    </w:pPr>
  </w:style>
  <w:style w:type="paragraph" w:styleId="Revision">
    <w:name w:val="Revision"/>
    <w:hidden/>
    <w:uiPriority w:val="99"/>
    <w:semiHidden/>
    <w:rsid w:val="000967BF"/>
    <w:rPr>
      <w:sz w:val="24"/>
      <w:lang w:val="pt-PT"/>
    </w:rPr>
  </w:style>
  <w:style w:type="character" w:styleId="CommentReference">
    <w:name w:val="annotation reference"/>
    <w:basedOn w:val="DefaultParagraphFont"/>
    <w:rsid w:val="00B132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32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32D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132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32DA"/>
    <w:rPr>
      <w:b/>
      <w:bCs/>
      <w:lang w:val="pt-PT"/>
    </w:rPr>
  </w:style>
  <w:style w:type="character" w:styleId="Hyperlink">
    <w:name w:val="Hyperlink"/>
    <w:basedOn w:val="DefaultParagraphFont"/>
    <w:rsid w:val="00B132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2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228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2026-05-19T11:53:00Z</dcterms:created>
  <dcterms:modified xsi:type="dcterms:W3CDTF">2026-05-19T11:53:00Z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