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12D0D" w14:paraId="04BA6424" w14:textId="77777777" w:rsidTr="0010095E">
        <w:trPr>
          <w:trHeight w:hRule="exact" w:val="1418"/>
        </w:trPr>
        <w:tc>
          <w:tcPr>
            <w:tcW w:w="6804" w:type="dxa"/>
            <w:shd w:val="clear" w:color="auto" w:fill="auto"/>
            <w:vAlign w:val="center"/>
          </w:tcPr>
          <w:p w14:paraId="149A239A" w14:textId="77777777" w:rsidR="00751A4A" w:rsidRPr="00512D0D" w:rsidRDefault="00531BFF" w:rsidP="0010095E">
            <w:pPr>
              <w:pStyle w:val="EPName"/>
            </w:pPr>
            <w:r w:rsidRPr="00512D0D">
              <w:t>European Parliament</w:t>
            </w:r>
          </w:p>
          <w:p w14:paraId="785475E0" w14:textId="77777777" w:rsidR="00751A4A" w:rsidRPr="00512D0D" w:rsidRDefault="005F1B17" w:rsidP="005F1B17">
            <w:pPr>
              <w:pStyle w:val="EPTerm"/>
              <w:rPr>
                <w:rStyle w:val="HideTWBExt"/>
                <w:noProof w:val="0"/>
                <w:vanish w:val="0"/>
                <w:color w:val="auto"/>
              </w:rPr>
            </w:pPr>
            <w:r w:rsidRPr="00512D0D">
              <w:t>2024</w:t>
            </w:r>
            <w:r w:rsidR="00817416" w:rsidRPr="00512D0D">
              <w:t>-202</w:t>
            </w:r>
            <w:r w:rsidRPr="00512D0D">
              <w:t>9</w:t>
            </w:r>
          </w:p>
        </w:tc>
        <w:tc>
          <w:tcPr>
            <w:tcW w:w="2268" w:type="dxa"/>
            <w:shd w:val="clear" w:color="auto" w:fill="auto"/>
          </w:tcPr>
          <w:p w14:paraId="5B3B15A6" w14:textId="77777777" w:rsidR="00751A4A" w:rsidRPr="00512D0D" w:rsidRDefault="00187494" w:rsidP="0010095E">
            <w:pPr>
              <w:pStyle w:val="EPLogo"/>
            </w:pPr>
            <w:r w:rsidRPr="00512D0D">
              <w:rPr>
                <w:noProof/>
                <w:lang w:eastAsia="ja-JP"/>
              </w:rPr>
              <w:drawing>
                <wp:inline distT="0" distB="0" distL="0" distR="0" wp14:anchorId="2DC176E3" wp14:editId="71FABA4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A05C97" w14:textId="77777777" w:rsidR="00D058B8" w:rsidRPr="00512D0D" w:rsidRDefault="00D058B8" w:rsidP="004C5D52">
      <w:pPr>
        <w:pStyle w:val="LineTop"/>
      </w:pPr>
    </w:p>
    <w:p w14:paraId="0C0D10CF" w14:textId="77777777" w:rsidR="00680577" w:rsidRPr="00512D0D" w:rsidRDefault="00531BFF" w:rsidP="00680577">
      <w:pPr>
        <w:pStyle w:val="EPBodyTA1"/>
      </w:pPr>
      <w:r w:rsidRPr="00512D0D">
        <w:t>TEXTS ADOPTED</w:t>
      </w:r>
    </w:p>
    <w:p w14:paraId="6C4A83BA" w14:textId="77777777" w:rsidR="00D058B8" w:rsidRPr="00512D0D" w:rsidRDefault="00D058B8" w:rsidP="00D058B8">
      <w:pPr>
        <w:pStyle w:val="LineBottom"/>
      </w:pPr>
    </w:p>
    <w:p w14:paraId="01AC6F0F" w14:textId="09CAC90F" w:rsidR="00531BFF" w:rsidRPr="00512D0D" w:rsidRDefault="00531BFF" w:rsidP="00531BFF">
      <w:pPr>
        <w:pStyle w:val="ATHeading1"/>
      </w:pPr>
      <w:bookmarkStart w:id="0" w:name="TANumber"/>
      <w:r w:rsidRPr="00512D0D">
        <w:t>P10_TA(2026)0</w:t>
      </w:r>
      <w:bookmarkEnd w:id="0"/>
      <w:r w:rsidR="00594937">
        <w:t>167</w:t>
      </w:r>
    </w:p>
    <w:p w14:paraId="4F2D48EC" w14:textId="77777777" w:rsidR="00531BFF" w:rsidRPr="00512D0D" w:rsidRDefault="00531BFF" w:rsidP="00531BFF">
      <w:pPr>
        <w:pStyle w:val="ATHeading2"/>
      </w:pPr>
      <w:bookmarkStart w:id="1" w:name="title"/>
      <w:r w:rsidRPr="00512D0D">
        <w:t>Request for the waiver of the immunity of Alvise Pérez</w:t>
      </w:r>
      <w:bookmarkEnd w:id="1"/>
    </w:p>
    <w:p w14:paraId="1753619A" w14:textId="77777777" w:rsidR="00531BFF" w:rsidRPr="00512D0D" w:rsidRDefault="00531BFF" w:rsidP="00531BFF">
      <w:pPr>
        <w:rPr>
          <w:i/>
          <w:vanish/>
        </w:rPr>
      </w:pPr>
      <w:r w:rsidRPr="00512D0D">
        <w:rPr>
          <w:i/>
        </w:rPr>
        <w:fldChar w:fldCharType="begin"/>
      </w:r>
      <w:r w:rsidRPr="00512D0D">
        <w:rPr>
          <w:i/>
        </w:rPr>
        <w:instrText xml:space="preserve"> TC"(</w:instrText>
      </w:r>
      <w:bookmarkStart w:id="2" w:name="DocNumber"/>
      <w:r w:rsidRPr="00512D0D">
        <w:rPr>
          <w:i/>
        </w:rPr>
        <w:instrText>A10-0129/2026</w:instrText>
      </w:r>
      <w:bookmarkEnd w:id="2"/>
      <w:r w:rsidRPr="00512D0D">
        <w:rPr>
          <w:i/>
        </w:rPr>
        <w:instrText xml:space="preserve"> - Rapporteur: Pascale Piera)"\l3 \n&gt; \* MERGEFORMAT </w:instrText>
      </w:r>
      <w:r w:rsidRPr="00512D0D">
        <w:rPr>
          <w:i/>
        </w:rPr>
        <w:fldChar w:fldCharType="end"/>
      </w:r>
    </w:p>
    <w:p w14:paraId="74D40F95" w14:textId="77777777" w:rsidR="00531BFF" w:rsidRPr="00512D0D" w:rsidRDefault="00531BFF" w:rsidP="00531BFF">
      <w:pPr>
        <w:rPr>
          <w:vanish/>
        </w:rPr>
      </w:pPr>
      <w:bookmarkStart w:id="3" w:name="Commission"/>
      <w:r w:rsidRPr="00512D0D">
        <w:rPr>
          <w:vanish/>
        </w:rPr>
        <w:t>Committee on Legal Affairs</w:t>
      </w:r>
      <w:bookmarkEnd w:id="3"/>
    </w:p>
    <w:p w14:paraId="0666C1A4" w14:textId="77777777" w:rsidR="00531BFF" w:rsidRPr="00512D0D" w:rsidRDefault="00531BFF" w:rsidP="00531BFF">
      <w:pPr>
        <w:rPr>
          <w:vanish/>
        </w:rPr>
      </w:pPr>
      <w:bookmarkStart w:id="4" w:name="PE"/>
      <w:r w:rsidRPr="00512D0D">
        <w:rPr>
          <w:vanish/>
        </w:rPr>
        <w:t>PE785.310</w:t>
      </w:r>
      <w:bookmarkEnd w:id="4"/>
    </w:p>
    <w:p w14:paraId="2F1F6375" w14:textId="20A16F50" w:rsidR="00531BFF" w:rsidRPr="00512D0D" w:rsidRDefault="00531BFF" w:rsidP="00531BFF">
      <w:pPr>
        <w:pStyle w:val="ATHeading3"/>
      </w:pPr>
      <w:bookmarkStart w:id="5" w:name="Sujet"/>
      <w:r w:rsidRPr="00512D0D">
        <w:t xml:space="preserve">European Parliament decision of </w:t>
      </w:r>
      <w:r w:rsidR="007F6469" w:rsidRPr="00512D0D">
        <w:t>19</w:t>
      </w:r>
      <w:r w:rsidRPr="00512D0D">
        <w:t xml:space="preserve"> May 2026 on the request for the waiver of the immunity of Alvise Pérez</w:t>
      </w:r>
      <w:bookmarkEnd w:id="5"/>
      <w:r w:rsidRPr="00512D0D">
        <w:t xml:space="preserve"> </w:t>
      </w:r>
      <w:bookmarkStart w:id="6" w:name="References"/>
      <w:r w:rsidRPr="00512D0D">
        <w:t>(2025/2236(IMM))</w:t>
      </w:r>
      <w:bookmarkEnd w:id="6"/>
    </w:p>
    <w:p w14:paraId="259FD0C1" w14:textId="77777777" w:rsidR="00FE4520" w:rsidRPr="00512D0D" w:rsidRDefault="00FE4520" w:rsidP="00FE4520">
      <w:pPr>
        <w:pStyle w:val="EPComma"/>
      </w:pPr>
      <w:bookmarkStart w:id="7" w:name="TextBodyBegin"/>
      <w:bookmarkEnd w:id="7"/>
      <w:r w:rsidRPr="00512D0D">
        <w:rPr>
          <w:i/>
          <w:iCs/>
        </w:rPr>
        <w:t>The European Parliament</w:t>
      </w:r>
      <w:r w:rsidRPr="00512D0D">
        <w:t>,</w:t>
      </w:r>
    </w:p>
    <w:p w14:paraId="7F184205" w14:textId="78ACE6E8" w:rsidR="00FE4520" w:rsidRPr="00512D0D" w:rsidRDefault="00FE4520" w:rsidP="00E320E5">
      <w:pPr>
        <w:pStyle w:val="NormalHanging12a"/>
        <w:widowControl/>
      </w:pPr>
      <w:r w:rsidRPr="00512D0D">
        <w:t>–</w:t>
      </w:r>
      <w:r w:rsidRPr="00512D0D">
        <w:tab/>
        <w:t xml:space="preserve">having regard to the request for the waiver of the immunity of </w:t>
      </w:r>
      <w:r w:rsidR="007F6469" w:rsidRPr="00512D0D">
        <w:t>Alvise Pérez (</w:t>
      </w:r>
      <w:r w:rsidRPr="00512D0D">
        <w:t>Luis Pérez Fernandez</w:t>
      </w:r>
      <w:r w:rsidR="007F6469" w:rsidRPr="00512D0D">
        <w:t>)</w:t>
      </w:r>
      <w:r w:rsidRPr="00512D0D">
        <w:t xml:space="preserve"> </w:t>
      </w:r>
      <w:r w:rsidR="007F6469" w:rsidRPr="00512D0D">
        <w:t xml:space="preserve">submitted </w:t>
      </w:r>
      <w:r w:rsidRPr="00512D0D">
        <w:t>by the Supreme Court</w:t>
      </w:r>
      <w:r w:rsidR="007F6469" w:rsidRPr="00512D0D">
        <w:t xml:space="preserve"> of</w:t>
      </w:r>
      <w:r w:rsidRPr="00512D0D">
        <w:t xml:space="preserve"> Spain</w:t>
      </w:r>
      <w:r w:rsidR="007F6469" w:rsidRPr="00512D0D">
        <w:t xml:space="preserve"> by letter of 31 October 2025</w:t>
      </w:r>
      <w:r w:rsidRPr="00512D0D">
        <w:t xml:space="preserve"> in connection with criminal proceedings and announced in plenary on 12 November 2025,</w:t>
      </w:r>
    </w:p>
    <w:p w14:paraId="60A9A5B6" w14:textId="1C2343E0" w:rsidR="00FE4520" w:rsidRPr="00512D0D" w:rsidRDefault="00FE4520" w:rsidP="00E320E5">
      <w:pPr>
        <w:pStyle w:val="NormalHanging12a"/>
        <w:widowControl/>
      </w:pPr>
      <w:r w:rsidRPr="00512D0D">
        <w:t>–</w:t>
      </w:r>
      <w:r w:rsidRPr="00512D0D">
        <w:tab/>
        <w:t>having regard to the fact that Alvise Pérez is deemed to have renounced his right to be heard</w:t>
      </w:r>
      <w:r w:rsidR="001D31B5" w:rsidRPr="00512D0D">
        <w:t>, in accordance with</w:t>
      </w:r>
      <w:r w:rsidRPr="00512D0D">
        <w:t xml:space="preserve"> Rule 9(6) of its Rules of Procedure,</w:t>
      </w:r>
    </w:p>
    <w:p w14:paraId="67472689" w14:textId="77777777" w:rsidR="00FE4520" w:rsidRPr="00512D0D" w:rsidRDefault="00FE4520" w:rsidP="00E320E5">
      <w:pPr>
        <w:pStyle w:val="NormalHanging12a"/>
        <w:widowControl/>
      </w:pPr>
      <w:r w:rsidRPr="00512D0D">
        <w:t>–</w:t>
      </w:r>
      <w:r w:rsidRPr="00512D0D">
        <w:tab/>
        <w:t>having regard to Articles 8 and 9 of Protocol No 7 on the Privileges and Immunities of the European Union, and Article 6(2) of the Act of 20 September 1976 concerning the election of the members of the European Parliament by direct universal suffrage,</w:t>
      </w:r>
    </w:p>
    <w:p w14:paraId="2F9E336E" w14:textId="77777777" w:rsidR="00FE4520" w:rsidRPr="00512D0D" w:rsidRDefault="00FE4520" w:rsidP="00E320E5">
      <w:pPr>
        <w:pStyle w:val="NormalHanging12a"/>
        <w:widowControl/>
      </w:pPr>
      <w:r w:rsidRPr="00512D0D">
        <w:t>–</w:t>
      </w:r>
      <w:r w:rsidRPr="00512D0D">
        <w:tab/>
        <w:t>having regard to the judgments of the Court of Justice of the European Union of 21 October 2008, 19 March 2010, 6 September 2011, 17 January 2013 and 19 December 2019</w:t>
      </w:r>
      <w:r w:rsidRPr="00512D0D">
        <w:rPr>
          <w:vertAlign w:val="superscript"/>
        </w:rPr>
        <w:footnoteReference w:id="1"/>
      </w:r>
      <w:r w:rsidRPr="00512D0D">
        <w:t>,</w:t>
      </w:r>
    </w:p>
    <w:p w14:paraId="6327DEBF" w14:textId="77777777" w:rsidR="00FE4520" w:rsidRPr="00512D0D" w:rsidRDefault="00FE4520" w:rsidP="00E320E5">
      <w:pPr>
        <w:pStyle w:val="NormalHanging12a"/>
        <w:widowControl/>
      </w:pPr>
      <w:r w:rsidRPr="00512D0D">
        <w:t>–</w:t>
      </w:r>
      <w:r w:rsidRPr="00512D0D">
        <w:tab/>
        <w:t>having regard to Article 71(1) and (2) of the Spanish Constitution,</w:t>
      </w:r>
    </w:p>
    <w:p w14:paraId="0B9932C9" w14:textId="77777777" w:rsidR="00FE4520" w:rsidRPr="00512D0D" w:rsidRDefault="00FE4520" w:rsidP="00E320E5">
      <w:pPr>
        <w:pStyle w:val="NormalHanging12a"/>
        <w:widowControl/>
      </w:pPr>
      <w:r w:rsidRPr="00512D0D">
        <w:t>–</w:t>
      </w:r>
      <w:r w:rsidRPr="00512D0D">
        <w:tab/>
        <w:t>having regard to Rule 5(2), Rule 6(1) and Rule 9 of its Rules of Procedure,</w:t>
      </w:r>
    </w:p>
    <w:p w14:paraId="0F3E03FE" w14:textId="77777777" w:rsidR="00FE4520" w:rsidRPr="00512D0D" w:rsidRDefault="00FE4520" w:rsidP="00E320E5">
      <w:pPr>
        <w:pStyle w:val="NormalHanging12a"/>
        <w:widowControl/>
      </w:pPr>
      <w:r w:rsidRPr="00512D0D">
        <w:t>–</w:t>
      </w:r>
      <w:r w:rsidRPr="00512D0D">
        <w:tab/>
        <w:t>having regard to the report of the Committee on Legal Affairs (A10-0129/2026),</w:t>
      </w:r>
    </w:p>
    <w:p w14:paraId="592BD8E0" w14:textId="07098DAA" w:rsidR="00FE4520" w:rsidRPr="00512D0D" w:rsidRDefault="00FE4520" w:rsidP="00E320E5">
      <w:pPr>
        <w:pStyle w:val="NormalHanging12a"/>
        <w:widowControl/>
      </w:pPr>
      <w:r w:rsidRPr="00512D0D">
        <w:lastRenderedPageBreak/>
        <w:t>A.</w:t>
      </w:r>
      <w:r w:rsidRPr="00512D0D">
        <w:tab/>
        <w:t xml:space="preserve">whereas, by letter dated 31 October 2025, the President of the Supreme Court of Spain </w:t>
      </w:r>
      <w:r w:rsidR="001D31B5" w:rsidRPr="00512D0D">
        <w:t xml:space="preserve">submitted a </w:t>
      </w:r>
      <w:r w:rsidRPr="00512D0D">
        <w:t>request</w:t>
      </w:r>
      <w:r w:rsidR="001D31B5" w:rsidRPr="00512D0D">
        <w:t xml:space="preserve"> for </w:t>
      </w:r>
      <w:r w:rsidRPr="00512D0D">
        <w:t xml:space="preserve">the waiver of the immunity of Alvise Pérez, </w:t>
      </w:r>
      <w:bookmarkStart w:id="8" w:name="_Hlk222405545"/>
      <w:r w:rsidRPr="00512D0D">
        <w:t>Member of the European Parliament elected in</w:t>
      </w:r>
      <w:bookmarkEnd w:id="8"/>
      <w:r w:rsidRPr="00512D0D">
        <w:t xml:space="preserve"> Spain, in connection with alleged offences that occurred in </w:t>
      </w:r>
      <w:proofErr w:type="gramStart"/>
      <w:r w:rsidRPr="00512D0D">
        <w:t>2024;</w:t>
      </w:r>
      <w:proofErr w:type="gramEnd"/>
    </w:p>
    <w:p w14:paraId="022BECA9" w14:textId="53568934" w:rsidR="00FE4520" w:rsidRPr="00512D0D" w:rsidRDefault="00FE4520" w:rsidP="00E320E5">
      <w:pPr>
        <w:pStyle w:val="NormalHanging12a"/>
        <w:widowControl/>
      </w:pPr>
      <w:r w:rsidRPr="00512D0D">
        <w:t>B.</w:t>
      </w:r>
      <w:r w:rsidRPr="00512D0D">
        <w:tab/>
        <w:t xml:space="preserve">whereas the request states that, between 7 April </w:t>
      </w:r>
      <w:r w:rsidR="006935B6" w:rsidRPr="00512D0D">
        <w:t xml:space="preserve">2024 </w:t>
      </w:r>
      <w:r w:rsidRPr="00512D0D">
        <w:t>and 27 May 2024, Alvise Pérez allegedly maintained links with an advisor acting on behalf of natural and legal persons with a view to obtaining economic benefits through tax optimisation schemes with the aim of creating a ‘portfolio’ to raise funds to finance the electoral campaign of the political party founded by Alvise Pérez</w:t>
      </w:r>
      <w:r w:rsidR="001D31B5" w:rsidRPr="00512D0D">
        <w:t xml:space="preserve"> called </w:t>
      </w:r>
      <w:r w:rsidRPr="00512D0D">
        <w:t>‘</w:t>
      </w:r>
      <w:r w:rsidRPr="00512D0D">
        <w:rPr>
          <w:i/>
          <w:iCs/>
        </w:rPr>
        <w:t xml:space="preserve">Se </w:t>
      </w:r>
      <w:proofErr w:type="spellStart"/>
      <w:r w:rsidRPr="00512D0D">
        <w:rPr>
          <w:i/>
          <w:iCs/>
        </w:rPr>
        <w:t>Acabó</w:t>
      </w:r>
      <w:proofErr w:type="spellEnd"/>
      <w:r w:rsidRPr="00512D0D">
        <w:rPr>
          <w:i/>
          <w:iCs/>
        </w:rPr>
        <w:t xml:space="preserve"> La Fiesta</w:t>
      </w:r>
      <w:r w:rsidRPr="00512D0D">
        <w:t>’ (The Party is Over); whereas, according to the request, the advisor who set up this ‘portfolio’ is alleged to have paid an advance sum of EUR 100 000 to Alvise Pérez for th</w:t>
      </w:r>
      <w:r w:rsidR="001D31B5" w:rsidRPr="00512D0D">
        <w:t>at</w:t>
      </w:r>
      <w:r w:rsidRPr="00512D0D">
        <w:t xml:space="preserve"> political party in view of the European elections; whereas the alleged facts may constitute offences of illegal funding of a political party </w:t>
      </w:r>
      <w:r w:rsidR="00B933F8" w:rsidRPr="00512D0D">
        <w:t>under</w:t>
      </w:r>
      <w:r w:rsidRPr="00512D0D">
        <w:t xml:space="preserve"> Article 304a(1) of the Spanish Criminal Code and an electoral offence under Article 149(1) of </w:t>
      </w:r>
      <w:r w:rsidR="00B933F8" w:rsidRPr="00512D0D">
        <w:t xml:space="preserve">Spanish </w:t>
      </w:r>
      <w:r w:rsidRPr="00512D0D">
        <w:t>Organic Law No 5/1985 of 19 June 1985 on the general electoral system; whereas the investigation procedure was initiated by order of 20 September 2024;</w:t>
      </w:r>
    </w:p>
    <w:p w14:paraId="6A22B65B" w14:textId="3CE74294" w:rsidR="00FE4520" w:rsidRPr="00512D0D" w:rsidRDefault="00FE4520" w:rsidP="00E320E5">
      <w:pPr>
        <w:pStyle w:val="NormalHanging12a"/>
        <w:widowControl/>
      </w:pPr>
      <w:r w:rsidRPr="00512D0D">
        <w:t>C.</w:t>
      </w:r>
      <w:r w:rsidRPr="00512D0D">
        <w:tab/>
        <w:t>whereas Alvise Pérez was elected to the European Parliament in</w:t>
      </w:r>
      <w:r w:rsidR="00C35D8E" w:rsidRPr="00512D0D">
        <w:t xml:space="preserve"> </w:t>
      </w:r>
      <w:r w:rsidRPr="00512D0D">
        <w:t xml:space="preserve">the </w:t>
      </w:r>
      <w:r w:rsidR="00C35D8E" w:rsidRPr="00512D0D">
        <w:t xml:space="preserve">June 2024 </w:t>
      </w:r>
      <w:r w:rsidRPr="00512D0D">
        <w:t>European elections and was</w:t>
      </w:r>
      <w:r w:rsidR="003904D1" w:rsidRPr="00512D0D">
        <w:t>, therefore,</w:t>
      </w:r>
      <w:r w:rsidRPr="00512D0D">
        <w:t xml:space="preserve"> not a Member of the European Parliament at the time of the alleged </w:t>
      </w:r>
      <w:proofErr w:type="gramStart"/>
      <w:r w:rsidRPr="00512D0D">
        <w:t>offences;</w:t>
      </w:r>
      <w:proofErr w:type="gramEnd"/>
    </w:p>
    <w:p w14:paraId="50BAAC48" w14:textId="77777777" w:rsidR="00FE4520" w:rsidRPr="00512D0D" w:rsidRDefault="00FE4520" w:rsidP="00E320E5">
      <w:pPr>
        <w:pStyle w:val="NormalHanging12a"/>
        <w:widowControl/>
      </w:pPr>
      <w:r w:rsidRPr="00512D0D">
        <w:t>D.</w:t>
      </w:r>
      <w:r w:rsidRPr="00512D0D">
        <w:tab/>
        <w:t xml:space="preserve">whereas the alleged offences do not constitute, and the subsequent request for the waiver of the immunity of Alvise Pérez is not related to, an opinion expressed or a vote cast by him in the performance of his duties within the meaning of Article 8 of Protocol No 7 on the Privileges and Immunities of the European </w:t>
      </w:r>
      <w:proofErr w:type="gramStart"/>
      <w:r w:rsidRPr="00512D0D">
        <w:t>Union;</w:t>
      </w:r>
      <w:proofErr w:type="gramEnd"/>
    </w:p>
    <w:p w14:paraId="2470343A" w14:textId="1A3E87E7" w:rsidR="00FE4520" w:rsidRPr="00512D0D" w:rsidRDefault="00FE4520" w:rsidP="00E320E5">
      <w:pPr>
        <w:pStyle w:val="NormalHanging12a"/>
        <w:widowControl/>
      </w:pPr>
      <w:r w:rsidRPr="00512D0D">
        <w:t>E.</w:t>
      </w:r>
      <w:r w:rsidRPr="00512D0D">
        <w:tab/>
        <w:t xml:space="preserve">whereas Article 9, first paragraph, point (a), of Protocol No 7 on the Privileges and Immunities of the European Union provides that, during the sessions of the European Parliament, </w:t>
      </w:r>
      <w:r w:rsidR="003904D1" w:rsidRPr="00512D0D">
        <w:t xml:space="preserve">its </w:t>
      </w:r>
      <w:proofErr w:type="gramStart"/>
      <w:r w:rsidRPr="00512D0D">
        <w:t>Members</w:t>
      </w:r>
      <w:proofErr w:type="gramEnd"/>
      <w:r w:rsidRPr="00512D0D">
        <w:t xml:space="preserve"> are to enjoy, in the territory of their own </w:t>
      </w:r>
      <w:r w:rsidR="003904D1" w:rsidRPr="00512D0D">
        <w:t>Member S</w:t>
      </w:r>
      <w:r w:rsidRPr="00512D0D">
        <w:t>tate, the immunities accorded to members of the parliament</w:t>
      </w:r>
      <w:r w:rsidR="003904D1" w:rsidRPr="00512D0D">
        <w:t xml:space="preserve"> of their Member State</w:t>
      </w:r>
      <w:r w:rsidRPr="00512D0D">
        <w:t>;</w:t>
      </w:r>
    </w:p>
    <w:p w14:paraId="7F906863" w14:textId="77777777" w:rsidR="00FE4520" w:rsidRPr="00512D0D" w:rsidRDefault="00FE4520" w:rsidP="00E320E5">
      <w:pPr>
        <w:pStyle w:val="NormalHanging12a"/>
        <w:widowControl/>
      </w:pPr>
      <w:r w:rsidRPr="00512D0D">
        <w:t>F.</w:t>
      </w:r>
      <w:r w:rsidRPr="00512D0D">
        <w:tab/>
        <w:t>whereas Article 71(1) and (2) of the Spanish Constitution provides that:</w:t>
      </w:r>
    </w:p>
    <w:p w14:paraId="62019D91" w14:textId="77777777" w:rsidR="00FE4520" w:rsidRPr="00512D0D" w:rsidRDefault="00FE4520" w:rsidP="00E320E5">
      <w:pPr>
        <w:pStyle w:val="NormalHanging12a"/>
        <w:widowControl/>
        <w:ind w:left="1134"/>
        <w:rPr>
          <w:i/>
        </w:rPr>
      </w:pPr>
      <w:r w:rsidRPr="00512D0D">
        <w:rPr>
          <w:i/>
        </w:rPr>
        <w:t xml:space="preserve">‘1. </w:t>
      </w:r>
      <w:r w:rsidRPr="00512D0D">
        <w:rPr>
          <w:i/>
        </w:rPr>
        <w:tab/>
        <w:t>Deputies and senators shall enjoy absolute privilege in respect of opinions expressed in the performance of their duties.</w:t>
      </w:r>
    </w:p>
    <w:p w14:paraId="7306AA66" w14:textId="77777777" w:rsidR="00FE4520" w:rsidRPr="00512D0D" w:rsidRDefault="00FE4520" w:rsidP="00E320E5">
      <w:pPr>
        <w:pStyle w:val="NormalHanging12a"/>
        <w:widowControl/>
        <w:ind w:left="1134"/>
      </w:pPr>
      <w:r w:rsidRPr="00512D0D">
        <w:rPr>
          <w:i/>
        </w:rPr>
        <w:t xml:space="preserve">2. </w:t>
      </w:r>
      <w:r w:rsidRPr="00512D0D">
        <w:rPr>
          <w:i/>
        </w:rPr>
        <w:tab/>
        <w:t>During their term of office, deputies and senators shall also have immunity and may only be arrested if they are found in the act of committing an offence. They cannot be charged or prosecuted without the prior authorisation of the relevant legislative chamber.</w:t>
      </w:r>
      <w:proofErr w:type="gramStart"/>
      <w:r w:rsidRPr="00512D0D">
        <w:rPr>
          <w:i/>
        </w:rPr>
        <w:t>’;</w:t>
      </w:r>
      <w:proofErr w:type="gramEnd"/>
    </w:p>
    <w:p w14:paraId="61C40C61" w14:textId="77777777" w:rsidR="00FE4520" w:rsidRPr="00512D0D" w:rsidRDefault="00FE4520" w:rsidP="00E320E5">
      <w:pPr>
        <w:pStyle w:val="NormalHanging12a"/>
        <w:widowControl/>
      </w:pPr>
      <w:r w:rsidRPr="00512D0D">
        <w:t>G.</w:t>
      </w:r>
      <w:r w:rsidRPr="00512D0D">
        <w:tab/>
        <w:t xml:space="preserve">whereas the purpose of the immunity </w:t>
      </w:r>
      <w:bookmarkStart w:id="9" w:name="_Hlk222405989"/>
      <w:r w:rsidRPr="00512D0D">
        <w:t>provided for in Protocol No 7 on the Privileges and Immunities of the European Union</w:t>
      </w:r>
      <w:bookmarkEnd w:id="9"/>
      <w:r w:rsidRPr="00512D0D">
        <w:t xml:space="preserve"> is to protect Parliament and its Members from legal proceedings in relation to activities that are carried out in the performance of parliamentary </w:t>
      </w:r>
      <w:proofErr w:type="gramStart"/>
      <w:r w:rsidRPr="00512D0D">
        <w:t>duties</w:t>
      </w:r>
      <w:proofErr w:type="gramEnd"/>
      <w:r w:rsidRPr="00512D0D">
        <w:t xml:space="preserve"> and which cannot be separated from those;</w:t>
      </w:r>
    </w:p>
    <w:p w14:paraId="391BD2DC" w14:textId="6BF05E31" w:rsidR="00FE4520" w:rsidRPr="00512D0D" w:rsidRDefault="00FE4520" w:rsidP="00E320E5">
      <w:pPr>
        <w:pStyle w:val="NormalHanging12a"/>
        <w:widowControl/>
      </w:pPr>
      <w:r w:rsidRPr="00512D0D">
        <w:t>H.</w:t>
      </w:r>
      <w:r w:rsidRPr="00512D0D">
        <w:tab/>
        <w:t xml:space="preserve">whereas, in accordance with Rule 5(2) of the Rules of Procedure, parliamentary immunity is not a </w:t>
      </w:r>
      <w:proofErr w:type="gramStart"/>
      <w:r w:rsidR="003904D1" w:rsidRPr="00512D0D">
        <w:t>Member’s</w:t>
      </w:r>
      <w:proofErr w:type="gramEnd"/>
      <w:r w:rsidR="003904D1" w:rsidRPr="00512D0D">
        <w:t xml:space="preserve"> </w:t>
      </w:r>
      <w:r w:rsidRPr="00512D0D">
        <w:t>personal privilege but a guarantee of the independence of Parliament as a whole and of its Members;</w:t>
      </w:r>
    </w:p>
    <w:p w14:paraId="7B7511CB" w14:textId="6C7A3641" w:rsidR="00FE4520" w:rsidRPr="00512D0D" w:rsidRDefault="00FE4520" w:rsidP="00E320E5">
      <w:pPr>
        <w:pStyle w:val="NormalHanging12a"/>
        <w:widowControl/>
      </w:pPr>
      <w:r w:rsidRPr="00512D0D">
        <w:lastRenderedPageBreak/>
        <w:t>I.</w:t>
      </w:r>
      <w:r w:rsidRPr="00512D0D">
        <w:tab/>
        <w:t xml:space="preserve">whereas, in this case, Parliament has found no evidence of </w:t>
      </w:r>
      <w:proofErr w:type="spellStart"/>
      <w:r w:rsidRPr="00512D0D">
        <w:rPr>
          <w:i/>
          <w:iCs/>
        </w:rPr>
        <w:t>fumus</w:t>
      </w:r>
      <w:proofErr w:type="spellEnd"/>
      <w:r w:rsidRPr="00512D0D">
        <w:rPr>
          <w:i/>
          <w:iCs/>
        </w:rPr>
        <w:t xml:space="preserve"> </w:t>
      </w:r>
      <w:proofErr w:type="spellStart"/>
      <w:r w:rsidRPr="00512D0D">
        <w:rPr>
          <w:i/>
          <w:iCs/>
        </w:rPr>
        <w:t>persecutionis</w:t>
      </w:r>
      <w:proofErr w:type="spellEnd"/>
      <w:r w:rsidRPr="00512D0D">
        <w:t xml:space="preserve">, that is to say </w:t>
      </w:r>
      <w:r w:rsidR="003904D1" w:rsidRPr="00512D0D">
        <w:t xml:space="preserve">it does not appear </w:t>
      </w:r>
      <w:r w:rsidRPr="00512D0D">
        <w:t xml:space="preserve">that the intention underlying the legal proceedings is to </w:t>
      </w:r>
      <w:r w:rsidR="003904D1" w:rsidRPr="00512D0D">
        <w:t xml:space="preserve">damage </w:t>
      </w:r>
      <w:r w:rsidRPr="00512D0D">
        <w:t>Alvise Pérez’s political activity as a Member of the European Parliament</w:t>
      </w:r>
      <w:r w:rsidR="003904D1" w:rsidRPr="00512D0D">
        <w:rPr>
          <w:bCs/>
        </w:rPr>
        <w:t xml:space="preserve"> and thus Parliament’s </w:t>
      </w:r>
      <w:proofErr w:type="gramStart"/>
      <w:r w:rsidR="003904D1" w:rsidRPr="00512D0D">
        <w:rPr>
          <w:bCs/>
        </w:rPr>
        <w:t>independence</w:t>
      </w:r>
      <w:r w:rsidRPr="00512D0D">
        <w:t>;</w:t>
      </w:r>
      <w:proofErr w:type="gramEnd"/>
    </w:p>
    <w:p w14:paraId="55388AB6" w14:textId="7ED6FAB5" w:rsidR="00FE4520" w:rsidRPr="00512D0D" w:rsidRDefault="00FE4520" w:rsidP="00E320E5">
      <w:pPr>
        <w:pStyle w:val="NormalHanging12a"/>
        <w:widowControl/>
      </w:pPr>
      <w:r w:rsidRPr="00512D0D">
        <w:t>J.</w:t>
      </w:r>
      <w:r w:rsidRPr="00512D0D">
        <w:tab/>
        <w:t xml:space="preserve">whereas Parliament cannot assume the role of a court and, in a waiver of immunity procedure, a </w:t>
      </w:r>
      <w:proofErr w:type="gramStart"/>
      <w:r w:rsidRPr="00512D0D">
        <w:t>Member</w:t>
      </w:r>
      <w:proofErr w:type="gramEnd"/>
      <w:r w:rsidRPr="00512D0D">
        <w:t xml:space="preserve"> cannot be regarded as a defendant</w:t>
      </w:r>
      <w:r w:rsidRPr="00512D0D">
        <w:rPr>
          <w:vertAlign w:val="superscript"/>
        </w:rPr>
        <w:footnoteReference w:id="2"/>
      </w:r>
      <w:r w:rsidRPr="00512D0D">
        <w:t>;</w:t>
      </w:r>
    </w:p>
    <w:p w14:paraId="752E4C98" w14:textId="77777777" w:rsidR="00FE4520" w:rsidRPr="00512D0D" w:rsidRDefault="00FE4520" w:rsidP="00E320E5">
      <w:pPr>
        <w:pStyle w:val="NormalHanging12a"/>
        <w:widowControl/>
      </w:pPr>
      <w:r w:rsidRPr="00512D0D">
        <w:t>1.</w:t>
      </w:r>
      <w:r w:rsidRPr="00512D0D">
        <w:tab/>
        <w:t xml:space="preserve">Decides to waive the immunity of Alvise </w:t>
      </w:r>
      <w:proofErr w:type="gramStart"/>
      <w:r w:rsidRPr="00512D0D">
        <w:t>Pérez;</w:t>
      </w:r>
      <w:proofErr w:type="gramEnd"/>
    </w:p>
    <w:p w14:paraId="0C3D5351" w14:textId="3E1D53F5" w:rsidR="003848CF" w:rsidRPr="003848CF" w:rsidRDefault="00FE4520" w:rsidP="00E320E5">
      <w:pPr>
        <w:pStyle w:val="NormalHanging12a"/>
        <w:widowControl/>
      </w:pPr>
      <w:r w:rsidRPr="00512D0D">
        <w:t>2.</w:t>
      </w:r>
      <w:r w:rsidRPr="00512D0D">
        <w:tab/>
        <w:t>Instructs its President to forward this decision</w:t>
      </w:r>
      <w:r w:rsidR="003904D1" w:rsidRPr="00512D0D">
        <w:t>,</w:t>
      </w:r>
      <w:r w:rsidRPr="00512D0D">
        <w:t xml:space="preserve"> and the report of its committee responsible</w:t>
      </w:r>
      <w:r w:rsidR="003904D1" w:rsidRPr="00512D0D">
        <w:t>,</w:t>
      </w:r>
      <w:r w:rsidRPr="00512D0D">
        <w:t xml:space="preserve"> immediately to the </w:t>
      </w:r>
      <w:r w:rsidR="007D5AC3" w:rsidRPr="00512D0D">
        <w:t xml:space="preserve">competent </w:t>
      </w:r>
      <w:r w:rsidRPr="00512D0D">
        <w:t>authorit</w:t>
      </w:r>
      <w:r w:rsidR="007D5AC3" w:rsidRPr="00512D0D">
        <w:t>y of the Kingdom of Spain</w:t>
      </w:r>
      <w:r w:rsidR="001565FC" w:rsidRPr="00512D0D">
        <w:t xml:space="preserve"> </w:t>
      </w:r>
      <w:r w:rsidRPr="00512D0D">
        <w:t xml:space="preserve">and </w:t>
      </w:r>
      <w:r w:rsidR="001565FC" w:rsidRPr="00512D0D">
        <w:t xml:space="preserve">to </w:t>
      </w:r>
      <w:r w:rsidRPr="00512D0D">
        <w:t>Alvise Pérez.</w:t>
      </w:r>
      <w:r w:rsidRPr="003848CF">
        <w:t xml:space="preserve"> </w:t>
      </w:r>
    </w:p>
    <w:p w14:paraId="4D1C9E40" w14:textId="6F2DF81D" w:rsidR="00E365E1" w:rsidRPr="003848CF" w:rsidRDefault="00E365E1" w:rsidP="00E320E5">
      <w:pPr>
        <w:widowControl/>
        <w:spacing w:after="240"/>
        <w:ind w:left="567" w:hanging="567"/>
      </w:pPr>
    </w:p>
    <w:sectPr w:rsidR="00E365E1" w:rsidRPr="003848CF" w:rsidSect="003848C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E8E2" w14:textId="77777777" w:rsidR="00531BFF" w:rsidRPr="003848CF" w:rsidRDefault="00531BFF">
      <w:r w:rsidRPr="003848CF">
        <w:separator/>
      </w:r>
    </w:p>
  </w:endnote>
  <w:endnote w:type="continuationSeparator" w:id="0">
    <w:p w14:paraId="7D76F4CF" w14:textId="77777777" w:rsidR="00531BFF" w:rsidRPr="003848CF" w:rsidRDefault="00531BFF">
      <w:r w:rsidRPr="00384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FC89" w14:textId="77777777" w:rsidR="00064002" w:rsidRPr="003848C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E7DB" w14:textId="77777777" w:rsidR="00064002" w:rsidRPr="003848C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8CE7" w14:textId="77777777" w:rsidR="00064002" w:rsidRPr="003848C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0D54" w14:textId="77777777" w:rsidR="00531BFF" w:rsidRPr="003848CF" w:rsidRDefault="00531BFF">
      <w:r w:rsidRPr="003848CF">
        <w:separator/>
      </w:r>
    </w:p>
  </w:footnote>
  <w:footnote w:type="continuationSeparator" w:id="0">
    <w:p w14:paraId="3D406B60" w14:textId="77777777" w:rsidR="00531BFF" w:rsidRPr="003848CF" w:rsidRDefault="00531BFF">
      <w:r w:rsidRPr="003848CF">
        <w:continuationSeparator/>
      </w:r>
    </w:p>
  </w:footnote>
  <w:footnote w:id="1">
    <w:p w14:paraId="70DF6A2D" w14:textId="46663CAB" w:rsidR="00FE4520" w:rsidRPr="003848CF" w:rsidRDefault="00FE4520" w:rsidP="00E320E5">
      <w:pPr>
        <w:pStyle w:val="FootnoteText"/>
        <w:keepLines w:val="0"/>
        <w:ind w:left="567" w:hanging="567"/>
        <w:rPr>
          <w:sz w:val="24"/>
          <w:lang w:val="en-GB"/>
        </w:rPr>
      </w:pPr>
      <w:r w:rsidRPr="003848CF">
        <w:rPr>
          <w:rStyle w:val="FootnoteReference"/>
          <w:sz w:val="24"/>
          <w:lang w:val="en-GB"/>
        </w:rPr>
        <w:footnoteRef/>
      </w:r>
      <w:r w:rsidR="003848CF" w:rsidRPr="003848CF">
        <w:rPr>
          <w:sz w:val="24"/>
          <w:lang w:val="en-GB"/>
        </w:rPr>
        <w:t xml:space="preserve"> </w:t>
      </w:r>
      <w:r w:rsidR="003848CF" w:rsidRPr="003848CF">
        <w:rPr>
          <w:sz w:val="24"/>
          <w:lang w:val="en-GB"/>
        </w:rPr>
        <w:tab/>
      </w:r>
      <w:r w:rsidRPr="003848CF">
        <w:rPr>
          <w:sz w:val="24"/>
          <w:lang w:val="en-GB"/>
        </w:rPr>
        <w:t xml:space="preserve">Judgment of the Court of Justice of 21 October 2008, </w:t>
      </w:r>
      <w:r w:rsidRPr="003848CF">
        <w:rPr>
          <w:i/>
          <w:iCs/>
          <w:sz w:val="24"/>
          <w:lang w:val="en-GB"/>
        </w:rPr>
        <w:t>Marra</w:t>
      </w:r>
      <w:r w:rsidRPr="003848CF">
        <w:rPr>
          <w:sz w:val="24"/>
          <w:lang w:val="en-GB"/>
        </w:rPr>
        <w:t xml:space="preserve"> v </w:t>
      </w:r>
      <w:r w:rsidRPr="003848CF">
        <w:rPr>
          <w:i/>
          <w:iCs/>
          <w:sz w:val="24"/>
          <w:lang w:val="en-GB"/>
        </w:rPr>
        <w:t>De Gregorio and Clemente</w:t>
      </w:r>
      <w:r w:rsidRPr="003848CF">
        <w:rPr>
          <w:sz w:val="24"/>
          <w:lang w:val="en-GB"/>
        </w:rPr>
        <w:t xml:space="preserve">, C‑200/07 and C-201/07, ECLI:EU:C:2008:579; judgment of the General Court of 19 March 2010, </w:t>
      </w:r>
      <w:proofErr w:type="spellStart"/>
      <w:r w:rsidRPr="003848CF">
        <w:rPr>
          <w:i/>
          <w:iCs/>
          <w:sz w:val="24"/>
          <w:lang w:val="en-GB"/>
        </w:rPr>
        <w:t>Gollnisch</w:t>
      </w:r>
      <w:proofErr w:type="spellEnd"/>
      <w:r w:rsidRPr="003848CF">
        <w:rPr>
          <w:sz w:val="24"/>
          <w:lang w:val="en-GB"/>
        </w:rPr>
        <w:t xml:space="preserve"> v </w:t>
      </w:r>
      <w:r w:rsidRPr="003848CF">
        <w:rPr>
          <w:i/>
          <w:iCs/>
          <w:sz w:val="24"/>
          <w:lang w:val="en-GB"/>
        </w:rPr>
        <w:t>Parliament</w:t>
      </w:r>
      <w:r w:rsidRPr="003848CF">
        <w:rPr>
          <w:sz w:val="24"/>
          <w:lang w:val="en-GB"/>
        </w:rPr>
        <w:t xml:space="preserve">, T-42/06, ECLI:EU:T:2010:102; judgment of the Court of Justice of 6 September 2011, </w:t>
      </w:r>
      <w:proofErr w:type="spellStart"/>
      <w:r w:rsidRPr="003848CF">
        <w:rPr>
          <w:i/>
          <w:iCs/>
          <w:sz w:val="24"/>
          <w:lang w:val="en-GB"/>
        </w:rPr>
        <w:t>Patriciello</w:t>
      </w:r>
      <w:proofErr w:type="spellEnd"/>
      <w:r w:rsidRPr="003848CF">
        <w:rPr>
          <w:sz w:val="24"/>
          <w:lang w:val="en-GB"/>
        </w:rPr>
        <w:t xml:space="preserve">, C-163/10, ECLI:EU:C:2011:543; judgment of the General Court of 17 January 2013, </w:t>
      </w:r>
      <w:proofErr w:type="spellStart"/>
      <w:r w:rsidRPr="003848CF">
        <w:rPr>
          <w:i/>
          <w:iCs/>
          <w:sz w:val="24"/>
          <w:lang w:val="en-GB"/>
        </w:rPr>
        <w:t>Gollnisch</w:t>
      </w:r>
      <w:proofErr w:type="spellEnd"/>
      <w:r w:rsidRPr="003848CF">
        <w:rPr>
          <w:sz w:val="24"/>
          <w:lang w:val="en-GB"/>
        </w:rPr>
        <w:t xml:space="preserve"> v </w:t>
      </w:r>
      <w:r w:rsidRPr="003848CF">
        <w:rPr>
          <w:i/>
          <w:iCs/>
          <w:sz w:val="24"/>
          <w:lang w:val="en-GB"/>
        </w:rPr>
        <w:t>Parliament</w:t>
      </w:r>
      <w:r w:rsidRPr="003848CF">
        <w:rPr>
          <w:sz w:val="24"/>
          <w:lang w:val="en-GB"/>
        </w:rPr>
        <w:t xml:space="preserve">, T-346/11 and T-347/11, ECLI:EU:T:2013:23; judgment of the Court of Justice of 19 December 2019, </w:t>
      </w:r>
      <w:r w:rsidRPr="003848CF">
        <w:rPr>
          <w:i/>
          <w:iCs/>
          <w:sz w:val="24"/>
          <w:lang w:val="en-GB"/>
        </w:rPr>
        <w:t>Junqueras Vies</w:t>
      </w:r>
      <w:r w:rsidRPr="003848CF">
        <w:rPr>
          <w:sz w:val="24"/>
          <w:lang w:val="en-GB"/>
        </w:rPr>
        <w:t>, C-502/19, ECLI:EU:C:2019:1115.</w:t>
      </w:r>
    </w:p>
  </w:footnote>
  <w:footnote w:id="2">
    <w:p w14:paraId="45F9311D" w14:textId="30AD5752" w:rsidR="00FE4520" w:rsidRPr="003848CF" w:rsidRDefault="00FE4520" w:rsidP="00E320E5">
      <w:pPr>
        <w:pStyle w:val="FootnoteText"/>
        <w:keepLines w:val="0"/>
        <w:ind w:left="567" w:hanging="567"/>
        <w:rPr>
          <w:sz w:val="24"/>
          <w:lang w:val="en-GB"/>
        </w:rPr>
      </w:pPr>
      <w:r w:rsidRPr="003848CF">
        <w:rPr>
          <w:rStyle w:val="FootnoteReference"/>
          <w:sz w:val="24"/>
          <w:lang w:val="en-GB"/>
        </w:rPr>
        <w:footnoteRef/>
      </w:r>
      <w:r w:rsidR="003848CF" w:rsidRPr="003848CF">
        <w:rPr>
          <w:sz w:val="24"/>
          <w:lang w:val="en-GB"/>
        </w:rPr>
        <w:t xml:space="preserve"> </w:t>
      </w:r>
      <w:r w:rsidR="003848CF" w:rsidRPr="003848CF">
        <w:rPr>
          <w:sz w:val="24"/>
          <w:lang w:val="en-GB"/>
        </w:rPr>
        <w:tab/>
      </w:r>
      <w:r w:rsidRPr="003848CF">
        <w:rPr>
          <w:sz w:val="24"/>
          <w:lang w:val="en-GB"/>
        </w:rPr>
        <w:t xml:space="preserve">Judgment of the General Court of 30 April 2019, </w:t>
      </w:r>
      <w:proofErr w:type="spellStart"/>
      <w:r w:rsidRPr="003848CF">
        <w:rPr>
          <w:i/>
          <w:iCs/>
          <w:sz w:val="24"/>
          <w:lang w:val="en-GB"/>
        </w:rPr>
        <w:t>Briois</w:t>
      </w:r>
      <w:proofErr w:type="spellEnd"/>
      <w:r w:rsidRPr="003848CF">
        <w:rPr>
          <w:sz w:val="24"/>
          <w:lang w:val="en-GB"/>
        </w:rPr>
        <w:t xml:space="preserve"> v </w:t>
      </w:r>
      <w:r w:rsidRPr="003848CF">
        <w:rPr>
          <w:i/>
          <w:iCs/>
          <w:sz w:val="24"/>
          <w:lang w:val="en-GB"/>
        </w:rPr>
        <w:t>Parliament</w:t>
      </w:r>
      <w:r w:rsidRPr="003848CF">
        <w:rPr>
          <w:sz w:val="24"/>
          <w:lang w:val="en-GB"/>
        </w:rPr>
        <w:t>, T-214/18, ECLI:</w:t>
      </w:r>
      <w:proofErr w:type="gramStart"/>
      <w:r w:rsidRPr="003848CF">
        <w:rPr>
          <w:sz w:val="24"/>
          <w:lang w:val="en-GB"/>
        </w:rPr>
        <w:t>EU:T</w:t>
      </w:r>
      <w:proofErr w:type="gramEnd"/>
      <w:r w:rsidRPr="003848CF">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5B94" w14:textId="77777777" w:rsidR="00064002" w:rsidRPr="003848C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24F1" w14:textId="77777777" w:rsidR="00064002" w:rsidRPr="003848C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3520" w14:textId="77777777" w:rsidR="00064002" w:rsidRPr="003848C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49237560">
    <w:abstractNumId w:val="9"/>
  </w:num>
  <w:num w:numId="2" w16cid:durableId="1616206572">
    <w:abstractNumId w:val="9"/>
  </w:num>
  <w:num w:numId="3" w16cid:durableId="259336052">
    <w:abstractNumId w:val="7"/>
  </w:num>
  <w:num w:numId="4" w16cid:durableId="1143234515">
    <w:abstractNumId w:val="7"/>
  </w:num>
  <w:num w:numId="5" w16cid:durableId="1834444315">
    <w:abstractNumId w:val="6"/>
  </w:num>
  <w:num w:numId="6" w16cid:durableId="1957567235">
    <w:abstractNumId w:val="6"/>
  </w:num>
  <w:num w:numId="7" w16cid:durableId="259338929">
    <w:abstractNumId w:val="5"/>
  </w:num>
  <w:num w:numId="8" w16cid:durableId="1309285963">
    <w:abstractNumId w:val="5"/>
  </w:num>
  <w:num w:numId="9" w16cid:durableId="1006785630">
    <w:abstractNumId w:val="4"/>
  </w:num>
  <w:num w:numId="10" w16cid:durableId="1202287158">
    <w:abstractNumId w:val="4"/>
  </w:num>
  <w:num w:numId="11" w16cid:durableId="1074861152">
    <w:abstractNumId w:val="8"/>
  </w:num>
  <w:num w:numId="12" w16cid:durableId="573049596">
    <w:abstractNumId w:val="8"/>
  </w:num>
  <w:num w:numId="13" w16cid:durableId="673342528">
    <w:abstractNumId w:val="3"/>
  </w:num>
  <w:num w:numId="14" w16cid:durableId="151340949">
    <w:abstractNumId w:val="3"/>
  </w:num>
  <w:num w:numId="15" w16cid:durableId="899437690">
    <w:abstractNumId w:val="2"/>
  </w:num>
  <w:num w:numId="16" w16cid:durableId="343748128">
    <w:abstractNumId w:val="2"/>
  </w:num>
  <w:num w:numId="17" w16cid:durableId="911935514">
    <w:abstractNumId w:val="1"/>
  </w:num>
  <w:num w:numId="18" w16cid:durableId="1432241845">
    <w:abstractNumId w:val="1"/>
  </w:num>
  <w:num w:numId="19" w16cid:durableId="79984376">
    <w:abstractNumId w:val="0"/>
  </w:num>
  <w:num w:numId="20" w16cid:durableId="1000474072">
    <w:abstractNumId w:val="0"/>
  </w:num>
  <w:num w:numId="21" w16cid:durableId="85080532">
    <w:abstractNumId w:val="9"/>
  </w:num>
  <w:num w:numId="22" w16cid:durableId="1715810357">
    <w:abstractNumId w:val="7"/>
  </w:num>
  <w:num w:numId="23" w16cid:durableId="455175607">
    <w:abstractNumId w:val="6"/>
  </w:num>
  <w:num w:numId="24" w16cid:durableId="1431320677">
    <w:abstractNumId w:val="5"/>
  </w:num>
  <w:num w:numId="25" w16cid:durableId="1497497996">
    <w:abstractNumId w:val="4"/>
  </w:num>
  <w:num w:numId="26" w16cid:durableId="922838280">
    <w:abstractNumId w:val="8"/>
  </w:num>
  <w:num w:numId="27" w16cid:durableId="1527448667">
    <w:abstractNumId w:val="3"/>
  </w:num>
  <w:num w:numId="28" w16cid:durableId="1391270240">
    <w:abstractNumId w:val="2"/>
  </w:num>
  <w:num w:numId="29" w16cid:durableId="1337539924">
    <w:abstractNumId w:val="1"/>
  </w:num>
  <w:num w:numId="30" w16cid:durableId="756443546">
    <w:abstractNumId w:val="0"/>
  </w:num>
  <w:num w:numId="31" w16cid:durableId="1104421793">
    <w:abstractNumId w:val="9"/>
  </w:num>
  <w:num w:numId="32" w16cid:durableId="2067023714">
    <w:abstractNumId w:val="7"/>
  </w:num>
  <w:num w:numId="33" w16cid:durableId="1003364215">
    <w:abstractNumId w:val="6"/>
  </w:num>
  <w:num w:numId="34" w16cid:durableId="1103261120">
    <w:abstractNumId w:val="5"/>
  </w:num>
  <w:num w:numId="35" w16cid:durableId="832793392">
    <w:abstractNumId w:val="4"/>
  </w:num>
  <w:num w:numId="36" w16cid:durableId="225189623">
    <w:abstractNumId w:val="8"/>
  </w:num>
  <w:num w:numId="37" w16cid:durableId="956639126">
    <w:abstractNumId w:val="3"/>
  </w:num>
  <w:num w:numId="38" w16cid:durableId="419789676">
    <w:abstractNumId w:val="2"/>
  </w:num>
  <w:num w:numId="39" w16cid:durableId="386804444">
    <w:abstractNumId w:val="1"/>
  </w:num>
  <w:num w:numId="40" w16cid:durableId="175971489">
    <w:abstractNumId w:val="0"/>
  </w:num>
  <w:num w:numId="41" w16cid:durableId="651719133">
    <w:abstractNumId w:val="10"/>
  </w:num>
  <w:num w:numId="42" w16cid:durableId="113060884">
    <w:abstractNumId w:val="10"/>
  </w:num>
  <w:num w:numId="43" w16cid:durableId="498547896">
    <w:abstractNumId w:val="10"/>
  </w:num>
  <w:num w:numId="44" w16cid:durableId="808590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6"/>
    <w:docVar w:name="dvlangue" w:val="EN"/>
    <w:docVar w:name="dvnumam" w:val="0"/>
    <w:docVar w:name="dvpe" w:val="785.310"/>
    <w:docVar w:name="dvrapporteur" w:val="Rapporteur: "/>
    <w:docVar w:name="dvtitre" w:val="European Parliament decision of xx May 2026 on the request for the waiver of the immunity of Alvise Pérez(2025/2236(IMM))"/>
  </w:docVars>
  <w:rsids>
    <w:rsidRoot w:val="00531BFF"/>
    <w:rsid w:val="00002272"/>
    <w:rsid w:val="00064002"/>
    <w:rsid w:val="000677B9"/>
    <w:rsid w:val="000831BA"/>
    <w:rsid w:val="000A42CC"/>
    <w:rsid w:val="000E7DD9"/>
    <w:rsid w:val="0010095E"/>
    <w:rsid w:val="00125B37"/>
    <w:rsid w:val="001565FC"/>
    <w:rsid w:val="00187494"/>
    <w:rsid w:val="001D31B5"/>
    <w:rsid w:val="001F32AE"/>
    <w:rsid w:val="002767FF"/>
    <w:rsid w:val="002B18FE"/>
    <w:rsid w:val="002B5493"/>
    <w:rsid w:val="003016B6"/>
    <w:rsid w:val="00343214"/>
    <w:rsid w:val="00344F16"/>
    <w:rsid w:val="00361C00"/>
    <w:rsid w:val="003848CF"/>
    <w:rsid w:val="003904D1"/>
    <w:rsid w:val="00395FA1"/>
    <w:rsid w:val="003B2705"/>
    <w:rsid w:val="003E15D4"/>
    <w:rsid w:val="00411CCE"/>
    <w:rsid w:val="0041666E"/>
    <w:rsid w:val="00421060"/>
    <w:rsid w:val="00471C19"/>
    <w:rsid w:val="004867E3"/>
    <w:rsid w:val="00494A28"/>
    <w:rsid w:val="004C0004"/>
    <w:rsid w:val="004C5D52"/>
    <w:rsid w:val="004E4ACE"/>
    <w:rsid w:val="0050519A"/>
    <w:rsid w:val="005072A1"/>
    <w:rsid w:val="00512D0D"/>
    <w:rsid w:val="00514517"/>
    <w:rsid w:val="00531BFF"/>
    <w:rsid w:val="00545827"/>
    <w:rsid w:val="00560270"/>
    <w:rsid w:val="00594937"/>
    <w:rsid w:val="005C2568"/>
    <w:rsid w:val="005F1B17"/>
    <w:rsid w:val="006037C0"/>
    <w:rsid w:val="006631B6"/>
    <w:rsid w:val="00680577"/>
    <w:rsid w:val="0068622F"/>
    <w:rsid w:val="006935B6"/>
    <w:rsid w:val="006F74FA"/>
    <w:rsid w:val="00731ADD"/>
    <w:rsid w:val="00734777"/>
    <w:rsid w:val="00747932"/>
    <w:rsid w:val="00751A4A"/>
    <w:rsid w:val="00756632"/>
    <w:rsid w:val="00762C74"/>
    <w:rsid w:val="00786EC0"/>
    <w:rsid w:val="007D1690"/>
    <w:rsid w:val="007D5AC3"/>
    <w:rsid w:val="007E22AD"/>
    <w:rsid w:val="007F6469"/>
    <w:rsid w:val="00817416"/>
    <w:rsid w:val="00842779"/>
    <w:rsid w:val="00865F67"/>
    <w:rsid w:val="00881A7B"/>
    <w:rsid w:val="008840E5"/>
    <w:rsid w:val="00887B3E"/>
    <w:rsid w:val="008C2AC6"/>
    <w:rsid w:val="008D0D09"/>
    <w:rsid w:val="00930C23"/>
    <w:rsid w:val="0093193B"/>
    <w:rsid w:val="009509D8"/>
    <w:rsid w:val="00950B64"/>
    <w:rsid w:val="00981893"/>
    <w:rsid w:val="009D6F4C"/>
    <w:rsid w:val="00A1687D"/>
    <w:rsid w:val="00A43E52"/>
    <w:rsid w:val="00A4678D"/>
    <w:rsid w:val="00A778C7"/>
    <w:rsid w:val="00AB441E"/>
    <w:rsid w:val="00AB6293"/>
    <w:rsid w:val="00AE0928"/>
    <w:rsid w:val="00AF3B82"/>
    <w:rsid w:val="00B12E95"/>
    <w:rsid w:val="00B22876"/>
    <w:rsid w:val="00B558F0"/>
    <w:rsid w:val="00B933F8"/>
    <w:rsid w:val="00BD48FE"/>
    <w:rsid w:val="00BD7BD8"/>
    <w:rsid w:val="00BE6ADC"/>
    <w:rsid w:val="00C05BFE"/>
    <w:rsid w:val="00C23CD4"/>
    <w:rsid w:val="00C35D8E"/>
    <w:rsid w:val="00C56603"/>
    <w:rsid w:val="00C61C0C"/>
    <w:rsid w:val="00C941CB"/>
    <w:rsid w:val="00CC2357"/>
    <w:rsid w:val="00CF071A"/>
    <w:rsid w:val="00D058B8"/>
    <w:rsid w:val="00D56C11"/>
    <w:rsid w:val="00D80730"/>
    <w:rsid w:val="00D834A0"/>
    <w:rsid w:val="00D872DF"/>
    <w:rsid w:val="00D91E21"/>
    <w:rsid w:val="00DA7FCD"/>
    <w:rsid w:val="00E320E5"/>
    <w:rsid w:val="00E365E1"/>
    <w:rsid w:val="00E820A4"/>
    <w:rsid w:val="00EB006A"/>
    <w:rsid w:val="00EB13CE"/>
    <w:rsid w:val="00EB4772"/>
    <w:rsid w:val="00ED169E"/>
    <w:rsid w:val="00ED4235"/>
    <w:rsid w:val="00EE1D91"/>
    <w:rsid w:val="00F04346"/>
    <w:rsid w:val="00F075DC"/>
    <w:rsid w:val="00F149E9"/>
    <w:rsid w:val="00F5134D"/>
    <w:rsid w:val="00F74202"/>
    <w:rsid w:val="00F87713"/>
    <w:rsid w:val="00FB4360"/>
    <w:rsid w:val="00FD0C70"/>
    <w:rsid w:val="00FE452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0A0E1"/>
  <w15:chartTrackingRefBased/>
  <w15:docId w15:val="{C1CEA5AC-F7CF-40D3-BD44-1E5CF458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FE4520"/>
    <w:pPr>
      <w:spacing w:after="240"/>
      <w:ind w:left="567" w:hanging="567"/>
    </w:pPr>
  </w:style>
  <w:style w:type="paragraph" w:customStyle="1" w:styleId="EPComma">
    <w:name w:val="EPComma"/>
    <w:basedOn w:val="Normal"/>
    <w:rsid w:val="00FE4520"/>
    <w:pPr>
      <w:spacing w:before="480" w:after="240"/>
    </w:pPr>
  </w:style>
  <w:style w:type="character" w:styleId="CommentReference">
    <w:name w:val="annotation reference"/>
    <w:basedOn w:val="DefaultParagraphFont"/>
    <w:rsid w:val="00E320E5"/>
    <w:rPr>
      <w:sz w:val="16"/>
      <w:szCs w:val="16"/>
    </w:rPr>
  </w:style>
  <w:style w:type="paragraph" w:styleId="CommentText">
    <w:name w:val="annotation text"/>
    <w:basedOn w:val="Normal"/>
    <w:link w:val="CommentTextChar"/>
    <w:rsid w:val="00E320E5"/>
    <w:rPr>
      <w:sz w:val="20"/>
    </w:rPr>
  </w:style>
  <w:style w:type="character" w:customStyle="1" w:styleId="CommentTextChar">
    <w:name w:val="Comment Text Char"/>
    <w:basedOn w:val="DefaultParagraphFont"/>
    <w:link w:val="CommentText"/>
    <w:rsid w:val="00E320E5"/>
  </w:style>
  <w:style w:type="paragraph" w:styleId="CommentSubject">
    <w:name w:val="annotation subject"/>
    <w:basedOn w:val="CommentText"/>
    <w:next w:val="CommentText"/>
    <w:link w:val="CommentSubjectChar"/>
    <w:rsid w:val="00E320E5"/>
    <w:rPr>
      <w:b/>
      <w:bCs/>
    </w:rPr>
  </w:style>
  <w:style w:type="character" w:customStyle="1" w:styleId="CommentSubjectChar">
    <w:name w:val="Comment Subject Char"/>
    <w:basedOn w:val="CommentTextChar"/>
    <w:link w:val="CommentSubject"/>
    <w:rsid w:val="00E320E5"/>
    <w:rPr>
      <w:b/>
      <w:bCs/>
    </w:rPr>
  </w:style>
  <w:style w:type="paragraph" w:styleId="Revision">
    <w:name w:val="Revision"/>
    <w:hidden/>
    <w:uiPriority w:val="99"/>
    <w:semiHidden/>
    <w:rsid w:val="007F64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2026-05-19T11:27:00Z</dcterms:created>
  <dcterms:modified xsi:type="dcterms:W3CDTF">2026-05-19T11:27:00Z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A10-0129/2026</vt:lpwstr>
  </property>
  <property fmtid="{D5CDD505-2E9C-101B-9397-08002B2CF9AE}" pid="4" name="&lt;Type&gt;">
    <vt:lpwstr>RR</vt:lpwstr>
  </property>
</Properties>
</file>