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3AAF" w14:paraId="34ED1107" w14:textId="77777777" w:rsidTr="0010095E">
        <w:trPr>
          <w:trHeight w:hRule="exact" w:val="1418"/>
        </w:trPr>
        <w:tc>
          <w:tcPr>
            <w:tcW w:w="6804" w:type="dxa"/>
            <w:shd w:val="clear" w:color="auto" w:fill="auto"/>
            <w:vAlign w:val="center"/>
          </w:tcPr>
          <w:p w14:paraId="2B2B919A" w14:textId="23AE2CCB" w:rsidR="00751A4A" w:rsidRPr="00673AAF" w:rsidRDefault="009B33BE" w:rsidP="0010095E">
            <w:pPr>
              <w:pStyle w:val="EPName"/>
            </w:pPr>
            <w:r w:rsidRPr="00673AAF">
              <w:t>Parlement européen</w:t>
            </w:r>
          </w:p>
          <w:p w14:paraId="417D880D" w14:textId="77777777" w:rsidR="00751A4A" w:rsidRPr="00673AAF" w:rsidRDefault="005F1B17" w:rsidP="005F1B17">
            <w:pPr>
              <w:pStyle w:val="EPTerm"/>
              <w:rPr>
                <w:rStyle w:val="HideTWBExt"/>
                <w:noProof w:val="0"/>
                <w:vanish w:val="0"/>
                <w:color w:val="auto"/>
              </w:rPr>
            </w:pPr>
            <w:r w:rsidRPr="00673AAF">
              <w:t>2024</w:t>
            </w:r>
            <w:r w:rsidR="00817416" w:rsidRPr="00673AAF">
              <w:t>-202</w:t>
            </w:r>
            <w:r w:rsidRPr="00673AAF">
              <w:t>9</w:t>
            </w:r>
          </w:p>
        </w:tc>
        <w:tc>
          <w:tcPr>
            <w:tcW w:w="2268" w:type="dxa"/>
            <w:shd w:val="clear" w:color="auto" w:fill="auto"/>
          </w:tcPr>
          <w:p w14:paraId="07D94307" w14:textId="77777777" w:rsidR="00751A4A" w:rsidRPr="00673AAF" w:rsidRDefault="00187494" w:rsidP="0010095E">
            <w:pPr>
              <w:pStyle w:val="EPLogo"/>
            </w:pPr>
            <w:r w:rsidRPr="00673AAF">
              <w:rPr>
                <w:noProof/>
                <w:lang w:eastAsia="ja-JP"/>
              </w:rPr>
              <w:drawing>
                <wp:inline distT="0" distB="0" distL="0" distR="0" wp14:anchorId="06719718" wp14:editId="4EBE39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B2F6D7" w14:textId="77777777" w:rsidR="00D058B8" w:rsidRPr="00673AAF" w:rsidRDefault="00D058B8" w:rsidP="004C5D52">
      <w:pPr>
        <w:pStyle w:val="LineTop"/>
      </w:pPr>
    </w:p>
    <w:p w14:paraId="3DB4398C" w14:textId="4FC11DEE" w:rsidR="00680577" w:rsidRPr="00673AAF" w:rsidRDefault="009B33BE" w:rsidP="00680577">
      <w:pPr>
        <w:pStyle w:val="EPBodyTA1"/>
      </w:pPr>
      <w:r w:rsidRPr="00673AAF">
        <w:t>TEXTES ADOPTÉS</w:t>
      </w:r>
    </w:p>
    <w:p w14:paraId="4610867A" w14:textId="77777777" w:rsidR="00D058B8" w:rsidRPr="00673AAF" w:rsidRDefault="00D058B8" w:rsidP="00D058B8">
      <w:pPr>
        <w:pStyle w:val="LineBottom"/>
      </w:pPr>
    </w:p>
    <w:p w14:paraId="141F6123" w14:textId="20F906E7" w:rsidR="009B33BE" w:rsidRPr="00673AAF" w:rsidRDefault="009B33BE" w:rsidP="009B33BE">
      <w:pPr>
        <w:pStyle w:val="ATHeading1"/>
      </w:pPr>
      <w:bookmarkStart w:id="0" w:name="TANumber"/>
      <w:r w:rsidRPr="00673AAF">
        <w:t>P10_TA(2026)</w:t>
      </w:r>
      <w:bookmarkEnd w:id="0"/>
      <w:r w:rsidR="00BF2679">
        <w:t>0167</w:t>
      </w:r>
    </w:p>
    <w:p w14:paraId="6AEAE907" w14:textId="388F6299" w:rsidR="009B33BE" w:rsidRPr="00673AAF" w:rsidRDefault="00AD63E5" w:rsidP="009B33BE">
      <w:pPr>
        <w:pStyle w:val="ATHeading2"/>
      </w:pPr>
      <w:bookmarkStart w:id="1" w:name="title"/>
      <w:r>
        <w:t>D</w:t>
      </w:r>
      <w:r w:rsidR="009B33BE" w:rsidRPr="00673AAF">
        <w:t>emande de levée de l’immunité d’</w:t>
      </w:r>
      <w:proofErr w:type="spellStart"/>
      <w:r w:rsidR="009B33BE" w:rsidRPr="00673AAF">
        <w:t>Alvise</w:t>
      </w:r>
      <w:proofErr w:type="spellEnd"/>
      <w:r w:rsidR="009B33BE" w:rsidRPr="00673AAF">
        <w:t xml:space="preserve"> Pérez</w:t>
      </w:r>
      <w:bookmarkEnd w:id="1"/>
    </w:p>
    <w:p w14:paraId="473E1F3F" w14:textId="77777777" w:rsidR="009B33BE" w:rsidRPr="00673AAF" w:rsidRDefault="009B33BE" w:rsidP="009B33BE">
      <w:pPr>
        <w:rPr>
          <w:i/>
          <w:vanish/>
        </w:rPr>
      </w:pPr>
      <w:r w:rsidRPr="00673AAF">
        <w:rPr>
          <w:i/>
        </w:rPr>
        <w:fldChar w:fldCharType="begin"/>
      </w:r>
      <w:r w:rsidRPr="00673AAF">
        <w:rPr>
          <w:i/>
        </w:rPr>
        <w:instrText xml:space="preserve"> TC"(</w:instrText>
      </w:r>
      <w:bookmarkStart w:id="2" w:name="DocNumber"/>
      <w:r w:rsidRPr="00673AAF">
        <w:rPr>
          <w:i/>
        </w:rPr>
        <w:instrText>A10-0129/2026</w:instrText>
      </w:r>
      <w:bookmarkEnd w:id="2"/>
      <w:r w:rsidRPr="00673AAF">
        <w:rPr>
          <w:i/>
        </w:rPr>
        <w:instrText xml:space="preserve"> - Rapporteure: Pascale Piera)"\l3 \n&gt; \* MERGEFORMAT </w:instrText>
      </w:r>
      <w:r w:rsidRPr="00673AAF">
        <w:rPr>
          <w:i/>
        </w:rPr>
        <w:fldChar w:fldCharType="end"/>
      </w:r>
    </w:p>
    <w:p w14:paraId="6970EA87" w14:textId="77777777" w:rsidR="009B33BE" w:rsidRPr="00673AAF" w:rsidRDefault="009B33BE" w:rsidP="009B33BE">
      <w:pPr>
        <w:rPr>
          <w:vanish/>
        </w:rPr>
      </w:pPr>
      <w:bookmarkStart w:id="3" w:name="Commission"/>
      <w:r w:rsidRPr="00673AAF">
        <w:rPr>
          <w:vanish/>
        </w:rPr>
        <w:t>Commission des affaires juridiques</w:t>
      </w:r>
      <w:bookmarkEnd w:id="3"/>
    </w:p>
    <w:p w14:paraId="55105053" w14:textId="77777777" w:rsidR="009B33BE" w:rsidRPr="00673AAF" w:rsidRDefault="009B33BE" w:rsidP="009B33BE">
      <w:pPr>
        <w:rPr>
          <w:vanish/>
        </w:rPr>
      </w:pPr>
      <w:bookmarkStart w:id="4" w:name="PE"/>
      <w:r w:rsidRPr="00673AAF">
        <w:rPr>
          <w:vanish/>
        </w:rPr>
        <w:t>PE785.310</w:t>
      </w:r>
      <w:bookmarkEnd w:id="4"/>
    </w:p>
    <w:p w14:paraId="51A8ABFE" w14:textId="1658BA3D" w:rsidR="009B33BE" w:rsidRPr="00673AAF" w:rsidRDefault="009B33BE" w:rsidP="009B33BE">
      <w:pPr>
        <w:pStyle w:val="ATHeading3"/>
      </w:pPr>
      <w:bookmarkStart w:id="5" w:name="Sujet"/>
      <w:r w:rsidRPr="00673AAF">
        <w:t xml:space="preserve">Décision du Parlement européen du </w:t>
      </w:r>
      <w:r w:rsidR="00AD63E5">
        <w:t>19 mai</w:t>
      </w:r>
      <w:r w:rsidRPr="00673AAF">
        <w:t xml:space="preserve"> 2026 sur la demande de levée de l’immunité d’</w:t>
      </w:r>
      <w:proofErr w:type="spellStart"/>
      <w:r w:rsidRPr="00673AAF">
        <w:t>Alvise</w:t>
      </w:r>
      <w:proofErr w:type="spellEnd"/>
      <w:r w:rsidRPr="00673AAF">
        <w:t xml:space="preserve"> Pérez</w:t>
      </w:r>
      <w:bookmarkEnd w:id="5"/>
      <w:r w:rsidRPr="00673AAF">
        <w:t xml:space="preserve"> </w:t>
      </w:r>
      <w:bookmarkStart w:id="6" w:name="References"/>
      <w:r w:rsidRPr="00673AAF">
        <w:t>(2025/2236(IMM))</w:t>
      </w:r>
      <w:bookmarkEnd w:id="6"/>
    </w:p>
    <w:p w14:paraId="43610274" w14:textId="77777777" w:rsidR="00FB07DF" w:rsidRPr="00673AAF" w:rsidRDefault="00FB07DF" w:rsidP="00FB07DF">
      <w:pPr>
        <w:pStyle w:val="EPComma"/>
        <w:rPr>
          <w:lang w:val="fr-FR"/>
        </w:rPr>
      </w:pPr>
      <w:bookmarkStart w:id="7" w:name="TextBodyBegin"/>
      <w:bookmarkEnd w:id="7"/>
      <w:r w:rsidRPr="00673AAF">
        <w:rPr>
          <w:i/>
          <w:lang w:val="fr-FR"/>
        </w:rPr>
        <w:t>Le Parlement européen</w:t>
      </w:r>
      <w:r w:rsidRPr="00673AAF">
        <w:rPr>
          <w:lang w:val="fr-FR"/>
        </w:rPr>
        <w:t>,</w:t>
      </w:r>
    </w:p>
    <w:p w14:paraId="7BA7F66D" w14:textId="67C6FE2A" w:rsidR="00FB07DF" w:rsidRPr="00673AAF" w:rsidRDefault="00FB07DF" w:rsidP="00FB07DF">
      <w:pPr>
        <w:pStyle w:val="NormalHanging12a"/>
        <w:rPr>
          <w:lang w:val="fr-FR"/>
        </w:rPr>
      </w:pPr>
      <w:r w:rsidRPr="00673AAF">
        <w:rPr>
          <w:lang w:val="fr-FR"/>
        </w:rPr>
        <w:t>–</w:t>
      </w:r>
      <w:r w:rsidRPr="00673AAF">
        <w:rPr>
          <w:lang w:val="fr-FR"/>
        </w:rPr>
        <w:tab/>
        <w:t>vu la demande de levée de l’immunité d</w:t>
      </w:r>
      <w:r w:rsidR="00615E67">
        <w:rPr>
          <w:lang w:val="fr-FR"/>
        </w:rPr>
        <w:t>’</w:t>
      </w:r>
      <w:proofErr w:type="spellStart"/>
      <w:r w:rsidR="00615E67" w:rsidRPr="00673AAF">
        <w:rPr>
          <w:lang w:val="fr-FR"/>
        </w:rPr>
        <w:t>Alvise</w:t>
      </w:r>
      <w:proofErr w:type="spellEnd"/>
      <w:r w:rsidR="00615E67" w:rsidRPr="00673AAF">
        <w:rPr>
          <w:lang w:val="fr-FR"/>
        </w:rPr>
        <w:t> Pérez</w:t>
      </w:r>
      <w:r w:rsidR="00615E67">
        <w:rPr>
          <w:lang w:val="fr-FR"/>
        </w:rPr>
        <w:t xml:space="preserve"> (</w:t>
      </w:r>
      <w:r w:rsidRPr="00673AAF">
        <w:rPr>
          <w:lang w:val="fr-FR"/>
        </w:rPr>
        <w:t>Luis Pérez Fernandez</w:t>
      </w:r>
      <w:r w:rsidR="00615E67">
        <w:rPr>
          <w:lang w:val="fr-FR"/>
        </w:rPr>
        <w:t>)</w:t>
      </w:r>
      <w:r w:rsidRPr="00673AAF">
        <w:rPr>
          <w:lang w:val="fr-FR"/>
        </w:rPr>
        <w:t xml:space="preserve"> </w:t>
      </w:r>
      <w:r w:rsidR="00854F16">
        <w:rPr>
          <w:lang w:val="fr-FR"/>
        </w:rPr>
        <w:t>présentée</w:t>
      </w:r>
      <w:r w:rsidR="00854F16" w:rsidRPr="00673AAF">
        <w:rPr>
          <w:lang w:val="fr-FR"/>
        </w:rPr>
        <w:t xml:space="preserve"> </w:t>
      </w:r>
      <w:r w:rsidRPr="00673AAF">
        <w:rPr>
          <w:lang w:val="fr-FR"/>
        </w:rPr>
        <w:t>par l</w:t>
      </w:r>
      <w:r w:rsidR="00854F16">
        <w:rPr>
          <w:lang w:val="fr-FR"/>
        </w:rPr>
        <w:t>a</w:t>
      </w:r>
      <w:r w:rsidRPr="00673AAF">
        <w:rPr>
          <w:lang w:val="fr-FR"/>
        </w:rPr>
        <w:t xml:space="preserve"> Cour suprême</w:t>
      </w:r>
      <w:r w:rsidR="00615E67">
        <w:rPr>
          <w:lang w:val="fr-FR"/>
        </w:rPr>
        <w:t xml:space="preserve"> </w:t>
      </w:r>
      <w:r w:rsidR="00854F16">
        <w:rPr>
          <w:lang w:val="fr-FR"/>
        </w:rPr>
        <w:t>d’</w:t>
      </w:r>
      <w:r w:rsidRPr="00673AAF">
        <w:rPr>
          <w:lang w:val="fr-FR"/>
        </w:rPr>
        <w:t xml:space="preserve">Espagne </w:t>
      </w:r>
      <w:r w:rsidR="00854F16">
        <w:rPr>
          <w:lang w:val="fr-FR"/>
        </w:rPr>
        <w:t>par lettre</w:t>
      </w:r>
      <w:r w:rsidR="00854F16" w:rsidRPr="00673AAF">
        <w:rPr>
          <w:lang w:val="fr-FR"/>
        </w:rPr>
        <w:t xml:space="preserve"> du 31 octobre 2025 </w:t>
      </w:r>
      <w:r w:rsidR="00854F16">
        <w:rPr>
          <w:lang w:val="fr-FR"/>
        </w:rPr>
        <w:t>en liaison avec</w:t>
      </w:r>
      <w:r w:rsidRPr="00673AAF">
        <w:rPr>
          <w:lang w:val="fr-FR"/>
        </w:rPr>
        <w:t xml:space="preserve"> une procédure pénale, et communiquée en séance plénière le 12 novembre 2025,</w:t>
      </w:r>
    </w:p>
    <w:p w14:paraId="75A5AF14" w14:textId="7DAF0EA9" w:rsidR="00FB07DF" w:rsidRPr="00673AAF" w:rsidRDefault="00FB07DF" w:rsidP="00FB07DF">
      <w:pPr>
        <w:pStyle w:val="NormalHanging12a"/>
        <w:rPr>
          <w:lang w:val="fr-FR"/>
        </w:rPr>
      </w:pPr>
      <w:r w:rsidRPr="00673AAF">
        <w:rPr>
          <w:lang w:val="fr-FR"/>
        </w:rPr>
        <w:t>–</w:t>
      </w:r>
      <w:r w:rsidRPr="00673AAF">
        <w:rPr>
          <w:lang w:val="fr-FR"/>
        </w:rPr>
        <w:tab/>
        <w:t>vu le fait qu’</w:t>
      </w:r>
      <w:proofErr w:type="spellStart"/>
      <w:r w:rsidRPr="00673AAF">
        <w:rPr>
          <w:lang w:val="fr-FR"/>
        </w:rPr>
        <w:t>Alvise</w:t>
      </w:r>
      <w:proofErr w:type="spellEnd"/>
      <w:r w:rsidRPr="00673AAF">
        <w:rPr>
          <w:lang w:val="fr-FR"/>
        </w:rPr>
        <w:t> Pérez est réputé avoir renoncé à son droit d’être entendu, prévu à l’article 9, paragraphe 6, de son règlement intérieur,</w:t>
      </w:r>
    </w:p>
    <w:p w14:paraId="703A794A" w14:textId="77777777" w:rsidR="00FB07DF" w:rsidRPr="00673AAF" w:rsidRDefault="00FB07DF" w:rsidP="00FB07DF">
      <w:pPr>
        <w:pStyle w:val="NormalHanging12a"/>
        <w:rPr>
          <w:lang w:val="fr-FR"/>
        </w:rPr>
      </w:pPr>
      <w:r w:rsidRPr="00673AAF">
        <w:rPr>
          <w:lang w:val="fr-FR"/>
        </w:rPr>
        <w:t>–</w:t>
      </w:r>
      <w:r w:rsidRPr="00673AAF">
        <w:rPr>
          <w:lang w:val="fr-FR"/>
        </w:rPr>
        <w:tab/>
        <w:t>vu les articles 8 et 9 du protocole nº 7 sur les privilèges et immunités de l’Union européenne ainsi que l’article 6, paragraphe 2, de l’acte portant élection des membres du Parlement européen au suffrage universel direct, du 20 septembre 1976,</w:t>
      </w:r>
    </w:p>
    <w:p w14:paraId="0E4C02CC" w14:textId="77777777" w:rsidR="00FB07DF" w:rsidRPr="00673AAF" w:rsidRDefault="00FB07DF" w:rsidP="00FB07DF">
      <w:pPr>
        <w:pStyle w:val="NormalHanging12a"/>
        <w:rPr>
          <w:lang w:val="fr-FR"/>
        </w:rPr>
      </w:pPr>
      <w:r w:rsidRPr="00673AAF">
        <w:rPr>
          <w:lang w:val="fr-FR"/>
        </w:rPr>
        <w:t>–</w:t>
      </w:r>
      <w:r w:rsidRPr="00673AAF">
        <w:rPr>
          <w:lang w:val="fr-FR"/>
        </w:rPr>
        <w:tab/>
        <w:t>vu les arrêts rendus par la Cour de justice de l’Union européenne les 21 octobre 2008, 19 mars 2010, 6 septembre 2011, 17 janvier 2013, et 19 décembre 2019</w:t>
      </w:r>
      <w:r w:rsidRPr="00673AAF">
        <w:rPr>
          <w:vertAlign w:val="superscript"/>
          <w:lang w:val="fr-FR"/>
        </w:rPr>
        <w:footnoteReference w:id="1"/>
      </w:r>
      <w:r w:rsidRPr="00673AAF">
        <w:rPr>
          <w:lang w:val="fr-FR"/>
        </w:rPr>
        <w:t>,</w:t>
      </w:r>
    </w:p>
    <w:p w14:paraId="151409C7" w14:textId="33F72692" w:rsidR="00FB07DF" w:rsidRPr="00673AAF" w:rsidRDefault="00FB07DF" w:rsidP="00FB07DF">
      <w:pPr>
        <w:pStyle w:val="NormalHanging12a"/>
        <w:rPr>
          <w:lang w:val="fr-FR"/>
        </w:rPr>
      </w:pPr>
      <w:r w:rsidRPr="00673AAF">
        <w:rPr>
          <w:lang w:val="fr-FR"/>
        </w:rPr>
        <w:t>–</w:t>
      </w:r>
      <w:r w:rsidRPr="00673AAF">
        <w:rPr>
          <w:lang w:val="fr-FR"/>
        </w:rPr>
        <w:tab/>
        <w:t>vu l’article 71, paragraphes 1 et 2</w:t>
      </w:r>
      <w:r w:rsidR="00854F16">
        <w:rPr>
          <w:lang w:val="fr-FR"/>
        </w:rPr>
        <w:t>,</w:t>
      </w:r>
      <w:r w:rsidRPr="00673AAF">
        <w:rPr>
          <w:lang w:val="fr-FR"/>
        </w:rPr>
        <w:t xml:space="preserve"> de la Constitution espagnole,</w:t>
      </w:r>
    </w:p>
    <w:p w14:paraId="3CC7DD94" w14:textId="77777777" w:rsidR="00FB07DF" w:rsidRPr="00673AAF" w:rsidRDefault="00FB07DF" w:rsidP="00FB07DF">
      <w:pPr>
        <w:pStyle w:val="NormalHanging12a"/>
        <w:rPr>
          <w:lang w:val="fr-FR"/>
        </w:rPr>
      </w:pPr>
      <w:r w:rsidRPr="00673AAF">
        <w:rPr>
          <w:lang w:val="fr-FR"/>
        </w:rPr>
        <w:t>–</w:t>
      </w:r>
      <w:r w:rsidRPr="00673AAF">
        <w:rPr>
          <w:lang w:val="fr-FR"/>
        </w:rPr>
        <w:tab/>
        <w:t>vu l’article 5, paragraphe 2, l’article 6, paragraphe 1, et l’article 9 de son règlement intérieur,</w:t>
      </w:r>
    </w:p>
    <w:p w14:paraId="5A8C38C7" w14:textId="77777777" w:rsidR="00FB07DF" w:rsidRPr="00673AAF" w:rsidRDefault="00FB07DF" w:rsidP="00FB07DF">
      <w:pPr>
        <w:pStyle w:val="NormalHanging12a"/>
        <w:rPr>
          <w:lang w:val="fr-FR"/>
        </w:rPr>
      </w:pPr>
      <w:r w:rsidRPr="00673AAF">
        <w:rPr>
          <w:lang w:val="fr-FR"/>
        </w:rPr>
        <w:t>–</w:t>
      </w:r>
      <w:r w:rsidRPr="00673AAF">
        <w:rPr>
          <w:lang w:val="fr-FR"/>
        </w:rPr>
        <w:tab/>
        <w:t>vu le rapport de la commission des affaires juridiques (A10-0129/2026),</w:t>
      </w:r>
    </w:p>
    <w:p w14:paraId="506B051B" w14:textId="13F1A0EB" w:rsidR="00FB07DF" w:rsidRPr="00673AAF" w:rsidRDefault="00FB07DF" w:rsidP="00FB07DF">
      <w:pPr>
        <w:pStyle w:val="NormalHanging12a"/>
        <w:rPr>
          <w:lang w:val="fr-FR"/>
        </w:rPr>
      </w:pPr>
      <w:r w:rsidRPr="00673AAF">
        <w:rPr>
          <w:lang w:val="fr-FR"/>
        </w:rPr>
        <w:t>A.</w:t>
      </w:r>
      <w:r w:rsidRPr="00673AAF">
        <w:rPr>
          <w:lang w:val="fr-FR"/>
        </w:rPr>
        <w:tab/>
        <w:t xml:space="preserve">considérant que, par lettre du 31 octobre 2025, le président </w:t>
      </w:r>
      <w:r w:rsidR="00854F16">
        <w:rPr>
          <w:lang w:val="fr-FR"/>
        </w:rPr>
        <w:t>de la</w:t>
      </w:r>
      <w:r w:rsidR="00854F16" w:rsidRPr="00673AAF">
        <w:rPr>
          <w:lang w:val="fr-FR"/>
        </w:rPr>
        <w:t xml:space="preserve"> </w:t>
      </w:r>
      <w:r w:rsidRPr="00673AAF">
        <w:rPr>
          <w:lang w:val="fr-FR"/>
        </w:rPr>
        <w:t>Cour suprême</w:t>
      </w:r>
      <w:r w:rsidR="00615E67">
        <w:rPr>
          <w:lang w:val="fr-FR"/>
        </w:rPr>
        <w:t xml:space="preserve"> </w:t>
      </w:r>
      <w:r w:rsidR="00854F16">
        <w:rPr>
          <w:lang w:val="fr-FR"/>
        </w:rPr>
        <w:lastRenderedPageBreak/>
        <w:t>d’</w:t>
      </w:r>
      <w:r w:rsidRPr="00673AAF">
        <w:rPr>
          <w:lang w:val="fr-FR"/>
        </w:rPr>
        <w:t xml:space="preserve">Espagne a </w:t>
      </w:r>
      <w:r w:rsidR="00854F16">
        <w:rPr>
          <w:lang w:val="fr-FR"/>
        </w:rPr>
        <w:t>présenté</w:t>
      </w:r>
      <w:r w:rsidR="00854F16" w:rsidRPr="00673AAF">
        <w:rPr>
          <w:lang w:val="fr-FR"/>
        </w:rPr>
        <w:t xml:space="preserve"> </w:t>
      </w:r>
      <w:r w:rsidRPr="00673AAF">
        <w:rPr>
          <w:lang w:val="fr-FR"/>
        </w:rPr>
        <w:t>une demande de levée de l’immunité d’</w:t>
      </w:r>
      <w:proofErr w:type="spellStart"/>
      <w:r w:rsidRPr="00673AAF">
        <w:rPr>
          <w:lang w:val="fr-FR"/>
        </w:rPr>
        <w:t>Alvise</w:t>
      </w:r>
      <w:proofErr w:type="spellEnd"/>
      <w:r w:rsidRPr="00673AAF">
        <w:rPr>
          <w:lang w:val="fr-FR"/>
        </w:rPr>
        <w:t xml:space="preserve"> Pérez, </w:t>
      </w:r>
      <w:bookmarkStart w:id="8" w:name="_Hlk222405545"/>
      <w:r w:rsidRPr="00673AAF">
        <w:rPr>
          <w:lang w:val="fr-FR"/>
        </w:rPr>
        <w:t xml:space="preserve">député au Parlement européen élu en </w:t>
      </w:r>
      <w:bookmarkEnd w:id="8"/>
      <w:r w:rsidRPr="00673AAF">
        <w:rPr>
          <w:lang w:val="fr-FR"/>
        </w:rPr>
        <w:t xml:space="preserve">Espagne, en lien avec </w:t>
      </w:r>
      <w:r w:rsidR="00854F16">
        <w:rPr>
          <w:lang w:val="fr-FR"/>
        </w:rPr>
        <w:t>des</w:t>
      </w:r>
      <w:r w:rsidR="00854F16" w:rsidRPr="00673AAF">
        <w:rPr>
          <w:lang w:val="fr-FR"/>
        </w:rPr>
        <w:t xml:space="preserve"> </w:t>
      </w:r>
      <w:r w:rsidRPr="00673AAF">
        <w:rPr>
          <w:lang w:val="fr-FR"/>
        </w:rPr>
        <w:t>infractions présumées commises en 2024;</w:t>
      </w:r>
    </w:p>
    <w:p w14:paraId="34AFBC58" w14:textId="0441D758" w:rsidR="00FB07DF" w:rsidRPr="00673AAF" w:rsidRDefault="00FB07DF" w:rsidP="00FB07DF">
      <w:pPr>
        <w:pStyle w:val="NormalHanging12a"/>
        <w:rPr>
          <w:lang w:val="fr-FR"/>
        </w:rPr>
      </w:pPr>
      <w:r w:rsidRPr="00673AAF">
        <w:rPr>
          <w:lang w:val="fr-FR"/>
        </w:rPr>
        <w:t>B.</w:t>
      </w:r>
      <w:r w:rsidRPr="00673AAF">
        <w:rPr>
          <w:lang w:val="fr-FR"/>
        </w:rPr>
        <w:tab/>
        <w:t>considérant que la demande indique qu’entre le 7 avril</w:t>
      </w:r>
      <w:r w:rsidR="00615E67">
        <w:rPr>
          <w:lang w:val="fr-FR"/>
        </w:rPr>
        <w:t xml:space="preserve"> 2024</w:t>
      </w:r>
      <w:r w:rsidRPr="00673AAF">
        <w:rPr>
          <w:lang w:val="fr-FR"/>
        </w:rPr>
        <w:t xml:space="preserve"> et le 27 mai 2024, </w:t>
      </w:r>
      <w:proofErr w:type="spellStart"/>
      <w:r w:rsidRPr="00673AAF">
        <w:rPr>
          <w:lang w:val="fr-FR"/>
        </w:rPr>
        <w:t>Alvise</w:t>
      </w:r>
      <w:proofErr w:type="spellEnd"/>
      <w:r w:rsidRPr="00673AAF">
        <w:rPr>
          <w:lang w:val="fr-FR"/>
        </w:rPr>
        <w:t xml:space="preserve"> Pérez aurait entretenu des liens avec un conseiller agissant pour le compte de personnes physiques et morales en vue d’obtenir des avantages économiques par le biais de mécanismes d’optimisation fiscale, dans le but de créer un «portefeuille» destiné à lever des fonds pour financer la campagne électorale du parti politique fondé par </w:t>
      </w:r>
      <w:proofErr w:type="spellStart"/>
      <w:r w:rsidRPr="00673AAF">
        <w:rPr>
          <w:lang w:val="fr-FR"/>
        </w:rPr>
        <w:t>Alvise</w:t>
      </w:r>
      <w:proofErr w:type="spellEnd"/>
      <w:r w:rsidRPr="00673AAF">
        <w:rPr>
          <w:lang w:val="fr-FR"/>
        </w:rPr>
        <w:t> Pérez, dénommé «</w:t>
      </w:r>
      <w:r w:rsidRPr="004925D4">
        <w:rPr>
          <w:i/>
          <w:iCs/>
          <w:lang w:val="fr-FR"/>
        </w:rPr>
        <w:t xml:space="preserve">Se </w:t>
      </w:r>
      <w:proofErr w:type="spellStart"/>
      <w:r w:rsidRPr="004925D4">
        <w:rPr>
          <w:i/>
          <w:iCs/>
          <w:lang w:val="fr-FR"/>
        </w:rPr>
        <w:t>Acabó</w:t>
      </w:r>
      <w:proofErr w:type="spellEnd"/>
      <w:r w:rsidRPr="004925D4">
        <w:rPr>
          <w:i/>
          <w:iCs/>
          <w:lang w:val="fr-FR"/>
        </w:rPr>
        <w:t xml:space="preserve"> La Fiesta</w:t>
      </w:r>
      <w:r w:rsidRPr="00673AAF">
        <w:rPr>
          <w:lang w:val="fr-FR"/>
        </w:rPr>
        <w:t>»</w:t>
      </w:r>
      <w:r w:rsidR="00113353">
        <w:rPr>
          <w:lang w:val="fr-FR"/>
        </w:rPr>
        <w:t xml:space="preserve"> (La fête est finie)</w:t>
      </w:r>
      <w:r w:rsidRPr="00673AAF">
        <w:rPr>
          <w:lang w:val="fr-FR"/>
        </w:rPr>
        <w:t xml:space="preserve">; que, selon la demande, le conseiller ayant mis en place ce «portefeuille» aurait versé à titre d’avance un montant de 100 000 EUR à </w:t>
      </w:r>
      <w:proofErr w:type="spellStart"/>
      <w:r w:rsidRPr="00673AAF">
        <w:rPr>
          <w:lang w:val="fr-FR"/>
        </w:rPr>
        <w:t>Alvise</w:t>
      </w:r>
      <w:proofErr w:type="spellEnd"/>
      <w:r w:rsidRPr="00673AAF">
        <w:rPr>
          <w:lang w:val="fr-FR"/>
        </w:rPr>
        <w:t> Pérez pour ledit parti politique en vue des élections européennes; que les faits allégués sont susceptibles de constituer des infractions de financement illégal d’un parti politique au sens de l’article 304 bis, paragraphe 1, du code pénal espagnol ainsi qu’une infraction électorale en vertu de l’article 149, paragraphe 1, de la loi organique</w:t>
      </w:r>
      <w:r w:rsidR="00615E67">
        <w:rPr>
          <w:lang w:val="fr-FR"/>
        </w:rPr>
        <w:t xml:space="preserve"> </w:t>
      </w:r>
      <w:r w:rsidR="00615E67" w:rsidRPr="00673AAF">
        <w:rPr>
          <w:lang w:val="fr-FR"/>
        </w:rPr>
        <w:t>espagnol</w:t>
      </w:r>
      <w:r w:rsidR="00615E67">
        <w:rPr>
          <w:lang w:val="fr-FR"/>
        </w:rPr>
        <w:t>e</w:t>
      </w:r>
      <w:r w:rsidRPr="00673AAF">
        <w:rPr>
          <w:lang w:val="fr-FR"/>
        </w:rPr>
        <w:t xml:space="preserve"> nº 5/1985 du 19 juin 1985 relative au régime électoral général; que la procédure </w:t>
      </w:r>
      <w:r w:rsidR="00113353">
        <w:rPr>
          <w:lang w:val="fr-FR"/>
        </w:rPr>
        <w:t>d’enquête</w:t>
      </w:r>
      <w:r w:rsidR="00113353" w:rsidRPr="00673AAF">
        <w:rPr>
          <w:lang w:val="fr-FR"/>
        </w:rPr>
        <w:t xml:space="preserve"> </w:t>
      </w:r>
      <w:r w:rsidRPr="00673AAF">
        <w:rPr>
          <w:lang w:val="fr-FR"/>
        </w:rPr>
        <w:t>a été engagée par ordonnance du 20 septembre 2024;</w:t>
      </w:r>
    </w:p>
    <w:p w14:paraId="54D94626" w14:textId="5D2A5E77" w:rsidR="00FB07DF" w:rsidRPr="004925D4" w:rsidRDefault="00FB07DF" w:rsidP="00FB07DF">
      <w:pPr>
        <w:pStyle w:val="NormalHanging12a"/>
        <w:rPr>
          <w:lang w:val="fr-FR"/>
        </w:rPr>
      </w:pPr>
      <w:r w:rsidRPr="00673AAF">
        <w:rPr>
          <w:lang w:val="fr-FR"/>
        </w:rPr>
        <w:t>C.</w:t>
      </w:r>
      <w:r w:rsidRPr="00673AAF">
        <w:rPr>
          <w:lang w:val="fr-FR"/>
        </w:rPr>
        <w:tab/>
        <w:t xml:space="preserve">considérant </w:t>
      </w:r>
      <w:r w:rsidRPr="004925D4">
        <w:rPr>
          <w:lang w:val="fr-FR"/>
        </w:rPr>
        <w:t>qu’</w:t>
      </w:r>
      <w:proofErr w:type="spellStart"/>
      <w:r w:rsidRPr="004925D4">
        <w:rPr>
          <w:lang w:val="fr-FR"/>
        </w:rPr>
        <w:t>Alvise</w:t>
      </w:r>
      <w:proofErr w:type="spellEnd"/>
      <w:r w:rsidRPr="004925D4">
        <w:rPr>
          <w:lang w:val="fr-FR"/>
        </w:rPr>
        <w:t xml:space="preserve"> Pérez a été élu au Parlement européen lors des élections européennes de juin 2024 et qu’il n’était </w:t>
      </w:r>
      <w:r w:rsidR="00113353" w:rsidRPr="004925D4">
        <w:rPr>
          <w:lang w:val="fr-FR"/>
        </w:rPr>
        <w:t xml:space="preserve">dès lors </w:t>
      </w:r>
      <w:r w:rsidRPr="004925D4">
        <w:rPr>
          <w:lang w:val="fr-FR"/>
        </w:rPr>
        <w:t>pas député au Parlement européen au moment des infractions présumées;</w:t>
      </w:r>
    </w:p>
    <w:p w14:paraId="2E64F2E7" w14:textId="77777777" w:rsidR="00FB07DF" w:rsidRPr="004925D4" w:rsidRDefault="00FB07DF" w:rsidP="00FB07DF">
      <w:pPr>
        <w:pStyle w:val="NormalHanging12a"/>
        <w:rPr>
          <w:lang w:val="fr-FR"/>
        </w:rPr>
      </w:pPr>
      <w:r w:rsidRPr="004925D4">
        <w:rPr>
          <w:lang w:val="fr-FR"/>
        </w:rPr>
        <w:t>D.</w:t>
      </w:r>
      <w:r w:rsidRPr="004925D4">
        <w:rPr>
          <w:lang w:val="fr-FR"/>
        </w:rPr>
        <w:tab/>
        <w:t xml:space="preserve">considérant que les infractions présumées ne sont pas constitutives d’une opinion ou d’un vote émis par </w:t>
      </w:r>
      <w:proofErr w:type="spellStart"/>
      <w:r w:rsidRPr="004925D4">
        <w:rPr>
          <w:lang w:val="fr-FR"/>
        </w:rPr>
        <w:t>Alvise</w:t>
      </w:r>
      <w:proofErr w:type="spellEnd"/>
      <w:r w:rsidRPr="004925D4">
        <w:rPr>
          <w:lang w:val="fr-FR"/>
        </w:rPr>
        <w:t> Pérez dans l’exercice de ses fonctions au sens de l’article 8 du protocole nº 7 sur les privilèges et immunités de l’Union européenne et que la demande de levée de l’immunité d’</w:t>
      </w:r>
      <w:proofErr w:type="spellStart"/>
      <w:r w:rsidRPr="004925D4">
        <w:rPr>
          <w:lang w:val="fr-FR"/>
        </w:rPr>
        <w:t>Alvise</w:t>
      </w:r>
      <w:proofErr w:type="spellEnd"/>
      <w:r w:rsidRPr="004925D4">
        <w:rPr>
          <w:lang w:val="fr-FR"/>
        </w:rPr>
        <w:t> Pérez qui en découle n’est pas liée à une telle opinion ou à un tel vote;</w:t>
      </w:r>
    </w:p>
    <w:p w14:paraId="71C74C40" w14:textId="7D627301" w:rsidR="00FB07DF" w:rsidRPr="004925D4" w:rsidRDefault="00FB07DF" w:rsidP="00FB07DF">
      <w:pPr>
        <w:pStyle w:val="NormalHanging12a"/>
        <w:rPr>
          <w:lang w:val="fr-FR"/>
        </w:rPr>
      </w:pPr>
      <w:r w:rsidRPr="004925D4">
        <w:rPr>
          <w:lang w:val="fr-FR"/>
        </w:rPr>
        <w:t>E.</w:t>
      </w:r>
      <w:r w:rsidRPr="004925D4">
        <w:rPr>
          <w:lang w:val="fr-FR"/>
        </w:rPr>
        <w:tab/>
        <w:t>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pays;</w:t>
      </w:r>
    </w:p>
    <w:p w14:paraId="05C52645" w14:textId="77777777" w:rsidR="00FB07DF" w:rsidRPr="004925D4" w:rsidRDefault="00FB07DF" w:rsidP="00AD63E5">
      <w:pPr>
        <w:pStyle w:val="NormalHanging12a"/>
        <w:rPr>
          <w:lang w:val="fr-FR"/>
        </w:rPr>
      </w:pPr>
      <w:r w:rsidRPr="004925D4">
        <w:rPr>
          <w:lang w:val="fr-FR"/>
        </w:rPr>
        <w:t>F.</w:t>
      </w:r>
      <w:r w:rsidRPr="004925D4">
        <w:rPr>
          <w:lang w:val="fr-FR"/>
        </w:rPr>
        <w:tab/>
        <w:t>considérant que l’article 71, paragraphes 1 et 2, de la Constitution espagnole dispose ce qui suit:</w:t>
      </w:r>
    </w:p>
    <w:p w14:paraId="7759D1A5" w14:textId="77777777" w:rsidR="00FB07DF" w:rsidRPr="004925D4" w:rsidRDefault="00FB07DF" w:rsidP="00AD63E5">
      <w:pPr>
        <w:pStyle w:val="NormalHanging12a"/>
        <w:ind w:left="1134"/>
        <w:rPr>
          <w:i/>
          <w:lang w:val="fr-FR"/>
        </w:rPr>
      </w:pPr>
      <w:r w:rsidRPr="004925D4">
        <w:rPr>
          <w:i/>
          <w:lang w:val="fr-FR"/>
        </w:rPr>
        <w:t xml:space="preserve">«1. </w:t>
      </w:r>
      <w:r w:rsidRPr="004925D4">
        <w:rPr>
          <w:i/>
          <w:lang w:val="fr-FR"/>
        </w:rPr>
        <w:tab/>
        <w:t>Les députés et les sénateurs jouissent de l’inviolabilité pour les opinions exprimées dans l’exercice de leurs fonctions.</w:t>
      </w:r>
    </w:p>
    <w:p w14:paraId="4BCCAA11" w14:textId="1D690B42" w:rsidR="00FB07DF" w:rsidRPr="00673AAF" w:rsidRDefault="00FB07DF" w:rsidP="00AD63E5">
      <w:pPr>
        <w:pStyle w:val="NormalHanging12a"/>
        <w:ind w:left="1134"/>
        <w:rPr>
          <w:lang w:val="fr-FR"/>
        </w:rPr>
      </w:pPr>
      <w:r w:rsidRPr="004925D4">
        <w:rPr>
          <w:i/>
          <w:lang w:val="fr-FR"/>
        </w:rPr>
        <w:t xml:space="preserve">2. </w:t>
      </w:r>
      <w:r w:rsidRPr="004925D4">
        <w:rPr>
          <w:i/>
          <w:lang w:val="fr-FR"/>
        </w:rPr>
        <w:tab/>
        <w:t>Pendant la durée de leur mandat, les députés et les sénateurs jouissent également de l’immunité et ne peuvent être arrêtés qu’en cas de flagrant délit. Ils ne peuvent</w:t>
      </w:r>
      <w:r w:rsidRPr="00673AAF">
        <w:rPr>
          <w:i/>
          <w:lang w:val="fr-FR"/>
        </w:rPr>
        <w:t xml:space="preserve"> être mis en examen ni </w:t>
      </w:r>
      <w:r w:rsidR="00113353">
        <w:rPr>
          <w:i/>
          <w:lang w:val="fr-FR"/>
        </w:rPr>
        <w:t>poursuivis</w:t>
      </w:r>
      <w:r w:rsidRPr="00673AAF">
        <w:rPr>
          <w:i/>
          <w:lang w:val="fr-FR"/>
        </w:rPr>
        <w:t xml:space="preserve"> sans l’autorisation préalable de </w:t>
      </w:r>
      <w:r w:rsidR="00113353">
        <w:rPr>
          <w:i/>
          <w:lang w:val="fr-FR"/>
        </w:rPr>
        <w:t>la</w:t>
      </w:r>
      <w:r w:rsidR="00113353" w:rsidRPr="00673AAF">
        <w:rPr>
          <w:i/>
          <w:lang w:val="fr-FR"/>
        </w:rPr>
        <w:t xml:space="preserve"> </w:t>
      </w:r>
      <w:r w:rsidR="00113353">
        <w:rPr>
          <w:i/>
          <w:lang w:val="fr-FR"/>
        </w:rPr>
        <w:t>c</w:t>
      </w:r>
      <w:r w:rsidRPr="00673AAF">
        <w:rPr>
          <w:i/>
          <w:lang w:val="fr-FR"/>
        </w:rPr>
        <w:t>hambre</w:t>
      </w:r>
      <w:r w:rsidR="00113353">
        <w:rPr>
          <w:i/>
          <w:lang w:val="fr-FR"/>
        </w:rPr>
        <w:t xml:space="preserve"> législative concernée</w:t>
      </w:r>
      <w:r w:rsidRPr="00673AAF">
        <w:rPr>
          <w:i/>
          <w:lang w:val="fr-FR"/>
        </w:rPr>
        <w:t>.»;</w:t>
      </w:r>
    </w:p>
    <w:p w14:paraId="05A52339" w14:textId="77777777" w:rsidR="00FB07DF" w:rsidRPr="00673AAF" w:rsidRDefault="00FB07DF" w:rsidP="00FB07DF">
      <w:pPr>
        <w:pStyle w:val="NormalHanging12a"/>
        <w:rPr>
          <w:lang w:val="fr-FR"/>
        </w:rPr>
      </w:pPr>
      <w:r w:rsidRPr="00673AAF">
        <w:rPr>
          <w:lang w:val="fr-FR"/>
        </w:rPr>
        <w:t>G.</w:t>
      </w:r>
      <w:r w:rsidRPr="00673AAF">
        <w:rPr>
          <w:lang w:val="fr-FR"/>
        </w:rPr>
        <w:tab/>
        <w:t xml:space="preserve">considérant que l’immunité </w:t>
      </w:r>
      <w:bookmarkStart w:id="9" w:name="_Hlk222405989"/>
      <w:r w:rsidRPr="00673AAF">
        <w:rPr>
          <w:lang w:val="fr-FR"/>
        </w:rPr>
        <w:t>prévue au protocole nº 7 sur les privilèges et immunités de l’Union européenne</w:t>
      </w:r>
      <w:bookmarkEnd w:id="9"/>
      <w:r w:rsidRPr="00673AAF">
        <w:rPr>
          <w:lang w:val="fr-FR"/>
        </w:rPr>
        <w:t xml:space="preserve"> a pour objet de protéger le Parlement et ses députés contre des procédures judiciaires visant des activités menées dans l’exercice des fonctions parlementaires et indissociables de celles-ci;</w:t>
      </w:r>
    </w:p>
    <w:p w14:paraId="2B44FB67" w14:textId="77777777" w:rsidR="00FB07DF" w:rsidRPr="00673AAF" w:rsidRDefault="00FB07DF" w:rsidP="00FB07DF">
      <w:pPr>
        <w:pStyle w:val="NormalHanging12a"/>
        <w:rPr>
          <w:lang w:val="fr-FR"/>
        </w:rPr>
      </w:pPr>
      <w:r w:rsidRPr="00673AAF">
        <w:rPr>
          <w:lang w:val="fr-FR"/>
        </w:rPr>
        <w:t>H.</w:t>
      </w:r>
      <w:r w:rsidRPr="00673AAF">
        <w:rPr>
          <w:lang w:val="fr-FR"/>
        </w:rPr>
        <w:tab/>
        <w:t xml:space="preserve">considérant que, conformément à l’article 5, paragraphe 2, de son règlement intérieur, </w:t>
      </w:r>
      <w:r w:rsidRPr="00673AAF">
        <w:rPr>
          <w:lang w:val="fr-FR"/>
        </w:rPr>
        <w:lastRenderedPageBreak/>
        <w:t>l’immunité parlementaire n’est pas un privilège personnel du député, mais une garantie d’indépendance du Parlement dans son ensemble et de ses députés;</w:t>
      </w:r>
    </w:p>
    <w:p w14:paraId="106D7304" w14:textId="78765DAD" w:rsidR="00FB07DF" w:rsidRPr="00673AAF" w:rsidRDefault="00FB07DF" w:rsidP="00FB07DF">
      <w:pPr>
        <w:pStyle w:val="NormalHanging12a"/>
        <w:rPr>
          <w:lang w:val="fr-FR"/>
        </w:rPr>
      </w:pPr>
      <w:r w:rsidRPr="00673AAF">
        <w:rPr>
          <w:lang w:val="fr-FR"/>
        </w:rPr>
        <w:t>I.</w:t>
      </w:r>
      <w:r w:rsidRPr="00673AAF">
        <w:rPr>
          <w:lang w:val="fr-FR"/>
        </w:rPr>
        <w:tab/>
        <w:t xml:space="preserve">considérant que, en l’espèce, le Parlement européen n’a trouvé aucun élément de preuve établissant l’existence d’un </w:t>
      </w:r>
      <w:proofErr w:type="spellStart"/>
      <w:r w:rsidRPr="00673AAF">
        <w:rPr>
          <w:i/>
          <w:iCs/>
          <w:lang w:val="fr-FR"/>
        </w:rPr>
        <w:t>fumus</w:t>
      </w:r>
      <w:proofErr w:type="spellEnd"/>
      <w:r w:rsidRPr="00673AAF">
        <w:rPr>
          <w:i/>
          <w:iCs/>
          <w:lang w:val="fr-FR"/>
        </w:rPr>
        <w:t> </w:t>
      </w:r>
      <w:proofErr w:type="spellStart"/>
      <w:r w:rsidRPr="00673AAF">
        <w:rPr>
          <w:i/>
          <w:iCs/>
          <w:lang w:val="fr-FR"/>
        </w:rPr>
        <w:t>persecutionis</w:t>
      </w:r>
      <w:proofErr w:type="spellEnd"/>
      <w:r w:rsidRPr="00673AAF">
        <w:rPr>
          <w:i/>
          <w:iCs/>
          <w:lang w:val="fr-FR"/>
        </w:rPr>
        <w:t>,</w:t>
      </w:r>
      <w:r w:rsidRPr="00673AAF">
        <w:rPr>
          <w:lang w:val="fr-FR"/>
        </w:rPr>
        <w:t xml:space="preserve"> c’est</w:t>
      </w:r>
      <w:r w:rsidRPr="00673AAF">
        <w:rPr>
          <w:lang w:val="fr-FR"/>
        </w:rPr>
        <w:noBreakHyphen/>
        <w:t>à</w:t>
      </w:r>
      <w:r w:rsidRPr="00673AAF">
        <w:rPr>
          <w:lang w:val="fr-FR"/>
        </w:rPr>
        <w:noBreakHyphen/>
        <w:t>dire des éléments de fait qui permettent de présumer que les poursuites en question ont été engagées dans l’intention de nuire à l’activité politique d’</w:t>
      </w:r>
      <w:proofErr w:type="spellStart"/>
      <w:r w:rsidRPr="00673AAF">
        <w:rPr>
          <w:lang w:val="fr-FR"/>
        </w:rPr>
        <w:t>Alvise</w:t>
      </w:r>
      <w:proofErr w:type="spellEnd"/>
      <w:r w:rsidRPr="00673AAF">
        <w:rPr>
          <w:lang w:val="fr-FR"/>
        </w:rPr>
        <w:t> Pérez en tant que député au Parlement européen</w:t>
      </w:r>
      <w:r w:rsidR="00113353">
        <w:rPr>
          <w:lang w:val="fr-FR"/>
        </w:rPr>
        <w:t xml:space="preserve"> et partant à l’indépendance du Parlement</w:t>
      </w:r>
      <w:r w:rsidRPr="00673AAF">
        <w:rPr>
          <w:lang w:val="fr-FR"/>
        </w:rPr>
        <w:t>;</w:t>
      </w:r>
    </w:p>
    <w:p w14:paraId="51E216B3" w14:textId="77777777" w:rsidR="00FB07DF" w:rsidRPr="00673AAF" w:rsidRDefault="00FB07DF" w:rsidP="00FB07DF">
      <w:pPr>
        <w:pStyle w:val="NormalHanging12a"/>
        <w:rPr>
          <w:lang w:val="fr-FR"/>
        </w:rPr>
      </w:pPr>
      <w:r w:rsidRPr="00673AAF">
        <w:rPr>
          <w:lang w:val="fr-FR"/>
        </w:rPr>
        <w:t>J.</w:t>
      </w:r>
      <w:r w:rsidRPr="00673AAF">
        <w:rPr>
          <w:lang w:val="fr-FR"/>
        </w:rPr>
        <w:tab/>
        <w:t>considérant, d’une part, que le Parlement ne saurait être assimilé à un tribunal et, d’autre part, que le député ne saurait, dans le contexte d’une procédure de levée d’immunité, être considéré comme un «accusé»</w:t>
      </w:r>
      <w:r w:rsidRPr="00673AAF">
        <w:rPr>
          <w:vertAlign w:val="superscript"/>
          <w:lang w:val="fr-FR"/>
        </w:rPr>
        <w:footnoteReference w:id="2"/>
      </w:r>
      <w:r w:rsidRPr="00673AAF">
        <w:rPr>
          <w:lang w:val="fr-FR"/>
        </w:rPr>
        <w:t>;</w:t>
      </w:r>
    </w:p>
    <w:p w14:paraId="698DBE58" w14:textId="77777777" w:rsidR="00FB07DF" w:rsidRPr="00673AAF" w:rsidRDefault="00FB07DF" w:rsidP="00FB07DF">
      <w:pPr>
        <w:pStyle w:val="NormalHanging12a"/>
        <w:rPr>
          <w:lang w:val="fr-FR"/>
        </w:rPr>
      </w:pPr>
      <w:r w:rsidRPr="00673AAF">
        <w:rPr>
          <w:lang w:val="fr-FR"/>
        </w:rPr>
        <w:t>1.</w:t>
      </w:r>
      <w:r w:rsidRPr="00673AAF">
        <w:rPr>
          <w:lang w:val="fr-FR"/>
        </w:rPr>
        <w:tab/>
        <w:t>décide de lever l’immunité d’</w:t>
      </w:r>
      <w:proofErr w:type="spellStart"/>
      <w:r w:rsidRPr="00673AAF">
        <w:rPr>
          <w:lang w:val="fr-FR"/>
        </w:rPr>
        <w:t>Alvise</w:t>
      </w:r>
      <w:proofErr w:type="spellEnd"/>
      <w:r w:rsidRPr="00673AAF">
        <w:rPr>
          <w:lang w:val="fr-FR"/>
        </w:rPr>
        <w:t> Pérez;</w:t>
      </w:r>
    </w:p>
    <w:p w14:paraId="5C6E30C7" w14:textId="3CA66CB8" w:rsidR="00E365E1" w:rsidRPr="00673AAF" w:rsidRDefault="00FB07DF" w:rsidP="00AD63E5">
      <w:pPr>
        <w:pStyle w:val="NormalHanging12a"/>
        <w:rPr>
          <w:lang w:val="fr-FR"/>
        </w:rPr>
      </w:pPr>
      <w:r w:rsidRPr="00673AAF">
        <w:rPr>
          <w:lang w:val="fr-FR"/>
        </w:rPr>
        <w:t>2.</w:t>
      </w:r>
      <w:r w:rsidRPr="00673AAF">
        <w:rPr>
          <w:lang w:val="fr-FR"/>
        </w:rPr>
        <w:tab/>
        <w:t xml:space="preserve">charge sa Présidente de transmettre immédiatement la présente décision et le rapport de sa commission compétente </w:t>
      </w:r>
      <w:r w:rsidR="00602822" w:rsidRPr="004925D4">
        <w:rPr>
          <w:lang w:val="fr-BE"/>
        </w:rPr>
        <w:t xml:space="preserve">à </w:t>
      </w:r>
      <w:r w:rsidR="0020177D">
        <w:rPr>
          <w:lang w:val="fr-FR"/>
        </w:rPr>
        <w:t>l’</w:t>
      </w:r>
      <w:r w:rsidRPr="00673AAF">
        <w:rPr>
          <w:lang w:val="fr-FR"/>
        </w:rPr>
        <w:t xml:space="preserve">autorité </w:t>
      </w:r>
      <w:r w:rsidR="0020177D" w:rsidRPr="00673AAF">
        <w:rPr>
          <w:lang w:val="fr-FR"/>
        </w:rPr>
        <w:t>compétente</w:t>
      </w:r>
      <w:r w:rsidR="0020177D">
        <w:rPr>
          <w:lang w:val="fr-FR"/>
        </w:rPr>
        <w:t xml:space="preserve"> </w:t>
      </w:r>
      <w:r w:rsidR="0020177D" w:rsidRPr="0020177D">
        <w:rPr>
          <w:lang w:val="fr-FR"/>
        </w:rPr>
        <w:t xml:space="preserve">du Royaume d'Espagne </w:t>
      </w:r>
      <w:r w:rsidRPr="00673AAF">
        <w:rPr>
          <w:lang w:val="fr-FR"/>
        </w:rPr>
        <w:t xml:space="preserve">et à </w:t>
      </w:r>
      <w:proofErr w:type="spellStart"/>
      <w:r w:rsidRPr="00673AAF">
        <w:rPr>
          <w:lang w:val="fr-FR"/>
        </w:rPr>
        <w:t>Alvise</w:t>
      </w:r>
      <w:proofErr w:type="spellEnd"/>
      <w:r w:rsidRPr="00673AAF">
        <w:rPr>
          <w:lang w:val="fr-FR"/>
        </w:rPr>
        <w:t xml:space="preserve"> Pérez. </w:t>
      </w:r>
    </w:p>
    <w:sectPr w:rsidR="00E365E1" w:rsidRPr="00673AAF" w:rsidSect="00673AA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47267" w14:textId="77777777" w:rsidR="009B33BE" w:rsidRPr="00673AAF" w:rsidRDefault="009B33BE">
      <w:r w:rsidRPr="00673AAF">
        <w:separator/>
      </w:r>
    </w:p>
  </w:endnote>
  <w:endnote w:type="continuationSeparator" w:id="0">
    <w:p w14:paraId="330719EF" w14:textId="77777777" w:rsidR="009B33BE" w:rsidRPr="00673AAF" w:rsidRDefault="009B33BE">
      <w:r w:rsidRPr="00673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6F34" w14:textId="77777777" w:rsidR="00064002" w:rsidRPr="00673AA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3D1E3" w14:textId="77777777" w:rsidR="00064002" w:rsidRPr="00673AA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BCE4" w14:textId="77777777" w:rsidR="00064002" w:rsidRPr="00673A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8FE3C" w14:textId="77777777" w:rsidR="009B33BE" w:rsidRPr="00673AAF" w:rsidRDefault="009B33BE">
      <w:r w:rsidRPr="00673AAF">
        <w:separator/>
      </w:r>
    </w:p>
  </w:footnote>
  <w:footnote w:type="continuationSeparator" w:id="0">
    <w:p w14:paraId="79294129" w14:textId="77777777" w:rsidR="009B33BE" w:rsidRPr="00673AAF" w:rsidRDefault="009B33BE">
      <w:r w:rsidRPr="00673AAF">
        <w:continuationSeparator/>
      </w:r>
    </w:p>
  </w:footnote>
  <w:footnote w:id="1">
    <w:p w14:paraId="29EA76BB" w14:textId="1EDD5471" w:rsidR="00FB07DF" w:rsidRPr="00673AAF" w:rsidRDefault="00FB07DF" w:rsidP="00673AAF">
      <w:pPr>
        <w:pStyle w:val="FootnoteText"/>
        <w:ind w:left="567" w:hanging="567"/>
        <w:rPr>
          <w:sz w:val="24"/>
        </w:rPr>
      </w:pPr>
      <w:r w:rsidRPr="00673AAF">
        <w:rPr>
          <w:rStyle w:val="FootnoteReference"/>
          <w:sz w:val="24"/>
        </w:rPr>
        <w:footnoteRef/>
      </w:r>
      <w:r w:rsidR="00673AAF" w:rsidRPr="00673AAF">
        <w:rPr>
          <w:sz w:val="24"/>
        </w:rPr>
        <w:t xml:space="preserve"> </w:t>
      </w:r>
      <w:r w:rsidR="00673AAF" w:rsidRPr="00673AAF">
        <w:rPr>
          <w:sz w:val="24"/>
        </w:rPr>
        <w:tab/>
      </w:r>
      <w:r w:rsidRPr="00673AAF">
        <w:rPr>
          <w:sz w:val="24"/>
        </w:rPr>
        <w:t xml:space="preserve">Arrêt de la Cour de justice du 21 octobre 2008, Marra/De Gregorio et </w:t>
      </w:r>
      <w:proofErr w:type="spellStart"/>
      <w:r w:rsidRPr="00673AAF">
        <w:rPr>
          <w:sz w:val="24"/>
        </w:rPr>
        <w:t>Clemente</w:t>
      </w:r>
      <w:proofErr w:type="spellEnd"/>
      <w:r w:rsidRPr="00673AAF">
        <w:rPr>
          <w:sz w:val="24"/>
        </w:rPr>
        <w:t xml:space="preserve">, C-200/07 et C–201/07, ECLI:EU:C:2008:579; arrêt du Tribunal du 19 mars 2010, </w:t>
      </w:r>
      <w:proofErr w:type="spellStart"/>
      <w:r w:rsidRPr="00673AAF">
        <w:rPr>
          <w:sz w:val="24"/>
        </w:rPr>
        <w:t>Gollnisch</w:t>
      </w:r>
      <w:proofErr w:type="spellEnd"/>
      <w:r w:rsidRPr="00673AAF">
        <w:rPr>
          <w:sz w:val="24"/>
        </w:rPr>
        <w:t xml:space="preserve">/Parlement, T-42/06, ECLI:EU:T:2010:102; arrêt de la Cour de justice du 6 septembre 2011, </w:t>
      </w:r>
      <w:proofErr w:type="spellStart"/>
      <w:r w:rsidRPr="00673AAF">
        <w:rPr>
          <w:sz w:val="24"/>
        </w:rPr>
        <w:t>Patriciello</w:t>
      </w:r>
      <w:proofErr w:type="spellEnd"/>
      <w:r w:rsidRPr="00673AAF">
        <w:rPr>
          <w:sz w:val="24"/>
        </w:rPr>
        <w:t xml:space="preserve">, C-163/10, ECLI: EU:C:2011:543; arrêt du Tribunal du 17 janvier 2013, </w:t>
      </w:r>
      <w:proofErr w:type="spellStart"/>
      <w:r w:rsidRPr="00673AAF">
        <w:rPr>
          <w:sz w:val="24"/>
        </w:rPr>
        <w:t>Gollnisch</w:t>
      </w:r>
      <w:proofErr w:type="spellEnd"/>
      <w:r w:rsidRPr="00673AAF">
        <w:rPr>
          <w:sz w:val="24"/>
        </w:rPr>
        <w:t xml:space="preserve">/Parlement, T-346/11 et T-347/11, ECLI:EU:T:2013:23; arrêt de la Cour de justice du 19 décembre 2019, </w:t>
      </w:r>
      <w:proofErr w:type="spellStart"/>
      <w:r w:rsidRPr="00673AAF">
        <w:rPr>
          <w:sz w:val="24"/>
        </w:rPr>
        <w:t>Junqueras</w:t>
      </w:r>
      <w:proofErr w:type="spellEnd"/>
      <w:r w:rsidRPr="00673AAF">
        <w:rPr>
          <w:sz w:val="24"/>
        </w:rPr>
        <w:t xml:space="preserve"> Vies, C-502/19, ECLI:EU:C:2019:1115.</w:t>
      </w:r>
    </w:p>
  </w:footnote>
  <w:footnote w:id="2">
    <w:p w14:paraId="22D9BBC0" w14:textId="29DE592A" w:rsidR="00FB07DF" w:rsidRPr="00673AAF" w:rsidRDefault="00FB07DF" w:rsidP="00673AAF">
      <w:pPr>
        <w:pStyle w:val="FootnoteText"/>
        <w:ind w:left="567" w:hanging="567"/>
        <w:rPr>
          <w:sz w:val="24"/>
        </w:rPr>
      </w:pPr>
      <w:r w:rsidRPr="00673AAF">
        <w:rPr>
          <w:rStyle w:val="FootnoteReference"/>
          <w:sz w:val="24"/>
        </w:rPr>
        <w:footnoteRef/>
      </w:r>
      <w:r w:rsidR="00673AAF" w:rsidRPr="00673AAF">
        <w:rPr>
          <w:sz w:val="24"/>
        </w:rPr>
        <w:t xml:space="preserve"> </w:t>
      </w:r>
      <w:r w:rsidR="00673AAF" w:rsidRPr="00673AAF">
        <w:rPr>
          <w:sz w:val="24"/>
        </w:rPr>
        <w:tab/>
      </w:r>
      <w:r w:rsidRPr="00673AAF">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DE026" w14:textId="77777777" w:rsidR="00064002" w:rsidRPr="00673AA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DE24" w14:textId="77777777" w:rsidR="00064002" w:rsidRPr="00673AA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8848E" w14:textId="77777777" w:rsidR="00064002" w:rsidRPr="00673A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8858067">
    <w:abstractNumId w:val="9"/>
  </w:num>
  <w:num w:numId="2" w16cid:durableId="1240287721">
    <w:abstractNumId w:val="9"/>
  </w:num>
  <w:num w:numId="3" w16cid:durableId="461466142">
    <w:abstractNumId w:val="7"/>
  </w:num>
  <w:num w:numId="4" w16cid:durableId="986864310">
    <w:abstractNumId w:val="7"/>
  </w:num>
  <w:num w:numId="5" w16cid:durableId="1322008183">
    <w:abstractNumId w:val="6"/>
  </w:num>
  <w:num w:numId="6" w16cid:durableId="236935979">
    <w:abstractNumId w:val="6"/>
  </w:num>
  <w:num w:numId="7" w16cid:durableId="516502132">
    <w:abstractNumId w:val="5"/>
  </w:num>
  <w:num w:numId="8" w16cid:durableId="1321078132">
    <w:abstractNumId w:val="5"/>
  </w:num>
  <w:num w:numId="9" w16cid:durableId="803740187">
    <w:abstractNumId w:val="4"/>
  </w:num>
  <w:num w:numId="10" w16cid:durableId="1091585867">
    <w:abstractNumId w:val="4"/>
  </w:num>
  <w:num w:numId="11" w16cid:durableId="373579232">
    <w:abstractNumId w:val="8"/>
  </w:num>
  <w:num w:numId="12" w16cid:durableId="163253686">
    <w:abstractNumId w:val="8"/>
  </w:num>
  <w:num w:numId="13" w16cid:durableId="739786222">
    <w:abstractNumId w:val="3"/>
  </w:num>
  <w:num w:numId="14" w16cid:durableId="423258667">
    <w:abstractNumId w:val="3"/>
  </w:num>
  <w:num w:numId="15" w16cid:durableId="1429692230">
    <w:abstractNumId w:val="2"/>
  </w:num>
  <w:num w:numId="16" w16cid:durableId="1474634755">
    <w:abstractNumId w:val="2"/>
  </w:num>
  <w:num w:numId="17" w16cid:durableId="786312485">
    <w:abstractNumId w:val="1"/>
  </w:num>
  <w:num w:numId="18" w16cid:durableId="366688078">
    <w:abstractNumId w:val="1"/>
  </w:num>
  <w:num w:numId="19" w16cid:durableId="1483622174">
    <w:abstractNumId w:val="0"/>
  </w:num>
  <w:num w:numId="20" w16cid:durableId="1785614976">
    <w:abstractNumId w:val="0"/>
  </w:num>
  <w:num w:numId="21" w16cid:durableId="375588684">
    <w:abstractNumId w:val="9"/>
  </w:num>
  <w:num w:numId="22" w16cid:durableId="199393195">
    <w:abstractNumId w:val="7"/>
  </w:num>
  <w:num w:numId="23" w16cid:durableId="612592381">
    <w:abstractNumId w:val="6"/>
  </w:num>
  <w:num w:numId="24" w16cid:durableId="492717109">
    <w:abstractNumId w:val="5"/>
  </w:num>
  <w:num w:numId="25" w16cid:durableId="1220945383">
    <w:abstractNumId w:val="4"/>
  </w:num>
  <w:num w:numId="26" w16cid:durableId="441191602">
    <w:abstractNumId w:val="8"/>
  </w:num>
  <w:num w:numId="27" w16cid:durableId="325665890">
    <w:abstractNumId w:val="3"/>
  </w:num>
  <w:num w:numId="28" w16cid:durableId="1577666117">
    <w:abstractNumId w:val="2"/>
  </w:num>
  <w:num w:numId="29" w16cid:durableId="699283415">
    <w:abstractNumId w:val="1"/>
  </w:num>
  <w:num w:numId="30" w16cid:durableId="1296567519">
    <w:abstractNumId w:val="0"/>
  </w:num>
  <w:num w:numId="31" w16cid:durableId="996953803">
    <w:abstractNumId w:val="9"/>
  </w:num>
  <w:num w:numId="32" w16cid:durableId="1197425600">
    <w:abstractNumId w:val="7"/>
  </w:num>
  <w:num w:numId="33" w16cid:durableId="968976392">
    <w:abstractNumId w:val="6"/>
  </w:num>
  <w:num w:numId="34" w16cid:durableId="1108622518">
    <w:abstractNumId w:val="5"/>
  </w:num>
  <w:num w:numId="35" w16cid:durableId="589199442">
    <w:abstractNumId w:val="4"/>
  </w:num>
  <w:num w:numId="36" w16cid:durableId="716973886">
    <w:abstractNumId w:val="8"/>
  </w:num>
  <w:num w:numId="37" w16cid:durableId="1257716017">
    <w:abstractNumId w:val="3"/>
  </w:num>
  <w:num w:numId="38" w16cid:durableId="1120955910">
    <w:abstractNumId w:val="2"/>
  </w:num>
  <w:num w:numId="39" w16cid:durableId="2074229682">
    <w:abstractNumId w:val="1"/>
  </w:num>
  <w:num w:numId="40" w16cid:durableId="2022200352">
    <w:abstractNumId w:val="0"/>
  </w:num>
  <w:num w:numId="41" w16cid:durableId="1432122566">
    <w:abstractNumId w:val="10"/>
  </w:num>
  <w:num w:numId="42" w16cid:durableId="2075926381">
    <w:abstractNumId w:val="10"/>
  </w:num>
  <w:num w:numId="43" w16cid:durableId="549734059">
    <w:abstractNumId w:val="10"/>
  </w:num>
  <w:num w:numId="44" w16cid:durableId="912007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FR"/>
    <w:docVar w:name="dvnumam" w:val="0"/>
    <w:docVar w:name="dvpe" w:val="785.310"/>
    <w:docVar w:name="dvrapporteur" w:val="Rapporteure: "/>
    <w:docVar w:name="dvtitre" w:val="Décision du Parlement européen du ... 2026 sur la demande de levée de l’immunité d’Alvise Pérez(2025/2236(IMM))"/>
  </w:docVars>
  <w:rsids>
    <w:rsidRoot w:val="009B33BE"/>
    <w:rsid w:val="00002272"/>
    <w:rsid w:val="00064002"/>
    <w:rsid w:val="000677B9"/>
    <w:rsid w:val="000831BA"/>
    <w:rsid w:val="000A42CC"/>
    <w:rsid w:val="000E7DD9"/>
    <w:rsid w:val="0010095E"/>
    <w:rsid w:val="00113353"/>
    <w:rsid w:val="00125B37"/>
    <w:rsid w:val="00170CF2"/>
    <w:rsid w:val="00187494"/>
    <w:rsid w:val="00190712"/>
    <w:rsid w:val="001F32AE"/>
    <w:rsid w:val="0020177D"/>
    <w:rsid w:val="002767FF"/>
    <w:rsid w:val="002B18FE"/>
    <w:rsid w:val="002B5493"/>
    <w:rsid w:val="00343214"/>
    <w:rsid w:val="00361C00"/>
    <w:rsid w:val="00395FA1"/>
    <w:rsid w:val="003E15D4"/>
    <w:rsid w:val="00411CCE"/>
    <w:rsid w:val="0041666E"/>
    <w:rsid w:val="00421060"/>
    <w:rsid w:val="00471C19"/>
    <w:rsid w:val="004867E3"/>
    <w:rsid w:val="004925D4"/>
    <w:rsid w:val="00494A28"/>
    <w:rsid w:val="004C0004"/>
    <w:rsid w:val="004C5D52"/>
    <w:rsid w:val="0050519A"/>
    <w:rsid w:val="005072A1"/>
    <w:rsid w:val="00514517"/>
    <w:rsid w:val="00545827"/>
    <w:rsid w:val="00560270"/>
    <w:rsid w:val="005C2568"/>
    <w:rsid w:val="005F1B17"/>
    <w:rsid w:val="00602822"/>
    <w:rsid w:val="006037C0"/>
    <w:rsid w:val="00615E67"/>
    <w:rsid w:val="0065353E"/>
    <w:rsid w:val="006631B6"/>
    <w:rsid w:val="00673AAF"/>
    <w:rsid w:val="00680577"/>
    <w:rsid w:val="006F74FA"/>
    <w:rsid w:val="00731ADD"/>
    <w:rsid w:val="00734777"/>
    <w:rsid w:val="00747932"/>
    <w:rsid w:val="00751A4A"/>
    <w:rsid w:val="00752AFC"/>
    <w:rsid w:val="00756632"/>
    <w:rsid w:val="00762C74"/>
    <w:rsid w:val="00786EC0"/>
    <w:rsid w:val="007D1690"/>
    <w:rsid w:val="007E22AD"/>
    <w:rsid w:val="008116B6"/>
    <w:rsid w:val="00817416"/>
    <w:rsid w:val="00842779"/>
    <w:rsid w:val="00854F16"/>
    <w:rsid w:val="00865F67"/>
    <w:rsid w:val="00881A7B"/>
    <w:rsid w:val="008840E5"/>
    <w:rsid w:val="00887B3E"/>
    <w:rsid w:val="008C2AC6"/>
    <w:rsid w:val="00925272"/>
    <w:rsid w:val="00930C23"/>
    <w:rsid w:val="0093193B"/>
    <w:rsid w:val="009509D8"/>
    <w:rsid w:val="00950B64"/>
    <w:rsid w:val="00981893"/>
    <w:rsid w:val="009B33BE"/>
    <w:rsid w:val="00A1687D"/>
    <w:rsid w:val="00A43E52"/>
    <w:rsid w:val="00A4678D"/>
    <w:rsid w:val="00A778C7"/>
    <w:rsid w:val="00AB441E"/>
    <w:rsid w:val="00AB6293"/>
    <w:rsid w:val="00AD63E5"/>
    <w:rsid w:val="00AE0928"/>
    <w:rsid w:val="00AF3B82"/>
    <w:rsid w:val="00B12E95"/>
    <w:rsid w:val="00B22876"/>
    <w:rsid w:val="00B558F0"/>
    <w:rsid w:val="00BD48FE"/>
    <w:rsid w:val="00BD7BD8"/>
    <w:rsid w:val="00BE6ADC"/>
    <w:rsid w:val="00BF2679"/>
    <w:rsid w:val="00C05BFE"/>
    <w:rsid w:val="00C23CD4"/>
    <w:rsid w:val="00C61C0C"/>
    <w:rsid w:val="00C81235"/>
    <w:rsid w:val="00C941CB"/>
    <w:rsid w:val="00CC2357"/>
    <w:rsid w:val="00CF071A"/>
    <w:rsid w:val="00D058B8"/>
    <w:rsid w:val="00D56C11"/>
    <w:rsid w:val="00D834A0"/>
    <w:rsid w:val="00D872DF"/>
    <w:rsid w:val="00D91E21"/>
    <w:rsid w:val="00DA7FCD"/>
    <w:rsid w:val="00E365E1"/>
    <w:rsid w:val="00E820A4"/>
    <w:rsid w:val="00EB006A"/>
    <w:rsid w:val="00EB4772"/>
    <w:rsid w:val="00EC13D2"/>
    <w:rsid w:val="00ED169E"/>
    <w:rsid w:val="00ED4235"/>
    <w:rsid w:val="00F04346"/>
    <w:rsid w:val="00F075DC"/>
    <w:rsid w:val="00F149E9"/>
    <w:rsid w:val="00F32170"/>
    <w:rsid w:val="00F5134D"/>
    <w:rsid w:val="00F74202"/>
    <w:rsid w:val="00F87713"/>
    <w:rsid w:val="00FB07D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46C39"/>
  <w15:chartTrackingRefBased/>
  <w15:docId w15:val="{459BD8C5-B1D0-4F71-A20E-0842BA0F2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07DF"/>
    <w:pPr>
      <w:spacing w:after="240"/>
      <w:ind w:left="567" w:hanging="567"/>
    </w:pPr>
    <w:rPr>
      <w:lang w:val="en-GB"/>
    </w:rPr>
  </w:style>
  <w:style w:type="paragraph" w:customStyle="1" w:styleId="EPComma">
    <w:name w:val="EPComma"/>
    <w:basedOn w:val="Normal"/>
    <w:rsid w:val="00FB07DF"/>
    <w:pPr>
      <w:spacing w:before="480" w:after="240"/>
    </w:pPr>
    <w:rPr>
      <w:lang w:val="en-GB"/>
    </w:rPr>
  </w:style>
  <w:style w:type="paragraph" w:styleId="Revision">
    <w:name w:val="Revision"/>
    <w:hidden/>
    <w:uiPriority w:val="99"/>
    <w:semiHidden/>
    <w:rsid w:val="00AD63E5"/>
    <w:rPr>
      <w:sz w:val="24"/>
      <w:lang w:val="fr-FR"/>
    </w:rPr>
  </w:style>
  <w:style w:type="character" w:styleId="CommentReference">
    <w:name w:val="annotation reference"/>
    <w:basedOn w:val="DefaultParagraphFont"/>
    <w:rsid w:val="00615E67"/>
    <w:rPr>
      <w:sz w:val="16"/>
      <w:szCs w:val="16"/>
    </w:rPr>
  </w:style>
  <w:style w:type="paragraph" w:styleId="CommentText">
    <w:name w:val="annotation text"/>
    <w:basedOn w:val="Normal"/>
    <w:link w:val="CommentTextChar"/>
    <w:rsid w:val="00615E67"/>
    <w:rPr>
      <w:sz w:val="20"/>
    </w:rPr>
  </w:style>
  <w:style w:type="character" w:customStyle="1" w:styleId="CommentTextChar">
    <w:name w:val="Comment Text Char"/>
    <w:basedOn w:val="DefaultParagraphFont"/>
    <w:link w:val="CommentText"/>
    <w:rsid w:val="00615E67"/>
    <w:rPr>
      <w:lang w:val="fr-FR"/>
    </w:rPr>
  </w:style>
  <w:style w:type="paragraph" w:styleId="CommentSubject">
    <w:name w:val="annotation subject"/>
    <w:basedOn w:val="CommentText"/>
    <w:next w:val="CommentText"/>
    <w:link w:val="CommentSubjectChar"/>
    <w:rsid w:val="00615E67"/>
    <w:rPr>
      <w:b/>
      <w:bCs/>
    </w:rPr>
  </w:style>
  <w:style w:type="character" w:customStyle="1" w:styleId="CommentSubjectChar">
    <w:name w:val="Comment Subject Char"/>
    <w:basedOn w:val="CommentTextChar"/>
    <w:link w:val="CommentSubject"/>
    <w:rsid w:val="00615E67"/>
    <w:rPr>
      <w:b/>
      <w:bCs/>
      <w:lang w:val="fr-FR"/>
    </w:rPr>
  </w:style>
  <w:style w:type="character" w:styleId="Hyperlink">
    <w:name w:val="Hyperlink"/>
    <w:basedOn w:val="DefaultParagraphFont"/>
    <w:rsid w:val="00615E67"/>
    <w:rPr>
      <w:color w:val="0563C1" w:themeColor="hyperlink"/>
      <w:u w:val="single"/>
    </w:rPr>
  </w:style>
  <w:style w:type="character" w:styleId="UnresolvedMention">
    <w:name w:val="Unresolved Mention"/>
    <w:basedOn w:val="DefaultParagraphFont"/>
    <w:uiPriority w:val="99"/>
    <w:semiHidden/>
    <w:unhideWhenUsed/>
    <w:rsid w:val="00615E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9817">
      <w:bodyDiv w:val="1"/>
      <w:marLeft w:val="0"/>
      <w:marRight w:val="0"/>
      <w:marTop w:val="0"/>
      <w:marBottom w:val="0"/>
      <w:divBdr>
        <w:top w:val="none" w:sz="0" w:space="0" w:color="auto"/>
        <w:left w:val="none" w:sz="0" w:space="0" w:color="auto"/>
        <w:bottom w:val="none" w:sz="0" w:space="0" w:color="auto"/>
        <w:right w:val="none" w:sz="0" w:space="0" w:color="auto"/>
      </w:divBdr>
    </w:div>
    <w:div w:id="179995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863</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2026-05-19T09:35:00Z</dcterms:created>
  <dcterms:modified xsi:type="dcterms:W3CDTF">2026-05-19T09:35:00Z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A10-0129/2026</vt:lpwstr>
  </property>
  <property fmtid="{D5CDD505-2E9C-101B-9397-08002B2CF9AE}" pid="4" name="&lt;Type&gt;">
    <vt:lpwstr>RR</vt:lpwstr>
  </property>
</Properties>
</file>