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D011D" w14:paraId="0611BAE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3C964B1" w14:textId="77777777" w:rsidR="00751A4A" w:rsidRPr="007D011D" w:rsidRDefault="008F2A35" w:rsidP="0010095E">
            <w:pPr>
              <w:pStyle w:val="EPName"/>
            </w:pPr>
            <w:r w:rsidRPr="007D011D">
              <w:t>Parlamento europeo</w:t>
            </w:r>
          </w:p>
          <w:p w14:paraId="4028D94E" w14:textId="77777777" w:rsidR="00751A4A" w:rsidRPr="007D011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D011D">
              <w:t>2024</w:t>
            </w:r>
            <w:r w:rsidR="00817416" w:rsidRPr="007D011D">
              <w:t>-202</w:t>
            </w:r>
            <w:r w:rsidRPr="007D011D">
              <w:t>9</w:t>
            </w:r>
          </w:p>
        </w:tc>
        <w:tc>
          <w:tcPr>
            <w:tcW w:w="2268" w:type="dxa"/>
            <w:shd w:val="clear" w:color="auto" w:fill="auto"/>
          </w:tcPr>
          <w:p w14:paraId="7A255A9A" w14:textId="77777777" w:rsidR="00751A4A" w:rsidRPr="007D011D" w:rsidRDefault="00187494" w:rsidP="0010095E">
            <w:pPr>
              <w:pStyle w:val="EPLogo"/>
            </w:pPr>
            <w:r w:rsidRPr="007D011D">
              <w:rPr>
                <w:noProof/>
                <w:lang w:eastAsia="ja-JP"/>
              </w:rPr>
              <w:drawing>
                <wp:inline distT="0" distB="0" distL="0" distR="0" wp14:anchorId="7A9EABD5" wp14:editId="3433114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3C44F3" w14:textId="77777777" w:rsidR="00D058B8" w:rsidRPr="007D011D" w:rsidRDefault="00D058B8" w:rsidP="004C5D52">
      <w:pPr>
        <w:pStyle w:val="LineTop"/>
      </w:pPr>
    </w:p>
    <w:p w14:paraId="302E02FB" w14:textId="77777777" w:rsidR="00680577" w:rsidRPr="007D011D" w:rsidRDefault="008F2A35" w:rsidP="00680577">
      <w:pPr>
        <w:pStyle w:val="EPBodyTA1"/>
      </w:pPr>
      <w:r w:rsidRPr="007D011D">
        <w:t>TESTI APPROVATI</w:t>
      </w:r>
    </w:p>
    <w:p w14:paraId="703535D1" w14:textId="77777777" w:rsidR="00D058B8" w:rsidRPr="007D011D" w:rsidRDefault="00D058B8" w:rsidP="00D058B8">
      <w:pPr>
        <w:pStyle w:val="LineBottom"/>
      </w:pPr>
    </w:p>
    <w:p w14:paraId="4AA9DD9D" w14:textId="60914B8A" w:rsidR="008F2A35" w:rsidRPr="007D011D" w:rsidRDefault="008F2A35" w:rsidP="008F2A35">
      <w:pPr>
        <w:pStyle w:val="ATHeading1"/>
      </w:pPr>
      <w:bookmarkStart w:id="0" w:name="TANumber"/>
      <w:r w:rsidRPr="007D011D">
        <w:t>P10_TA(2026)0</w:t>
      </w:r>
      <w:bookmarkEnd w:id="0"/>
      <w:r w:rsidR="007D011D" w:rsidRPr="007D011D">
        <w:t>167</w:t>
      </w:r>
    </w:p>
    <w:p w14:paraId="0E6B8F08" w14:textId="77777777" w:rsidR="008F2A35" w:rsidRPr="007D011D" w:rsidRDefault="008F2A35" w:rsidP="008F2A35">
      <w:pPr>
        <w:pStyle w:val="ATHeading2"/>
      </w:pPr>
      <w:bookmarkStart w:id="1" w:name="title"/>
      <w:r w:rsidRPr="007D011D">
        <w:t>Richiesta di revoca dell'immunità di Alvise Pérez</w:t>
      </w:r>
      <w:bookmarkEnd w:id="1"/>
    </w:p>
    <w:p w14:paraId="76352F1C" w14:textId="77777777" w:rsidR="008F2A35" w:rsidRPr="007D011D" w:rsidRDefault="008F2A35" w:rsidP="008F2A35">
      <w:pPr>
        <w:rPr>
          <w:i/>
          <w:vanish/>
        </w:rPr>
      </w:pPr>
      <w:r w:rsidRPr="007D011D">
        <w:rPr>
          <w:i/>
        </w:rPr>
        <w:fldChar w:fldCharType="begin"/>
      </w:r>
      <w:r w:rsidRPr="007D011D">
        <w:rPr>
          <w:i/>
        </w:rPr>
        <w:instrText xml:space="preserve"> TC"(</w:instrText>
      </w:r>
      <w:bookmarkStart w:id="2" w:name="DocNumber"/>
      <w:r w:rsidRPr="007D011D">
        <w:rPr>
          <w:i/>
        </w:rPr>
        <w:instrText>A10-0129/2026</w:instrText>
      </w:r>
      <w:bookmarkEnd w:id="2"/>
      <w:r w:rsidRPr="007D011D">
        <w:rPr>
          <w:i/>
        </w:rPr>
        <w:instrText xml:space="preserve"> - Relatrice: Pascale Piera)"\l3 \n&gt; \* MERGEFORMAT </w:instrText>
      </w:r>
      <w:r w:rsidRPr="007D011D">
        <w:rPr>
          <w:i/>
        </w:rPr>
        <w:fldChar w:fldCharType="end"/>
      </w:r>
    </w:p>
    <w:p w14:paraId="5EE0CCE6" w14:textId="77777777" w:rsidR="008F2A35" w:rsidRPr="007D011D" w:rsidRDefault="008F2A35" w:rsidP="008F2A35">
      <w:pPr>
        <w:rPr>
          <w:vanish/>
        </w:rPr>
      </w:pPr>
      <w:bookmarkStart w:id="3" w:name="Commission"/>
      <w:r w:rsidRPr="007D011D">
        <w:rPr>
          <w:vanish/>
        </w:rPr>
        <w:t>Commissione giuridica</w:t>
      </w:r>
      <w:bookmarkEnd w:id="3"/>
    </w:p>
    <w:p w14:paraId="6DD4AAED" w14:textId="77777777" w:rsidR="008F2A35" w:rsidRPr="007D011D" w:rsidRDefault="008F2A35" w:rsidP="008F2A35">
      <w:pPr>
        <w:rPr>
          <w:vanish/>
        </w:rPr>
      </w:pPr>
      <w:bookmarkStart w:id="4" w:name="PE"/>
      <w:r w:rsidRPr="007D011D">
        <w:rPr>
          <w:vanish/>
        </w:rPr>
        <w:t>PE785.310</w:t>
      </w:r>
      <w:bookmarkEnd w:id="4"/>
    </w:p>
    <w:p w14:paraId="1BF8249F" w14:textId="410BD0A3" w:rsidR="008F2A35" w:rsidRPr="007D011D" w:rsidRDefault="008F2A35" w:rsidP="00E25B3A">
      <w:pPr>
        <w:pStyle w:val="ATHeading3"/>
      </w:pPr>
      <w:bookmarkStart w:id="5" w:name="Sujet"/>
      <w:r w:rsidRPr="007D011D">
        <w:t xml:space="preserve">Decisione del Parlamento europeo del </w:t>
      </w:r>
      <w:r w:rsidR="002A00CA" w:rsidRPr="007D011D">
        <w:t xml:space="preserve">19 </w:t>
      </w:r>
      <w:r w:rsidRPr="007D011D">
        <w:t>maggio 2026 sulla richiesta di revoca dell'immunità di Alvise Pérez</w:t>
      </w:r>
      <w:bookmarkEnd w:id="5"/>
      <w:r w:rsidRPr="007D011D">
        <w:t xml:space="preserve"> </w:t>
      </w:r>
      <w:bookmarkStart w:id="6" w:name="References"/>
      <w:r w:rsidRPr="007D011D">
        <w:t>(2025/2236(IMM))</w:t>
      </w:r>
      <w:bookmarkEnd w:id="6"/>
    </w:p>
    <w:p w14:paraId="6E9F27E7" w14:textId="77777777" w:rsidR="0093717E" w:rsidRPr="007D011D" w:rsidRDefault="0093717E" w:rsidP="0093717E">
      <w:pPr>
        <w:pStyle w:val="EPComma"/>
      </w:pPr>
      <w:bookmarkStart w:id="7" w:name="TextBodyBegin"/>
      <w:bookmarkEnd w:id="7"/>
      <w:r w:rsidRPr="007D011D">
        <w:rPr>
          <w:i/>
          <w:iCs/>
        </w:rPr>
        <w:t>Il Parlamento europeo</w:t>
      </w:r>
      <w:r w:rsidRPr="007D011D">
        <w:t>,</w:t>
      </w:r>
    </w:p>
    <w:p w14:paraId="6ACACA9E" w14:textId="2802725A" w:rsidR="0093717E" w:rsidRPr="007D011D" w:rsidRDefault="0093717E" w:rsidP="0093717E">
      <w:pPr>
        <w:pStyle w:val="NormalHanging12a"/>
      </w:pPr>
      <w:r w:rsidRPr="007D011D">
        <w:t>–</w:t>
      </w:r>
      <w:r w:rsidRPr="007D011D">
        <w:tab/>
        <w:t xml:space="preserve">vista la richiesta di revoca dell'immunità di </w:t>
      </w:r>
      <w:r w:rsidR="002A00CA" w:rsidRPr="007D011D">
        <w:t>Alvise Pérez (</w:t>
      </w:r>
      <w:r w:rsidRPr="007D011D">
        <w:t>Luis Pérez Fernandez</w:t>
      </w:r>
      <w:r w:rsidR="002A00CA" w:rsidRPr="007D011D">
        <w:t>)</w:t>
      </w:r>
      <w:r w:rsidRPr="007D011D">
        <w:t xml:space="preserve">,, </w:t>
      </w:r>
      <w:r w:rsidR="002A00CA" w:rsidRPr="007D011D">
        <w:t xml:space="preserve">presentata dalla Corte suprema spagnola con lettera in data </w:t>
      </w:r>
      <w:r w:rsidRPr="007D011D">
        <w:t xml:space="preserve">31 ottobre 2025 </w:t>
      </w:r>
      <w:r w:rsidR="002A00CA" w:rsidRPr="007D011D">
        <w:t>nel quadro</w:t>
      </w:r>
      <w:r w:rsidRPr="007D011D">
        <w:t xml:space="preserve"> un procedimento penale </w:t>
      </w:r>
      <w:r w:rsidR="002A00CA" w:rsidRPr="007D011D">
        <w:t>a suo carico</w:t>
      </w:r>
      <w:r w:rsidRPr="007D011D">
        <w:t xml:space="preserve"> e comunicata in Aula il 12 novembre 2025,</w:t>
      </w:r>
    </w:p>
    <w:p w14:paraId="00CBF96D" w14:textId="317C49A0" w:rsidR="0093717E" w:rsidRPr="007D011D" w:rsidRDefault="0093717E" w:rsidP="0093717E">
      <w:pPr>
        <w:pStyle w:val="NormalHanging12a"/>
      </w:pPr>
      <w:r w:rsidRPr="007D011D">
        <w:t>–</w:t>
      </w:r>
      <w:r w:rsidRPr="007D011D">
        <w:tab/>
        <w:t xml:space="preserve">visto il diritto di essere ascoltato a norma dell'articolo 9, paragrafo 6, del </w:t>
      </w:r>
      <w:r w:rsidR="002A00CA" w:rsidRPr="007D011D">
        <w:t xml:space="preserve">suo </w:t>
      </w:r>
      <w:r w:rsidRPr="007D011D">
        <w:t>regolamento, al quale Alvise Pérez avrebbe rinunciato,</w:t>
      </w:r>
    </w:p>
    <w:p w14:paraId="2C2C7EF9" w14:textId="77777777" w:rsidR="0093717E" w:rsidRPr="007D011D" w:rsidRDefault="0093717E" w:rsidP="0093717E">
      <w:pPr>
        <w:pStyle w:val="NormalHanging12a"/>
      </w:pPr>
      <w:r w:rsidRPr="007D011D">
        <w:t>–</w:t>
      </w:r>
      <w:r w:rsidRPr="007D011D">
        <w:tab/>
        <w:t>visti gli articoli 8 e 9 del protocollo n. 7 sui privilegi e sulle immunità dell'Unione europea e l'articolo 6, paragrafo 2, dell'atto relativo all'elezione dei membri del Parlamento europeo a suffragio universale diretto, del 20 settembre 1976,</w:t>
      </w:r>
    </w:p>
    <w:p w14:paraId="420FEF06" w14:textId="77777777" w:rsidR="0093717E" w:rsidRPr="007D011D" w:rsidRDefault="0093717E" w:rsidP="0093717E">
      <w:pPr>
        <w:pStyle w:val="NormalHanging12a"/>
      </w:pPr>
      <w:r w:rsidRPr="007D011D">
        <w:t>–</w:t>
      </w:r>
      <w:r w:rsidRPr="007D011D">
        <w:tab/>
        <w:t>viste le sentenze pronunciate dalla Corte di giustizia dell'Unione europea il 21 ottobre 2008, 19 marzo 2010, 6 settembre 2011, 17 gennaio 2013 e 19 dicembre 2019</w:t>
      </w:r>
      <w:r w:rsidRPr="007D011D">
        <w:rPr>
          <w:vertAlign w:val="superscript"/>
        </w:rPr>
        <w:footnoteReference w:id="1"/>
      </w:r>
      <w:r w:rsidRPr="007D011D">
        <w:t>,</w:t>
      </w:r>
    </w:p>
    <w:p w14:paraId="785192FA" w14:textId="77777777" w:rsidR="0093717E" w:rsidRPr="007D011D" w:rsidRDefault="0093717E" w:rsidP="0093717E">
      <w:pPr>
        <w:pStyle w:val="NormalHanging12a"/>
      </w:pPr>
      <w:r w:rsidRPr="007D011D">
        <w:t>–</w:t>
      </w:r>
      <w:r w:rsidRPr="007D011D">
        <w:tab/>
        <w:t>visto l'articolo 71, paragrafi 1 e 2, della Costituzione spagnola,</w:t>
      </w:r>
    </w:p>
    <w:p w14:paraId="6C808897" w14:textId="77777777" w:rsidR="0093717E" w:rsidRPr="007D011D" w:rsidRDefault="0093717E" w:rsidP="0093717E">
      <w:pPr>
        <w:pStyle w:val="NormalHanging12a"/>
      </w:pPr>
      <w:r w:rsidRPr="007D011D">
        <w:t>–</w:t>
      </w:r>
      <w:r w:rsidRPr="007D011D">
        <w:tab/>
        <w:t>visti l'articolo 5, paragrafo 2, l'articolo 6, paragrafo 1, e l'articolo 9 del suo regolamento,</w:t>
      </w:r>
    </w:p>
    <w:p w14:paraId="1A04E7CB" w14:textId="77777777" w:rsidR="0093717E" w:rsidRPr="007D011D" w:rsidRDefault="0093717E" w:rsidP="0093717E">
      <w:pPr>
        <w:pStyle w:val="NormalHanging12a"/>
      </w:pPr>
      <w:r w:rsidRPr="007D011D">
        <w:t>–</w:t>
      </w:r>
      <w:r w:rsidRPr="007D011D">
        <w:tab/>
        <w:t>vista la relazione della commissione giuridica (A10</w:t>
      </w:r>
      <w:r w:rsidRPr="007D011D">
        <w:noBreakHyphen/>
        <w:t>0129/2026),</w:t>
      </w:r>
    </w:p>
    <w:p w14:paraId="493D0F9E" w14:textId="18E9D933" w:rsidR="0093717E" w:rsidRPr="007D011D" w:rsidRDefault="0093717E" w:rsidP="0093717E">
      <w:pPr>
        <w:pStyle w:val="NormalHanging12a"/>
      </w:pPr>
      <w:r w:rsidRPr="007D011D">
        <w:t>A.</w:t>
      </w:r>
      <w:r w:rsidRPr="007D011D">
        <w:tab/>
        <w:t xml:space="preserve">considerando che, con lettera in data 31 ottobre 2025, il presidente </w:t>
      </w:r>
      <w:r w:rsidR="002A00CA" w:rsidRPr="007D011D">
        <w:t xml:space="preserve">della Corte suprema </w:t>
      </w:r>
      <w:r w:rsidR="002A00CA" w:rsidRPr="007D011D">
        <w:lastRenderedPageBreak/>
        <w:t xml:space="preserve">spagnola </w:t>
      </w:r>
      <w:r w:rsidRPr="007D011D">
        <w:t xml:space="preserve">ha trasmesso una richiesta di revoca dell'immunità di Alvise Pérez, </w:t>
      </w:r>
      <w:bookmarkStart w:id="8" w:name="_Hlk222405545"/>
      <w:r w:rsidRPr="007D011D">
        <w:t>deputato al Parlamento europeo eletto in</w:t>
      </w:r>
      <w:bookmarkEnd w:id="8"/>
      <w:r w:rsidRPr="007D011D">
        <w:t xml:space="preserve"> Spagna, in relazione a presunti reati commessi nel 2024;</w:t>
      </w:r>
    </w:p>
    <w:p w14:paraId="468CF511" w14:textId="47499660" w:rsidR="0093717E" w:rsidRPr="007D011D" w:rsidRDefault="0093717E" w:rsidP="0093717E">
      <w:pPr>
        <w:pStyle w:val="NormalHanging12a"/>
      </w:pPr>
      <w:r w:rsidRPr="007D011D">
        <w:t>B.</w:t>
      </w:r>
      <w:r w:rsidRPr="007D011D">
        <w:tab/>
        <w:t xml:space="preserve">considerando che nella richiesta si afferma che, tra il 7 aprile </w:t>
      </w:r>
      <w:r w:rsidR="00F91316" w:rsidRPr="007D011D">
        <w:t xml:space="preserve">2024 </w:t>
      </w:r>
      <w:r w:rsidRPr="007D011D">
        <w:t xml:space="preserve">e il 27 maggio 2024, Alvise Pérez avrebbe </w:t>
      </w:r>
      <w:r w:rsidR="00F91316" w:rsidRPr="007D011D">
        <w:t xml:space="preserve">intrattenuto </w:t>
      </w:r>
      <w:r w:rsidRPr="007D011D">
        <w:t xml:space="preserve">legami con un consulente che agisce per conto di persone fisiche e giuridiche al fine di ottenere vantaggi economici mediante regimi di </w:t>
      </w:r>
      <w:r w:rsidR="008563D2" w:rsidRPr="007D011D">
        <w:t xml:space="preserve">ottimizzazione </w:t>
      </w:r>
      <w:r w:rsidRPr="007D011D">
        <w:t xml:space="preserve">fiscale, con l'obiettivo di creare un "portafoglio" per raccogliere fondi per il finanziamento della campagna elettorale del partito politico fondato da Alvise Pérez, denominato "Se </w:t>
      </w:r>
      <w:proofErr w:type="spellStart"/>
      <w:r w:rsidRPr="007D011D">
        <w:t>Acabó</w:t>
      </w:r>
      <w:proofErr w:type="spellEnd"/>
      <w:r w:rsidRPr="007D011D">
        <w:t xml:space="preserve"> La Fiesta"; che, secondo la richiesta, il consulente che ha creato tale "portafoglio" avrebbe versato un anticipo di 100 000 EUR a Alvise Pérez per </w:t>
      </w:r>
      <w:r w:rsidR="00F91316" w:rsidRPr="007D011D">
        <w:t>tale</w:t>
      </w:r>
      <w:r w:rsidRPr="007D011D">
        <w:t xml:space="preserve"> partito politico in vista delle elezioni europee; che i fatti contestati possono configurare </w:t>
      </w:r>
      <w:r w:rsidR="008563D2" w:rsidRPr="007D011D">
        <w:t xml:space="preserve">il </w:t>
      </w:r>
      <w:r w:rsidRPr="007D011D">
        <w:t>reat</w:t>
      </w:r>
      <w:r w:rsidR="008563D2" w:rsidRPr="007D011D">
        <w:t>o</w:t>
      </w:r>
      <w:r w:rsidRPr="007D011D">
        <w:t xml:space="preserve"> di finanziamento illecito di un partito politico ai sensi dell'articolo 304 bis, paragrafo 1, del codice penale spagnolo e un </w:t>
      </w:r>
      <w:r w:rsidR="008563D2" w:rsidRPr="007D011D">
        <w:t>illecito</w:t>
      </w:r>
      <w:r w:rsidR="00F91316" w:rsidRPr="007D011D">
        <w:t xml:space="preserve"> </w:t>
      </w:r>
      <w:r w:rsidRPr="007D011D">
        <w:t>elettorale ai sensi dell'articolo 149, paragrafo 1, della legge organica</w:t>
      </w:r>
      <w:r w:rsidR="00F91316" w:rsidRPr="007D011D">
        <w:t xml:space="preserve"> spagnola</w:t>
      </w:r>
      <w:r w:rsidRPr="007D011D">
        <w:t xml:space="preserve"> n. 5/1985, del 19 giugno 1985, sul sistema elettorale generale; che la procedura di indagine è stata avviata con ordinanza in data 20 settembre 2024;</w:t>
      </w:r>
    </w:p>
    <w:p w14:paraId="28A270C2" w14:textId="370F1DEB" w:rsidR="0093717E" w:rsidRPr="007D011D" w:rsidRDefault="0093717E" w:rsidP="0093717E">
      <w:pPr>
        <w:pStyle w:val="NormalHanging12a"/>
      </w:pPr>
      <w:r w:rsidRPr="007D011D">
        <w:t>C.</w:t>
      </w:r>
      <w:r w:rsidRPr="007D011D">
        <w:tab/>
        <w:t xml:space="preserve">considerando che Alvise Pérez è stato eletto al Parlamento europeo </w:t>
      </w:r>
      <w:r w:rsidR="00F91316" w:rsidRPr="007D011D">
        <w:t>alle</w:t>
      </w:r>
      <w:r w:rsidRPr="007D011D">
        <w:t xml:space="preserve"> elezioni europee del giugno 2024 e che</w:t>
      </w:r>
      <w:r w:rsidR="00F91316" w:rsidRPr="007D011D">
        <w:t>, pertanto,</w:t>
      </w:r>
      <w:r w:rsidRPr="007D011D">
        <w:t xml:space="preserve"> non era deputato al Parlamento europeo</w:t>
      </w:r>
      <w:r w:rsidR="00F91316" w:rsidRPr="007D011D">
        <w:t xml:space="preserve"> all’epoca dei presunti reati</w:t>
      </w:r>
      <w:r w:rsidRPr="007D011D">
        <w:t>;</w:t>
      </w:r>
    </w:p>
    <w:p w14:paraId="7ACC854F" w14:textId="2371E5A3" w:rsidR="0093717E" w:rsidRPr="007D011D" w:rsidRDefault="0093717E" w:rsidP="0093717E">
      <w:pPr>
        <w:pStyle w:val="NormalHanging12a"/>
      </w:pPr>
      <w:r w:rsidRPr="007D011D">
        <w:t>D.</w:t>
      </w:r>
      <w:r w:rsidRPr="007D011D">
        <w:tab/>
        <w:t xml:space="preserve">considerando che i presunti reati e la successiva richiesta di revoca dell'immunità di Alvise Pérez non si riferiscono a </w:t>
      </w:r>
      <w:r w:rsidR="00256F34" w:rsidRPr="007D011D">
        <w:t xml:space="preserve">opinioni </w:t>
      </w:r>
      <w:r w:rsidRPr="007D011D">
        <w:t xml:space="preserve">o </w:t>
      </w:r>
      <w:r w:rsidR="00406B53" w:rsidRPr="007D011D">
        <w:t xml:space="preserve">a </w:t>
      </w:r>
      <w:r w:rsidR="00256F34" w:rsidRPr="007D011D">
        <w:t>voti</w:t>
      </w:r>
      <w:r w:rsidRPr="007D011D">
        <w:t xml:space="preserve"> espressi da quest'ultimo nell'esercizio delle sue funzioni ai sensi dell'articolo 8 del protocollo n. 7 sui privilegi e sulle immunità dell'Unione europea;</w:t>
      </w:r>
    </w:p>
    <w:p w14:paraId="132328CE" w14:textId="63836804" w:rsidR="0093717E" w:rsidRPr="007D011D" w:rsidRDefault="0093717E" w:rsidP="0093717E">
      <w:pPr>
        <w:pStyle w:val="NormalHanging12a"/>
      </w:pPr>
      <w:r w:rsidRPr="007D011D">
        <w:t>E.</w:t>
      </w:r>
      <w:r w:rsidRPr="007D011D">
        <w:tab/>
        <w:t xml:space="preserve">considerando che l'articolo 9, primo comma, lettera a), del protocollo n. 7 sui privilegi e sulle immunità dell'Unione europea stabilisce che, per la durata delle sessioni del Parlamento europeo, i membri di esso beneficiano, sul territorio nazionale, delle immunità riconosciute ai membri del parlamento del loro </w:t>
      </w:r>
      <w:r w:rsidR="00256F34" w:rsidRPr="007D011D">
        <w:t>Stato membro</w:t>
      </w:r>
      <w:r w:rsidRPr="007D011D">
        <w:t>;</w:t>
      </w:r>
    </w:p>
    <w:p w14:paraId="46E1191D" w14:textId="433A5E6F" w:rsidR="0093717E" w:rsidRPr="007D011D" w:rsidRDefault="0093717E" w:rsidP="0093717E">
      <w:pPr>
        <w:pStyle w:val="NormalHanging12a"/>
      </w:pPr>
      <w:r w:rsidRPr="007D011D">
        <w:t>F.</w:t>
      </w:r>
      <w:r w:rsidRPr="007D011D">
        <w:tab/>
        <w:t>considerando che</w:t>
      </w:r>
      <w:r w:rsidR="00256F34" w:rsidRPr="007D011D">
        <w:t xml:space="preserve"> </w:t>
      </w:r>
      <w:r w:rsidRPr="007D011D">
        <w:t>l'articolo 71, paragrafi 1 e 2, della Costituzione spagnola</w:t>
      </w:r>
      <w:r w:rsidR="00256F34" w:rsidRPr="007D011D">
        <w:t xml:space="preserve"> stabilisce che</w:t>
      </w:r>
      <w:r w:rsidRPr="007D011D">
        <w:t>:</w:t>
      </w:r>
    </w:p>
    <w:p w14:paraId="448D42CE" w14:textId="5922808F" w:rsidR="0093717E" w:rsidRPr="007D011D" w:rsidRDefault="0093717E" w:rsidP="007D011D">
      <w:pPr>
        <w:pStyle w:val="NormalHanging12a"/>
        <w:ind w:left="1134"/>
        <w:rPr>
          <w:i/>
        </w:rPr>
      </w:pPr>
      <w:r w:rsidRPr="007D011D">
        <w:rPr>
          <w:i/>
        </w:rPr>
        <w:t>"1.</w:t>
      </w:r>
      <w:r w:rsidRPr="007D011D">
        <w:rPr>
          <w:i/>
        </w:rPr>
        <w:tab/>
        <w:t xml:space="preserve">I deputati e i senatori beneficiano </w:t>
      </w:r>
      <w:r w:rsidR="00256F34" w:rsidRPr="007D011D">
        <w:rPr>
          <w:i/>
        </w:rPr>
        <w:t xml:space="preserve">dell'insindacabilità </w:t>
      </w:r>
      <w:r w:rsidR="008563D2" w:rsidRPr="007D011D">
        <w:rPr>
          <w:i/>
        </w:rPr>
        <w:t xml:space="preserve">assoluta </w:t>
      </w:r>
      <w:r w:rsidRPr="007D011D">
        <w:rPr>
          <w:i/>
        </w:rPr>
        <w:t>per</w:t>
      </w:r>
      <w:r w:rsidR="008563D2" w:rsidRPr="007D011D">
        <w:rPr>
          <w:i/>
        </w:rPr>
        <w:t xml:space="preserve"> quanto riguarda</w:t>
      </w:r>
      <w:r w:rsidRPr="007D011D">
        <w:rPr>
          <w:i/>
        </w:rPr>
        <w:t xml:space="preserve"> le opinioni </w:t>
      </w:r>
      <w:r w:rsidR="00256F34" w:rsidRPr="007D011D">
        <w:rPr>
          <w:i/>
        </w:rPr>
        <w:t xml:space="preserve">espresse </w:t>
      </w:r>
      <w:r w:rsidRPr="007D011D">
        <w:rPr>
          <w:i/>
        </w:rPr>
        <w:t>nell'esercizio delle loro funzioni.</w:t>
      </w:r>
    </w:p>
    <w:p w14:paraId="7A48A76F" w14:textId="023AFC7F" w:rsidR="0093717E" w:rsidRPr="007D011D" w:rsidRDefault="0093717E" w:rsidP="00256F34">
      <w:pPr>
        <w:pStyle w:val="NormalHanging12a"/>
        <w:ind w:left="1134"/>
      </w:pPr>
      <w:r w:rsidRPr="007D011D">
        <w:rPr>
          <w:i/>
        </w:rPr>
        <w:t>2.</w:t>
      </w:r>
      <w:r w:rsidRPr="007D011D">
        <w:rPr>
          <w:i/>
        </w:rPr>
        <w:tab/>
        <w:t>Durante il loro mandato, i deputati e i senatori beneficiano parimenti dell'immunità e possono essere arrestati unicamente in caso di flagranza di reato. Non possono essere incriminati, né processati se non previa autorizzazione della rispettiva camera.";</w:t>
      </w:r>
    </w:p>
    <w:p w14:paraId="504C3BEB" w14:textId="77777777" w:rsidR="0093717E" w:rsidRPr="007D011D" w:rsidRDefault="0093717E" w:rsidP="0093717E">
      <w:pPr>
        <w:pStyle w:val="NormalHanging12a"/>
      </w:pPr>
      <w:r w:rsidRPr="007D011D">
        <w:t>G.</w:t>
      </w:r>
      <w:r w:rsidRPr="007D011D">
        <w:tab/>
        <w:t xml:space="preserve">considerando che l'immunità </w:t>
      </w:r>
      <w:bookmarkStart w:id="9" w:name="_Hlk222405989"/>
      <w:r w:rsidRPr="007D011D">
        <w:t>prevista dal protocollo n. 7 sui privilegi e sulle immunità dell'Unione europea</w:t>
      </w:r>
      <w:bookmarkEnd w:id="9"/>
      <w:r w:rsidRPr="007D011D">
        <w:t xml:space="preserve"> è intesa a proteggere il Parlamento e i deputati che lo compongono da procedimenti penali relativi ad attività svolte nell'esercizio del mandato parlamentare e che non possono essere disgiunte da esso;</w:t>
      </w:r>
    </w:p>
    <w:p w14:paraId="17A3841C" w14:textId="2BF555C7" w:rsidR="0093717E" w:rsidRPr="007D011D" w:rsidRDefault="0093717E" w:rsidP="0093717E">
      <w:pPr>
        <w:pStyle w:val="NormalHanging12a"/>
      </w:pPr>
      <w:r w:rsidRPr="007D011D">
        <w:t>H.</w:t>
      </w:r>
      <w:r w:rsidRPr="007D011D">
        <w:tab/>
        <w:t xml:space="preserve">considerando che, </w:t>
      </w:r>
      <w:r w:rsidR="008A6691" w:rsidRPr="007D011D">
        <w:t>conformemente a</w:t>
      </w:r>
      <w:r w:rsidRPr="007D011D">
        <w:t>ll'articolo 5, paragrafo 2, del suo regolamento, l'immunità parlamentare non è un privilegio personale del deputato</w:t>
      </w:r>
      <w:r w:rsidR="00406B53" w:rsidRPr="007D011D">
        <w:t>,</w:t>
      </w:r>
      <w:r w:rsidRPr="007D011D">
        <w:t xml:space="preserve"> ma una garanzia di indipendenza del Parlamento in quanto istituzione e dei suoi membri;</w:t>
      </w:r>
    </w:p>
    <w:p w14:paraId="770FE290" w14:textId="271AF85D" w:rsidR="0093717E" w:rsidRPr="007D011D" w:rsidRDefault="0093717E" w:rsidP="0093717E">
      <w:pPr>
        <w:pStyle w:val="NormalHanging12a"/>
      </w:pPr>
      <w:r w:rsidRPr="007D011D">
        <w:t>I.</w:t>
      </w:r>
      <w:r w:rsidRPr="007D011D">
        <w:tab/>
        <w:t xml:space="preserve">considerando che, nella fattispecie, il Parlamento non ha riscontrato alcuna prova di </w:t>
      </w:r>
      <w:r w:rsidRPr="007D011D">
        <w:rPr>
          <w:i/>
          <w:iCs/>
        </w:rPr>
        <w:lastRenderedPageBreak/>
        <w:t xml:space="preserve">fumus </w:t>
      </w:r>
      <w:proofErr w:type="spellStart"/>
      <w:r w:rsidRPr="007D011D">
        <w:rPr>
          <w:i/>
          <w:iCs/>
        </w:rPr>
        <w:t>persecutionis</w:t>
      </w:r>
      <w:proofErr w:type="spellEnd"/>
      <w:r w:rsidRPr="007D011D">
        <w:t xml:space="preserve">, </w:t>
      </w:r>
      <w:r w:rsidR="008A6691" w:rsidRPr="007D011D">
        <w:t xml:space="preserve">ossia non si evince che </w:t>
      </w:r>
      <w:r w:rsidRPr="007D011D">
        <w:t xml:space="preserve">l'intento alla base del procedimento giudiziario sia quello di recare pregiudizio all'attività politica di Alvise Pérez </w:t>
      </w:r>
      <w:r w:rsidR="008A6691" w:rsidRPr="007D011D">
        <w:t>in quanto membro del Parlamento europeo e di conseguenza all’indipendenza del Parlamento</w:t>
      </w:r>
      <w:r w:rsidRPr="007D011D">
        <w:t>;</w:t>
      </w:r>
    </w:p>
    <w:p w14:paraId="37739796" w14:textId="77777777" w:rsidR="0093717E" w:rsidRPr="007D011D" w:rsidRDefault="0093717E" w:rsidP="0093717E">
      <w:pPr>
        <w:pStyle w:val="NormalHanging12a"/>
      </w:pPr>
      <w:r w:rsidRPr="007D011D">
        <w:t>J.</w:t>
      </w:r>
      <w:r w:rsidRPr="007D011D">
        <w:tab/>
        <w:t>considerando, da un lato, che il Parlamento non dovrebbe essere assimilato a un tribunale e, dall'altro, che il deputato non dovrebbe, nel contesto di una procedura di revoca dell'immunità, essere considerato un "accusato"</w:t>
      </w:r>
      <w:r w:rsidRPr="007D011D">
        <w:rPr>
          <w:vertAlign w:val="superscript"/>
        </w:rPr>
        <w:footnoteReference w:id="2"/>
      </w:r>
      <w:r w:rsidRPr="007D011D">
        <w:t>;</w:t>
      </w:r>
    </w:p>
    <w:p w14:paraId="688B3745" w14:textId="77777777" w:rsidR="0093717E" w:rsidRPr="007D011D" w:rsidRDefault="0093717E" w:rsidP="0093717E">
      <w:pPr>
        <w:pStyle w:val="NormalHanging12a"/>
      </w:pPr>
      <w:r w:rsidRPr="007D011D">
        <w:t>1.</w:t>
      </w:r>
      <w:r w:rsidRPr="007D011D">
        <w:tab/>
        <w:t>decide di revocare l'immunità di Alvise Pérez;</w:t>
      </w:r>
    </w:p>
    <w:p w14:paraId="3FD453D8" w14:textId="66080A41" w:rsidR="00FC0D86" w:rsidRPr="007D011D" w:rsidRDefault="0093717E" w:rsidP="00FC0D86">
      <w:pPr>
        <w:pStyle w:val="NormalHanging12a"/>
      </w:pPr>
      <w:r w:rsidRPr="007D011D">
        <w:t>2.</w:t>
      </w:r>
      <w:r w:rsidRPr="007D011D">
        <w:tab/>
        <w:t xml:space="preserve">incarica la sua Presidente di trasmettere immediatamente la presente decisione e la relazione della sua commissione competente </w:t>
      </w:r>
      <w:r w:rsidR="008A6691" w:rsidRPr="007D011D">
        <w:t>all’</w:t>
      </w:r>
      <w:r w:rsidRPr="007D011D">
        <w:t>autorità competent</w:t>
      </w:r>
      <w:r w:rsidR="008A6691" w:rsidRPr="007D011D">
        <w:t>e</w:t>
      </w:r>
      <w:r w:rsidRPr="007D011D">
        <w:t xml:space="preserve"> </w:t>
      </w:r>
      <w:r w:rsidR="008A6691" w:rsidRPr="007D011D">
        <w:t xml:space="preserve">del Regno di Spagna </w:t>
      </w:r>
      <w:r w:rsidRPr="007D011D">
        <w:t>e ad Alvise Pérez.</w:t>
      </w:r>
    </w:p>
    <w:p w14:paraId="6C734F4A" w14:textId="3012A7C6" w:rsidR="00E365E1" w:rsidRPr="007D011D" w:rsidRDefault="00E365E1" w:rsidP="008F2A35"/>
    <w:sectPr w:rsidR="00E365E1" w:rsidRPr="007D011D" w:rsidSect="00FC0D8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7EE8B" w14:textId="77777777" w:rsidR="008F2A35" w:rsidRPr="00FC0D86" w:rsidRDefault="008F2A35">
      <w:r w:rsidRPr="00FC0D86">
        <w:separator/>
      </w:r>
    </w:p>
  </w:endnote>
  <w:endnote w:type="continuationSeparator" w:id="0">
    <w:p w14:paraId="042B0824" w14:textId="77777777" w:rsidR="008F2A35" w:rsidRPr="00FC0D86" w:rsidRDefault="008F2A35">
      <w:r w:rsidRPr="00FC0D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BBC70" w14:textId="77777777" w:rsidR="00064002" w:rsidRPr="00FC0D8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933CD" w14:textId="77777777" w:rsidR="00064002" w:rsidRPr="00FC0D8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03996" w14:textId="77777777" w:rsidR="00064002" w:rsidRPr="00FC0D8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DAD22" w14:textId="77777777" w:rsidR="008F2A35" w:rsidRPr="00FC0D86" w:rsidRDefault="008F2A35">
      <w:r w:rsidRPr="00FC0D86">
        <w:separator/>
      </w:r>
    </w:p>
  </w:footnote>
  <w:footnote w:type="continuationSeparator" w:id="0">
    <w:p w14:paraId="2A4CC52F" w14:textId="77777777" w:rsidR="008F2A35" w:rsidRPr="00FC0D86" w:rsidRDefault="008F2A35">
      <w:r w:rsidRPr="00FC0D86">
        <w:continuationSeparator/>
      </w:r>
    </w:p>
  </w:footnote>
  <w:footnote w:id="1">
    <w:p w14:paraId="45BA5335" w14:textId="6B5898D6" w:rsidR="0093717E" w:rsidRPr="00FC0D86" w:rsidRDefault="0093717E" w:rsidP="00FC0D86">
      <w:pPr>
        <w:pStyle w:val="FootnoteText"/>
        <w:ind w:left="567" w:hanging="567"/>
        <w:rPr>
          <w:sz w:val="24"/>
          <w:lang w:val="it-IT"/>
        </w:rPr>
      </w:pPr>
      <w:r w:rsidRPr="00FC0D86">
        <w:rPr>
          <w:rStyle w:val="FootnoteReference"/>
          <w:sz w:val="24"/>
          <w:lang w:val="it-IT"/>
        </w:rPr>
        <w:footnoteRef/>
      </w:r>
      <w:r w:rsidR="00FC0D86" w:rsidRPr="00FC0D86">
        <w:rPr>
          <w:sz w:val="24"/>
          <w:lang w:val="it-IT"/>
        </w:rPr>
        <w:t xml:space="preserve"> </w:t>
      </w:r>
      <w:r w:rsidR="00FC0D86" w:rsidRPr="00FC0D86">
        <w:rPr>
          <w:sz w:val="24"/>
          <w:lang w:val="it-IT"/>
        </w:rPr>
        <w:tab/>
      </w:r>
      <w:r w:rsidRPr="00FC0D86">
        <w:rPr>
          <w:sz w:val="24"/>
          <w:lang w:val="it-IT"/>
        </w:rPr>
        <w:t xml:space="preserve">Sentenza della Corte di giustizia del 21 ottobre 2008, </w:t>
      </w:r>
      <w:r w:rsidRPr="007D011D">
        <w:rPr>
          <w:i/>
          <w:iCs/>
          <w:sz w:val="24"/>
          <w:lang w:val="it-IT"/>
        </w:rPr>
        <w:t>Marra/De Gregorio e Clemente</w:t>
      </w:r>
      <w:r w:rsidRPr="00FC0D86">
        <w:rPr>
          <w:sz w:val="24"/>
          <w:lang w:val="it-IT"/>
        </w:rPr>
        <w:t xml:space="preserve">, C-200/07 e C-201/07, ECLI:EU:C:2008:579; sentenza del Tribunale del 19 marzo 2010, </w:t>
      </w:r>
      <w:proofErr w:type="spellStart"/>
      <w:r w:rsidRPr="007D011D">
        <w:rPr>
          <w:i/>
          <w:iCs/>
          <w:sz w:val="24"/>
          <w:lang w:val="it-IT"/>
        </w:rPr>
        <w:t>Gollnisch</w:t>
      </w:r>
      <w:proofErr w:type="spellEnd"/>
      <w:r w:rsidRPr="007D011D">
        <w:rPr>
          <w:i/>
          <w:iCs/>
          <w:sz w:val="24"/>
          <w:lang w:val="it-IT"/>
        </w:rPr>
        <w:t>/Parlamento</w:t>
      </w:r>
      <w:r w:rsidRPr="00FC0D86">
        <w:rPr>
          <w:sz w:val="24"/>
          <w:lang w:val="it-IT"/>
        </w:rPr>
        <w:t xml:space="preserve">, T-42/06, ECLI:EU:T:2010:102; sentenza della Corte di giustizia del 6 settembre 2011, </w:t>
      </w:r>
      <w:r w:rsidRPr="007D011D">
        <w:rPr>
          <w:i/>
          <w:iCs/>
          <w:sz w:val="24"/>
          <w:lang w:val="it-IT"/>
        </w:rPr>
        <w:t>Patriciello</w:t>
      </w:r>
      <w:r w:rsidRPr="00FC0D86">
        <w:rPr>
          <w:sz w:val="24"/>
          <w:lang w:val="it-IT"/>
        </w:rPr>
        <w:t xml:space="preserve">, C-163/10, ECLI: EU:C:2011:543; sentenza del Tribunale del 17 gennaio 2013, </w:t>
      </w:r>
      <w:proofErr w:type="spellStart"/>
      <w:r w:rsidRPr="007D011D">
        <w:rPr>
          <w:i/>
          <w:iCs/>
          <w:sz w:val="24"/>
          <w:lang w:val="it-IT"/>
        </w:rPr>
        <w:t>Gollnisch</w:t>
      </w:r>
      <w:proofErr w:type="spellEnd"/>
      <w:r w:rsidRPr="007D011D">
        <w:rPr>
          <w:i/>
          <w:iCs/>
          <w:sz w:val="24"/>
          <w:lang w:val="it-IT"/>
        </w:rPr>
        <w:t>/Parlamento</w:t>
      </w:r>
      <w:r w:rsidRPr="00FC0D86">
        <w:rPr>
          <w:sz w:val="24"/>
          <w:lang w:val="it-IT"/>
        </w:rPr>
        <w:t xml:space="preserve">, T-346/11 e T-347/11, ECLI:EU:T:2013:23; sentenza della Corte di giustizia del 19 dicembre 2019, </w:t>
      </w:r>
      <w:proofErr w:type="spellStart"/>
      <w:r w:rsidRPr="007D011D">
        <w:rPr>
          <w:i/>
          <w:iCs/>
          <w:sz w:val="24"/>
          <w:lang w:val="it-IT"/>
        </w:rPr>
        <w:t>Junqueras</w:t>
      </w:r>
      <w:proofErr w:type="spellEnd"/>
      <w:r w:rsidRPr="007D011D">
        <w:rPr>
          <w:i/>
          <w:iCs/>
          <w:sz w:val="24"/>
          <w:lang w:val="it-IT"/>
        </w:rPr>
        <w:t xml:space="preserve"> </w:t>
      </w:r>
      <w:proofErr w:type="spellStart"/>
      <w:r w:rsidRPr="007D011D">
        <w:rPr>
          <w:i/>
          <w:iCs/>
          <w:sz w:val="24"/>
          <w:lang w:val="it-IT"/>
        </w:rPr>
        <w:t>Vies</w:t>
      </w:r>
      <w:proofErr w:type="spellEnd"/>
      <w:r w:rsidRPr="00FC0D86">
        <w:rPr>
          <w:sz w:val="24"/>
          <w:lang w:val="it-IT"/>
        </w:rPr>
        <w:t>, C-502/19, ECLI:EU:C:2019:1115.</w:t>
      </w:r>
    </w:p>
  </w:footnote>
  <w:footnote w:id="2">
    <w:p w14:paraId="1816E6DB" w14:textId="43F1B9D5" w:rsidR="0093717E" w:rsidRPr="00FC0D86" w:rsidRDefault="0093717E" w:rsidP="00FC0D86">
      <w:pPr>
        <w:pStyle w:val="FootnoteText"/>
        <w:ind w:left="567" w:hanging="567"/>
        <w:rPr>
          <w:sz w:val="24"/>
          <w:lang w:val="it-IT"/>
        </w:rPr>
      </w:pPr>
      <w:r w:rsidRPr="00FC0D86">
        <w:rPr>
          <w:rStyle w:val="FootnoteReference"/>
          <w:sz w:val="24"/>
          <w:lang w:val="it-IT"/>
        </w:rPr>
        <w:footnoteRef/>
      </w:r>
      <w:r w:rsidR="00FC0D86" w:rsidRPr="00FC0D86">
        <w:rPr>
          <w:sz w:val="24"/>
          <w:lang w:val="it-IT"/>
        </w:rPr>
        <w:t xml:space="preserve"> </w:t>
      </w:r>
      <w:r w:rsidR="00FC0D86" w:rsidRPr="00FC0D86">
        <w:rPr>
          <w:sz w:val="24"/>
          <w:lang w:val="it-IT"/>
        </w:rPr>
        <w:tab/>
      </w:r>
      <w:r w:rsidRPr="00FC0D86">
        <w:rPr>
          <w:sz w:val="24"/>
          <w:lang w:val="it-IT"/>
        </w:rPr>
        <w:t xml:space="preserve">Sentenza del Tribunale del 30 aprile 2019, </w:t>
      </w:r>
      <w:proofErr w:type="spellStart"/>
      <w:r w:rsidRPr="007D011D">
        <w:rPr>
          <w:i/>
          <w:iCs/>
          <w:sz w:val="24"/>
          <w:lang w:val="it-IT"/>
        </w:rPr>
        <w:t>Briois</w:t>
      </w:r>
      <w:proofErr w:type="spellEnd"/>
      <w:r w:rsidRPr="007D011D">
        <w:rPr>
          <w:i/>
          <w:iCs/>
          <w:sz w:val="24"/>
          <w:lang w:val="it-IT"/>
        </w:rPr>
        <w:t>/Parlamento</w:t>
      </w:r>
      <w:r w:rsidRPr="00FC0D86">
        <w:rPr>
          <w:sz w:val="24"/>
          <w:lang w:val="it-IT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00280" w14:textId="77777777" w:rsidR="00064002" w:rsidRPr="00FC0D8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16910" w14:textId="77777777" w:rsidR="00064002" w:rsidRPr="00FC0D8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9294A" w14:textId="77777777" w:rsidR="00064002" w:rsidRPr="00FC0D8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63386277">
    <w:abstractNumId w:val="9"/>
  </w:num>
  <w:num w:numId="2" w16cid:durableId="5982809">
    <w:abstractNumId w:val="9"/>
  </w:num>
  <w:num w:numId="3" w16cid:durableId="1480462192">
    <w:abstractNumId w:val="7"/>
  </w:num>
  <w:num w:numId="4" w16cid:durableId="141043098">
    <w:abstractNumId w:val="7"/>
  </w:num>
  <w:num w:numId="5" w16cid:durableId="955793526">
    <w:abstractNumId w:val="6"/>
  </w:num>
  <w:num w:numId="6" w16cid:durableId="1655255552">
    <w:abstractNumId w:val="6"/>
  </w:num>
  <w:num w:numId="7" w16cid:durableId="802965976">
    <w:abstractNumId w:val="5"/>
  </w:num>
  <w:num w:numId="8" w16cid:durableId="182667189">
    <w:abstractNumId w:val="5"/>
  </w:num>
  <w:num w:numId="9" w16cid:durableId="809515540">
    <w:abstractNumId w:val="4"/>
  </w:num>
  <w:num w:numId="10" w16cid:durableId="992951820">
    <w:abstractNumId w:val="4"/>
  </w:num>
  <w:num w:numId="11" w16cid:durableId="81033927">
    <w:abstractNumId w:val="8"/>
  </w:num>
  <w:num w:numId="12" w16cid:durableId="715618569">
    <w:abstractNumId w:val="8"/>
  </w:num>
  <w:num w:numId="13" w16cid:durableId="253511219">
    <w:abstractNumId w:val="3"/>
  </w:num>
  <w:num w:numId="14" w16cid:durableId="692149743">
    <w:abstractNumId w:val="3"/>
  </w:num>
  <w:num w:numId="15" w16cid:durableId="375542505">
    <w:abstractNumId w:val="2"/>
  </w:num>
  <w:num w:numId="16" w16cid:durableId="741610419">
    <w:abstractNumId w:val="2"/>
  </w:num>
  <w:num w:numId="17" w16cid:durableId="1690180289">
    <w:abstractNumId w:val="1"/>
  </w:num>
  <w:num w:numId="18" w16cid:durableId="1673098810">
    <w:abstractNumId w:val="1"/>
  </w:num>
  <w:num w:numId="19" w16cid:durableId="387345137">
    <w:abstractNumId w:val="0"/>
  </w:num>
  <w:num w:numId="20" w16cid:durableId="1280987290">
    <w:abstractNumId w:val="0"/>
  </w:num>
  <w:num w:numId="21" w16cid:durableId="404567428">
    <w:abstractNumId w:val="9"/>
  </w:num>
  <w:num w:numId="22" w16cid:durableId="1536389621">
    <w:abstractNumId w:val="7"/>
  </w:num>
  <w:num w:numId="23" w16cid:durableId="917519365">
    <w:abstractNumId w:val="6"/>
  </w:num>
  <w:num w:numId="24" w16cid:durableId="584728409">
    <w:abstractNumId w:val="5"/>
  </w:num>
  <w:num w:numId="25" w16cid:durableId="1857503764">
    <w:abstractNumId w:val="4"/>
  </w:num>
  <w:num w:numId="26" w16cid:durableId="256641106">
    <w:abstractNumId w:val="8"/>
  </w:num>
  <w:num w:numId="27" w16cid:durableId="1124930138">
    <w:abstractNumId w:val="3"/>
  </w:num>
  <w:num w:numId="28" w16cid:durableId="402875487">
    <w:abstractNumId w:val="2"/>
  </w:num>
  <w:num w:numId="29" w16cid:durableId="1560435793">
    <w:abstractNumId w:val="1"/>
  </w:num>
  <w:num w:numId="30" w16cid:durableId="29956952">
    <w:abstractNumId w:val="0"/>
  </w:num>
  <w:num w:numId="31" w16cid:durableId="565918215">
    <w:abstractNumId w:val="9"/>
  </w:num>
  <w:num w:numId="32" w16cid:durableId="1747141572">
    <w:abstractNumId w:val="7"/>
  </w:num>
  <w:num w:numId="33" w16cid:durableId="1524904025">
    <w:abstractNumId w:val="6"/>
  </w:num>
  <w:num w:numId="34" w16cid:durableId="1545404778">
    <w:abstractNumId w:val="5"/>
  </w:num>
  <w:num w:numId="35" w16cid:durableId="1504978766">
    <w:abstractNumId w:val="4"/>
  </w:num>
  <w:num w:numId="36" w16cid:durableId="199248963">
    <w:abstractNumId w:val="8"/>
  </w:num>
  <w:num w:numId="37" w16cid:durableId="2113698747">
    <w:abstractNumId w:val="3"/>
  </w:num>
  <w:num w:numId="38" w16cid:durableId="1225920179">
    <w:abstractNumId w:val="2"/>
  </w:num>
  <w:num w:numId="39" w16cid:durableId="1845431508">
    <w:abstractNumId w:val="1"/>
  </w:num>
  <w:num w:numId="40" w16cid:durableId="802694381">
    <w:abstractNumId w:val="0"/>
  </w:num>
  <w:num w:numId="41" w16cid:durableId="289555598">
    <w:abstractNumId w:val="10"/>
  </w:num>
  <w:num w:numId="42" w16cid:durableId="1460076870">
    <w:abstractNumId w:val="10"/>
  </w:num>
  <w:num w:numId="43" w16cid:durableId="989485537">
    <w:abstractNumId w:val="10"/>
  </w:num>
  <w:num w:numId="44" w16cid:durableId="18965481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9/2026"/>
    <w:docVar w:name="dvlangue" w:val="IT"/>
    <w:docVar w:name="dvnumam" w:val="0"/>
    <w:docVar w:name="dvpe" w:val="785.310"/>
    <w:docVar w:name="dvrapporteur" w:val="Relatrice: "/>
    <w:docVar w:name="dvtitre" w:val="Decisione del Parlamento europeo del ... maggio 2026 sulla richiesta di revoca dell'immunità di Alvise Pérez(2025/2236(IMM))"/>
  </w:docVars>
  <w:rsids>
    <w:rsidRoot w:val="008F2A35"/>
    <w:rsid w:val="00002272"/>
    <w:rsid w:val="000122F4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6F34"/>
    <w:rsid w:val="002767FF"/>
    <w:rsid w:val="002A00CA"/>
    <w:rsid w:val="002B18FE"/>
    <w:rsid w:val="002B5493"/>
    <w:rsid w:val="00343214"/>
    <w:rsid w:val="00361C00"/>
    <w:rsid w:val="00395FA1"/>
    <w:rsid w:val="003E15D4"/>
    <w:rsid w:val="00406B53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5656"/>
    <w:rsid w:val="005072A1"/>
    <w:rsid w:val="00514517"/>
    <w:rsid w:val="00545827"/>
    <w:rsid w:val="00560270"/>
    <w:rsid w:val="005C2568"/>
    <w:rsid w:val="005D2851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011D"/>
    <w:rsid w:val="007D1690"/>
    <w:rsid w:val="007E22AD"/>
    <w:rsid w:val="00817416"/>
    <w:rsid w:val="00842779"/>
    <w:rsid w:val="008563D2"/>
    <w:rsid w:val="00865F67"/>
    <w:rsid w:val="00881A7B"/>
    <w:rsid w:val="008840E5"/>
    <w:rsid w:val="00887B3E"/>
    <w:rsid w:val="008A6691"/>
    <w:rsid w:val="008C2AC6"/>
    <w:rsid w:val="008F2A35"/>
    <w:rsid w:val="00930C23"/>
    <w:rsid w:val="0093193B"/>
    <w:rsid w:val="0093717E"/>
    <w:rsid w:val="009509D8"/>
    <w:rsid w:val="00950B64"/>
    <w:rsid w:val="00981893"/>
    <w:rsid w:val="009E348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1588"/>
    <w:rsid w:val="00D834A0"/>
    <w:rsid w:val="00D872DF"/>
    <w:rsid w:val="00D91E21"/>
    <w:rsid w:val="00DA7FCD"/>
    <w:rsid w:val="00E25B3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1316"/>
    <w:rsid w:val="00FA5DC6"/>
    <w:rsid w:val="00FB4360"/>
    <w:rsid w:val="00FC0D86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FCA6F0"/>
  <w15:chartTrackingRefBased/>
  <w15:docId w15:val="{088B37CD-7EB8-42BB-9D19-A9CF75E5F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3717E"/>
    <w:pPr>
      <w:spacing w:after="240"/>
      <w:ind w:left="567" w:hanging="567"/>
    </w:pPr>
  </w:style>
  <w:style w:type="paragraph" w:customStyle="1" w:styleId="EPComma">
    <w:name w:val="EPComma"/>
    <w:basedOn w:val="Normal"/>
    <w:rsid w:val="0093717E"/>
    <w:pPr>
      <w:spacing w:before="480" w:after="240"/>
    </w:pPr>
  </w:style>
  <w:style w:type="character" w:styleId="CommentReference">
    <w:name w:val="annotation reference"/>
    <w:basedOn w:val="DefaultParagraphFont"/>
    <w:rsid w:val="002A00CA"/>
    <w:rPr>
      <w:sz w:val="16"/>
      <w:szCs w:val="16"/>
    </w:rPr>
  </w:style>
  <w:style w:type="paragraph" w:styleId="CommentText">
    <w:name w:val="annotation text"/>
    <w:basedOn w:val="Normal"/>
    <w:link w:val="CommentTextChar"/>
    <w:rsid w:val="002A00C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A00CA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2A00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A00CA"/>
    <w:rPr>
      <w:b/>
      <w:bCs/>
      <w:lang w:val="it-IT"/>
    </w:rPr>
  </w:style>
  <w:style w:type="character" w:styleId="Hyperlink">
    <w:name w:val="Hyperlink"/>
    <w:basedOn w:val="DefaultParagraphFont"/>
    <w:rsid w:val="002A00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00C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A00CA"/>
    <w:rPr>
      <w:sz w:val="24"/>
      <w:lang w:val="it-IT"/>
    </w:rPr>
  </w:style>
  <w:style w:type="character" w:styleId="FollowedHyperlink">
    <w:name w:val="FollowedHyperlink"/>
    <w:basedOn w:val="DefaultParagraphFont"/>
    <w:rsid w:val="008563D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AR_RELFINALE</dc:creator>
  <cp:keywords/>
  <cp:lastModifiedBy>AR_DLA CP.sto</cp:lastModifiedBy>
  <cp:revision>2</cp:revision>
  <cp:lastPrinted>2004-11-19T15:42:00Z</cp:lastPrinted>
  <dcterms:created xsi:type="dcterms:W3CDTF">2026-05-19T11:40:00Z</dcterms:created>
  <dcterms:modified xsi:type="dcterms:W3CDTF">2026-05-19T11:40:00Z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A10-0129/2026</vt:lpwstr>
  </property>
  <property fmtid="{D5CDD505-2E9C-101B-9397-08002B2CF9AE}" pid="4" name="&lt;Type&gt;">
    <vt:lpwstr>RR</vt:lpwstr>
  </property>
</Properties>
</file>