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AC7" w14:paraId="51CBFED6" w14:textId="77777777" w:rsidTr="0010095E">
        <w:trPr>
          <w:trHeight w:hRule="exact" w:val="1418"/>
        </w:trPr>
        <w:tc>
          <w:tcPr>
            <w:tcW w:w="6804" w:type="dxa"/>
            <w:shd w:val="clear" w:color="auto" w:fill="auto"/>
            <w:vAlign w:val="center"/>
          </w:tcPr>
          <w:p w14:paraId="63C29827" w14:textId="77777777" w:rsidR="00751A4A" w:rsidRPr="00317AC7" w:rsidRDefault="00104A99" w:rsidP="0010095E">
            <w:pPr>
              <w:pStyle w:val="EPName"/>
            </w:pPr>
            <w:r w:rsidRPr="00317AC7">
              <w:t>Europos Parlamentas</w:t>
            </w:r>
          </w:p>
          <w:p w14:paraId="3B540D60" w14:textId="77777777" w:rsidR="00751A4A" w:rsidRPr="00317AC7" w:rsidRDefault="005F1B17" w:rsidP="005F1B17">
            <w:pPr>
              <w:pStyle w:val="EPTerm"/>
              <w:rPr>
                <w:rStyle w:val="HideTWBExt"/>
                <w:noProof w:val="0"/>
                <w:vanish w:val="0"/>
                <w:color w:val="auto"/>
              </w:rPr>
            </w:pPr>
            <w:r w:rsidRPr="00317AC7">
              <w:t>2024</w:t>
            </w:r>
            <w:r w:rsidR="00817416" w:rsidRPr="00317AC7">
              <w:t>-202</w:t>
            </w:r>
            <w:r w:rsidRPr="00317AC7">
              <w:t>9</w:t>
            </w:r>
          </w:p>
        </w:tc>
        <w:tc>
          <w:tcPr>
            <w:tcW w:w="2268" w:type="dxa"/>
            <w:shd w:val="clear" w:color="auto" w:fill="auto"/>
          </w:tcPr>
          <w:p w14:paraId="2291E35C" w14:textId="77777777" w:rsidR="00751A4A" w:rsidRPr="00317AC7" w:rsidRDefault="00187494" w:rsidP="0010095E">
            <w:pPr>
              <w:pStyle w:val="EPLogo"/>
            </w:pPr>
            <w:r w:rsidRPr="00317AC7">
              <w:rPr>
                <w:noProof/>
                <w:lang w:eastAsia="ja-JP"/>
              </w:rPr>
              <w:drawing>
                <wp:inline distT="0" distB="0" distL="0" distR="0" wp14:anchorId="666AC09D" wp14:editId="286C30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FC3D59" w14:textId="77777777" w:rsidR="00D058B8" w:rsidRPr="00317AC7" w:rsidRDefault="00D058B8" w:rsidP="004C5D52">
      <w:pPr>
        <w:pStyle w:val="LineTop"/>
      </w:pPr>
    </w:p>
    <w:p w14:paraId="7CCA3E7E" w14:textId="77777777" w:rsidR="00680577" w:rsidRPr="00317AC7" w:rsidRDefault="00104A99" w:rsidP="00680577">
      <w:pPr>
        <w:pStyle w:val="EPBodyTA1"/>
      </w:pPr>
      <w:r w:rsidRPr="00317AC7">
        <w:t>PRIIMTI TEKSTAI</w:t>
      </w:r>
    </w:p>
    <w:p w14:paraId="75CC6CB1" w14:textId="77777777" w:rsidR="00D058B8" w:rsidRPr="00317AC7" w:rsidRDefault="00D058B8" w:rsidP="00D058B8">
      <w:pPr>
        <w:pStyle w:val="LineBottom"/>
      </w:pPr>
    </w:p>
    <w:p w14:paraId="3E72CB7F" w14:textId="0991C738" w:rsidR="00104A99" w:rsidRPr="00317AC7" w:rsidRDefault="00104A99" w:rsidP="00104A99">
      <w:pPr>
        <w:pStyle w:val="ATHeading1"/>
      </w:pPr>
      <w:bookmarkStart w:id="0" w:name="TANumber"/>
      <w:r w:rsidRPr="00317AC7">
        <w:t>P10_TA(2026)0</w:t>
      </w:r>
      <w:r w:rsidR="00247B86">
        <w:t>167</w:t>
      </w:r>
      <w:bookmarkEnd w:id="0"/>
    </w:p>
    <w:p w14:paraId="54F59117" w14:textId="77777777" w:rsidR="00104A99" w:rsidRPr="00317AC7" w:rsidRDefault="00104A99" w:rsidP="00104A99">
      <w:pPr>
        <w:pStyle w:val="ATHeading2"/>
      </w:pPr>
      <w:bookmarkStart w:id="1" w:name="title"/>
      <w:r w:rsidRPr="00317AC7">
        <w:t>Prašymas atšaukti Alvise Pérezo (Alvise Pérez) imunitetą</w:t>
      </w:r>
      <w:bookmarkEnd w:id="1"/>
    </w:p>
    <w:p w14:paraId="6BCC03E8" w14:textId="77777777" w:rsidR="00104A99" w:rsidRPr="00317AC7" w:rsidRDefault="00104A99" w:rsidP="00104A99">
      <w:pPr>
        <w:rPr>
          <w:i/>
          <w:vanish/>
        </w:rPr>
      </w:pPr>
      <w:r w:rsidRPr="00317AC7">
        <w:rPr>
          <w:i/>
        </w:rPr>
        <w:fldChar w:fldCharType="begin"/>
      </w:r>
      <w:r w:rsidRPr="00317AC7">
        <w:rPr>
          <w:i/>
        </w:rPr>
        <w:instrText xml:space="preserve"> TC"(</w:instrText>
      </w:r>
      <w:bookmarkStart w:id="2" w:name="DocNumber"/>
      <w:r w:rsidRPr="00317AC7">
        <w:rPr>
          <w:i/>
        </w:rPr>
        <w:instrText>A10-0129/2026</w:instrText>
      </w:r>
      <w:bookmarkEnd w:id="2"/>
      <w:r w:rsidRPr="00317AC7">
        <w:rPr>
          <w:i/>
        </w:rPr>
        <w:instrText xml:space="preserve"> - Pranešėjas: Pascale Piera)"\l3 \n&gt; \* MERGEFORMAT </w:instrText>
      </w:r>
      <w:r w:rsidRPr="00317AC7">
        <w:rPr>
          <w:i/>
        </w:rPr>
        <w:fldChar w:fldCharType="end"/>
      </w:r>
    </w:p>
    <w:p w14:paraId="0CBED259" w14:textId="77777777" w:rsidR="00104A99" w:rsidRPr="00317AC7" w:rsidRDefault="00104A99" w:rsidP="00104A99">
      <w:pPr>
        <w:rPr>
          <w:vanish/>
        </w:rPr>
      </w:pPr>
      <w:bookmarkStart w:id="3" w:name="Commission"/>
      <w:r w:rsidRPr="00317AC7">
        <w:rPr>
          <w:vanish/>
        </w:rPr>
        <w:t>Teisės reikalų komitetas</w:t>
      </w:r>
      <w:bookmarkEnd w:id="3"/>
    </w:p>
    <w:p w14:paraId="0F984593" w14:textId="77777777" w:rsidR="00104A99" w:rsidRPr="00317AC7" w:rsidRDefault="00104A99" w:rsidP="00104A99">
      <w:pPr>
        <w:rPr>
          <w:vanish/>
        </w:rPr>
      </w:pPr>
      <w:bookmarkStart w:id="4" w:name="PE"/>
      <w:r w:rsidRPr="00317AC7">
        <w:rPr>
          <w:vanish/>
        </w:rPr>
        <w:t>PE785.310</w:t>
      </w:r>
      <w:bookmarkEnd w:id="4"/>
    </w:p>
    <w:p w14:paraId="447C962D" w14:textId="40AACB77" w:rsidR="00104A99" w:rsidRPr="00317AC7" w:rsidRDefault="00104A99" w:rsidP="001E3E9B">
      <w:pPr>
        <w:pStyle w:val="ATHeading3"/>
      </w:pPr>
      <w:bookmarkStart w:id="5" w:name="Sujet"/>
      <w:r w:rsidRPr="00317AC7">
        <w:t xml:space="preserve">2026 m. </w:t>
      </w:r>
      <w:r w:rsidR="001E3E9B" w:rsidRPr="00317AC7">
        <w:t>gegužės</w:t>
      </w:r>
      <w:r w:rsidRPr="00317AC7">
        <w:t xml:space="preserve"> 19 d. Europos Parlamento sprendimas dėl prašymo atšaukti Alvise Pérezo (Alvise Pérez) imunitetą</w:t>
      </w:r>
      <w:bookmarkEnd w:id="5"/>
      <w:r w:rsidRPr="00317AC7">
        <w:t xml:space="preserve"> </w:t>
      </w:r>
      <w:bookmarkStart w:id="6" w:name="References"/>
      <w:r w:rsidRPr="00317AC7">
        <w:t>(2025/2236(IMM))</w:t>
      </w:r>
      <w:bookmarkEnd w:id="6"/>
    </w:p>
    <w:p w14:paraId="080454A7" w14:textId="77777777" w:rsidR="00B2128F" w:rsidRPr="00317AC7" w:rsidRDefault="00B2128F" w:rsidP="00B2128F">
      <w:pPr>
        <w:pStyle w:val="EPComma"/>
      </w:pPr>
      <w:bookmarkStart w:id="7" w:name="TextBodyBegin"/>
      <w:bookmarkEnd w:id="7"/>
      <w:r w:rsidRPr="00317AC7">
        <w:rPr>
          <w:i/>
        </w:rPr>
        <w:t>Europos Parlamentas</w:t>
      </w:r>
      <w:r w:rsidRPr="00317AC7">
        <w:t>,</w:t>
      </w:r>
    </w:p>
    <w:p w14:paraId="29304710" w14:textId="00CC15BB" w:rsidR="00B2128F" w:rsidRPr="00317AC7" w:rsidRDefault="00B2128F" w:rsidP="00B2128F">
      <w:pPr>
        <w:pStyle w:val="NormalHanging12a"/>
      </w:pPr>
      <w:r w:rsidRPr="00317AC7">
        <w:t>–</w:t>
      </w:r>
      <w:r w:rsidRPr="00317AC7">
        <w:tab/>
        <w:t xml:space="preserve">atsižvelgdamas į 2025 m. spalio 31 d. Ispanijos Aukščiausiojo Teismo </w:t>
      </w:r>
      <w:r w:rsidR="00555075" w:rsidRPr="006D765D">
        <w:t>laišku</w:t>
      </w:r>
      <w:r w:rsidR="00555075">
        <w:t xml:space="preserve"> </w:t>
      </w:r>
      <w:r w:rsidR="00E221B4">
        <w:t>pateiktą</w:t>
      </w:r>
      <w:r w:rsidR="00E221B4" w:rsidRPr="00317AC7">
        <w:t xml:space="preserve"> </w:t>
      </w:r>
      <w:r w:rsidRPr="00317AC7">
        <w:t xml:space="preserve">prašymą atšaukti </w:t>
      </w:r>
      <w:r w:rsidR="002D59C1" w:rsidRPr="00317AC7">
        <w:t>Alvise Pérez</w:t>
      </w:r>
      <w:r w:rsidR="00385B77">
        <w:t>o</w:t>
      </w:r>
      <w:r w:rsidR="002D59C1">
        <w:t xml:space="preserve"> (</w:t>
      </w:r>
      <w:r w:rsidRPr="00317AC7">
        <w:t>Luiso Pérezo Fernándezo</w:t>
      </w:r>
      <w:r w:rsidR="002D59C1">
        <w:t>)</w:t>
      </w:r>
      <w:r w:rsidRPr="00317AC7">
        <w:t xml:space="preserve"> imunitetą ryšium su baudžiamuoju procesu, paskelbt</w:t>
      </w:r>
      <w:r w:rsidR="00E221B4">
        <w:t>ą</w:t>
      </w:r>
      <w:r w:rsidRPr="00317AC7">
        <w:t xml:space="preserve"> 2025 m. lapkričio 12 d. plenariniame posėdyje,</w:t>
      </w:r>
    </w:p>
    <w:p w14:paraId="3C22F3B9" w14:textId="77777777" w:rsidR="00B2128F" w:rsidRPr="00317AC7" w:rsidRDefault="00B2128F" w:rsidP="00B2128F">
      <w:pPr>
        <w:pStyle w:val="NormalHanging12a"/>
      </w:pPr>
      <w:r w:rsidRPr="00317AC7">
        <w:t>–</w:t>
      </w:r>
      <w:r w:rsidRPr="00317AC7">
        <w:tab/>
        <w:t>atsižvelgdamas į tai, jog laikoma, kad Alvise Pérez atsisakė teisės būti išklausytas pagal Darbo tvarkos taisyklių 9 straipsnio 6 dalį,</w:t>
      </w:r>
    </w:p>
    <w:p w14:paraId="23ECE1EA" w14:textId="77777777" w:rsidR="00B2128F" w:rsidRPr="00317AC7" w:rsidRDefault="00B2128F" w:rsidP="00B2128F">
      <w:pPr>
        <w:pStyle w:val="NormalHanging12a"/>
      </w:pPr>
      <w:r w:rsidRPr="00317AC7">
        <w:t>–</w:t>
      </w:r>
      <w:r w:rsidRPr="00317AC7">
        <w:tab/>
        <w:t>atsižvelgdamas į Protokolo Nr. 7 dėl Europos Sąjungos privilegijų ir imunitetų 8 ir 9 straipsnius bei 1976 m. rugsėjo 20 d. Akto dėl Europos Parlamento narių rinkimų remiantis tiesiogine visuotine rinkimų teise 6 straipsnio 2 dalį,</w:t>
      </w:r>
    </w:p>
    <w:p w14:paraId="51A3A274" w14:textId="77777777" w:rsidR="00B2128F" w:rsidRPr="00317AC7" w:rsidRDefault="00B2128F" w:rsidP="00B2128F">
      <w:pPr>
        <w:pStyle w:val="NormalHanging12a"/>
      </w:pPr>
      <w:r w:rsidRPr="00317AC7">
        <w:t>–</w:t>
      </w:r>
      <w:r w:rsidRPr="00317AC7">
        <w:tab/>
        <w:t>atsižvelgdamas į Europos Sąjungos Teisingumo Teismo 2008 m. spalio 21 d., 2010 m. kovo 19 d., 2011 m. rugsėjo 6 d., 2013 m. sausio 17 d. ir 2019 m. gruodžio 19 d. sprendimus</w:t>
      </w:r>
      <w:r w:rsidRPr="00317AC7">
        <w:rPr>
          <w:vertAlign w:val="superscript"/>
        </w:rPr>
        <w:footnoteReference w:id="1"/>
      </w:r>
      <w:r w:rsidRPr="00317AC7">
        <w:t>,</w:t>
      </w:r>
    </w:p>
    <w:p w14:paraId="0D9C0AD2" w14:textId="77777777" w:rsidR="00B2128F" w:rsidRPr="00317AC7" w:rsidRDefault="00B2128F" w:rsidP="00B2128F">
      <w:pPr>
        <w:pStyle w:val="NormalHanging12a"/>
      </w:pPr>
      <w:r w:rsidRPr="00317AC7">
        <w:t>–</w:t>
      </w:r>
      <w:r w:rsidRPr="00317AC7">
        <w:tab/>
        <w:t>atsižvelgdamas į Ispanijos Konstitucijos 71 straipsnio 1 ir 2 dalis,</w:t>
      </w:r>
    </w:p>
    <w:p w14:paraId="3657C320" w14:textId="77777777" w:rsidR="00B2128F" w:rsidRPr="00317AC7" w:rsidRDefault="00B2128F" w:rsidP="00B2128F">
      <w:pPr>
        <w:pStyle w:val="NormalHanging12a"/>
      </w:pPr>
      <w:r w:rsidRPr="00317AC7">
        <w:t>–</w:t>
      </w:r>
      <w:r w:rsidRPr="00317AC7">
        <w:tab/>
        <w:t>atsižvelgdamas į Darbo tvarkos taisyklių 5 straipsnio 2 dalį, 6 straipsnio 1 dalį ir 9 straipsnį,</w:t>
      </w:r>
    </w:p>
    <w:p w14:paraId="5FE57C3D" w14:textId="77777777" w:rsidR="00B2128F" w:rsidRPr="00317AC7" w:rsidRDefault="00B2128F" w:rsidP="00B2128F">
      <w:pPr>
        <w:pStyle w:val="NormalHanging12a"/>
      </w:pPr>
      <w:r w:rsidRPr="00317AC7">
        <w:t>–</w:t>
      </w:r>
      <w:r w:rsidRPr="00317AC7">
        <w:tab/>
        <w:t>atsižvelgdamas į Teisės reikalų komiteto pranešimą (A10-0129/2026),</w:t>
      </w:r>
    </w:p>
    <w:p w14:paraId="01DC134B" w14:textId="3626F263" w:rsidR="00B2128F" w:rsidRPr="00317AC7" w:rsidRDefault="00B2128F" w:rsidP="00B2128F">
      <w:pPr>
        <w:pStyle w:val="NormalHanging12a"/>
      </w:pPr>
      <w:r w:rsidRPr="00317AC7">
        <w:lastRenderedPageBreak/>
        <w:t>A.</w:t>
      </w:r>
      <w:r w:rsidRPr="00317AC7">
        <w:tab/>
        <w:t xml:space="preserve">kadangi 2025 m. spalio 31 d. laišku Ispanijos Aukščiausiojo Teismo pirmininkė </w:t>
      </w:r>
      <w:r w:rsidR="005E2114">
        <w:t>pateikė</w:t>
      </w:r>
      <w:r w:rsidR="005E2114" w:rsidRPr="00317AC7">
        <w:t xml:space="preserve"> </w:t>
      </w:r>
      <w:r w:rsidRPr="00317AC7">
        <w:t xml:space="preserve">prašymą atšaukti Ispanijoje </w:t>
      </w:r>
      <w:bookmarkStart w:id="8" w:name="_Hlk222405545"/>
      <w:r w:rsidRPr="00317AC7">
        <w:t>išrinkto Europos Parlamento nario</w:t>
      </w:r>
      <w:bookmarkEnd w:id="8"/>
      <w:r w:rsidRPr="00317AC7">
        <w:t xml:space="preserve"> Alvise Pérezo imunitetą ryšium su galimomis nusikalstamomis veikomis, padarytomis 2024 metais;</w:t>
      </w:r>
    </w:p>
    <w:p w14:paraId="72DCE3A2" w14:textId="7652A144" w:rsidR="00B2128F" w:rsidRPr="00317AC7" w:rsidRDefault="00B2128F" w:rsidP="00B2128F">
      <w:pPr>
        <w:pStyle w:val="NormalHanging12a"/>
      </w:pPr>
      <w:r w:rsidRPr="00317AC7">
        <w:t>B.</w:t>
      </w:r>
      <w:r w:rsidRPr="00317AC7">
        <w:tab/>
        <w:t xml:space="preserve">kadangi prašyme nurodoma, kad nuo 2024 m. balandžio 7 d. iki </w:t>
      </w:r>
      <w:r w:rsidR="00BD5CE9">
        <w:t xml:space="preserve">2024 m. </w:t>
      </w:r>
      <w:r w:rsidRPr="00317AC7">
        <w:t xml:space="preserve">gegužės 27 d. Alvise Pérez galimai palaikė ryšius su konsultantu, padedančiu fiziniams ir juridiniams asmenims gauti ekonominės naudos taikant mokesčių optimizavimo schemas, kad būtų sukurta e. piniginė rinkti lėšas Alvise Pérezo įsteigtos politinės partijos </w:t>
      </w:r>
      <w:r w:rsidRPr="00317AC7">
        <w:rPr>
          <w:i/>
          <w:iCs/>
        </w:rPr>
        <w:t>Se Acabó La Fiesta</w:t>
      </w:r>
      <w:r w:rsidRPr="00317AC7">
        <w:t xml:space="preserve"> </w:t>
      </w:r>
      <w:r w:rsidR="008466A7">
        <w:t xml:space="preserve">(„Vakarėlis baigtas“) </w:t>
      </w:r>
      <w:r w:rsidRPr="00317AC7">
        <w:t>rinkimų kampanijai finansuoti; kadangi prašyme nurodyta, kad rengiantis Europos Parlamento rinkimams šią e. piniginę sukūręs konsultantas galimai sumokėjo Alvise Pérezui 100 000 EUR avansą, skirtą tai politinei partijai; kadangi inkriminuojamos veikos gali būti laikomos Ispanijos baudžiamojo kodekso 304 </w:t>
      </w:r>
      <w:r w:rsidRPr="00317AC7">
        <w:rPr>
          <w:i/>
          <w:iCs/>
        </w:rPr>
        <w:t>bis</w:t>
      </w:r>
      <w:r w:rsidRPr="00317AC7">
        <w:t xml:space="preserve"> straipsnio 1 dalyje numatyta nusikalstama veika – neteisėtu politinės partijos finansavimu, ir 1985 m. birželio 19 d. </w:t>
      </w:r>
      <w:r w:rsidR="00155BAD">
        <w:t xml:space="preserve">Ispanijos </w:t>
      </w:r>
      <w:r w:rsidRPr="00317AC7">
        <w:t xml:space="preserve">organinio įstatymo Nr. 5/1985 dėl visuotinių rinkimų tvarkos 149 straipsnio 1 dalyje numatytu rinkimų pažeidimu; kadangi 2024 m. rugsėjo 20 d. nutartimi buvo pradėtas </w:t>
      </w:r>
      <w:r w:rsidR="006C4BF6">
        <w:t>ikiteisminis</w:t>
      </w:r>
      <w:r w:rsidR="006C4BF6" w:rsidRPr="00317AC7">
        <w:t xml:space="preserve"> </w:t>
      </w:r>
      <w:r w:rsidRPr="00317AC7">
        <w:t>tyrimas;</w:t>
      </w:r>
    </w:p>
    <w:p w14:paraId="1F15B152" w14:textId="692BFE07" w:rsidR="00B2128F" w:rsidRPr="00317AC7" w:rsidRDefault="00B2128F" w:rsidP="00B2128F">
      <w:pPr>
        <w:pStyle w:val="NormalHanging12a"/>
      </w:pPr>
      <w:r w:rsidRPr="00317AC7">
        <w:t>C.</w:t>
      </w:r>
      <w:r w:rsidRPr="00317AC7">
        <w:tab/>
        <w:t>kadangi 2024 m. birželio mėn. Europos Parlamento rinkimuose Alvise Pérez buvo išrinktas į Europos Parlamentą</w:t>
      </w:r>
      <w:r w:rsidR="006F00F9">
        <w:t>, taigi tariamų</w:t>
      </w:r>
      <w:r w:rsidRPr="00317AC7">
        <w:t xml:space="preserve"> nusikalstamų veikų padarymo momentu jis nebuvo Europos Parlamento narys;</w:t>
      </w:r>
    </w:p>
    <w:p w14:paraId="1E405DC0" w14:textId="57BD4495" w:rsidR="00B2128F" w:rsidRPr="00317AC7" w:rsidRDefault="00B2128F" w:rsidP="00B2128F">
      <w:pPr>
        <w:pStyle w:val="NormalHanging12a"/>
      </w:pPr>
      <w:r w:rsidRPr="00317AC7">
        <w:t>D.</w:t>
      </w:r>
      <w:r w:rsidRPr="00317AC7">
        <w:tab/>
        <w:t>kadangi tariamos nusikalstamos veikos ir dėl jų pateiktas prašymas atšaukti Alvise Pérezo imunitetą nėra susiję su jam einant pareigas pareikšta nuomone ar balsavimu, kaip numatyta Protokolo Nr. 7 dėl Europos Sąjungos privilegijų ir imunitetų 8 straipsnyje;</w:t>
      </w:r>
    </w:p>
    <w:p w14:paraId="265942C1" w14:textId="12FCF381" w:rsidR="00B2128F" w:rsidRPr="00317AC7" w:rsidRDefault="00B2128F" w:rsidP="00B2128F">
      <w:pPr>
        <w:pStyle w:val="NormalHanging12a"/>
      </w:pPr>
      <w:r w:rsidRPr="00317AC7">
        <w:t>E.</w:t>
      </w:r>
      <w:r w:rsidRPr="00317AC7">
        <w:tab/>
        <w:t xml:space="preserve">kadangi Protokolo Nr. 7 dėl Europos Sąjungos privilegijų ir imunitetų 9 straipsnio pirmos pastraipos a punkte nustatyta, kad Europos Parlamento nariai sesijų metu savo valstybės narės teritorijoje naudojasi imunitetais, kurie suteikiami </w:t>
      </w:r>
      <w:r w:rsidR="00555075" w:rsidRPr="00555075">
        <w:t xml:space="preserve">jų valstybės narės </w:t>
      </w:r>
      <w:r w:rsidRPr="00317AC7">
        <w:t>parlamento nariams;</w:t>
      </w:r>
    </w:p>
    <w:p w14:paraId="49629BD6" w14:textId="77777777" w:rsidR="00B2128F" w:rsidRPr="00317AC7" w:rsidRDefault="00B2128F" w:rsidP="00B2128F">
      <w:pPr>
        <w:pStyle w:val="NormalHanging12a"/>
      </w:pPr>
      <w:r w:rsidRPr="00317AC7">
        <w:t>F.</w:t>
      </w:r>
      <w:r w:rsidRPr="00317AC7">
        <w:tab/>
        <w:t>kadangi Ispanijos Konstitucijos 71 straipsnio 1 ir 2 dalyse nustatyta:</w:t>
      </w:r>
    </w:p>
    <w:p w14:paraId="670143A5" w14:textId="0D165A82" w:rsidR="00B2128F" w:rsidRPr="00317AC7" w:rsidRDefault="00B2128F" w:rsidP="00BB305C">
      <w:pPr>
        <w:pStyle w:val="NormalHanging12a"/>
        <w:ind w:left="1134"/>
        <w:rPr>
          <w:i/>
        </w:rPr>
      </w:pPr>
      <w:r w:rsidRPr="00317AC7">
        <w:rPr>
          <w:i/>
        </w:rPr>
        <w:t>„1.</w:t>
      </w:r>
      <w:r w:rsidRPr="00317AC7">
        <w:rPr>
          <w:i/>
        </w:rPr>
        <w:tab/>
        <w:t>Deputatų Kongreso ir Senato nariai naudojasi neliečiamybe dėl einant pareigas pareikštos nuomonės.</w:t>
      </w:r>
    </w:p>
    <w:p w14:paraId="368D0827" w14:textId="2D9ADB02" w:rsidR="00B2128F" w:rsidRPr="00317AC7" w:rsidRDefault="00B2128F" w:rsidP="00BB305C">
      <w:pPr>
        <w:pStyle w:val="NormalHanging12a"/>
        <w:ind w:left="1134"/>
      </w:pPr>
      <w:r w:rsidRPr="00317AC7">
        <w:rPr>
          <w:i/>
        </w:rPr>
        <w:t>2.</w:t>
      </w:r>
      <w:r w:rsidRPr="00317AC7">
        <w:rPr>
          <w:i/>
        </w:rPr>
        <w:tab/>
        <w:t>Savo įgaliojimų vykdymo laikotarpiu kiekvienas Deputatų Kongreso ar Senato narys taip pat naudojasi imunitetu ir gali būti sulaikytas tik tuo atveju, jei jis užklumpamas darantis nusikaltimą. Be išankstinio atitinkamų parlamento rūmų sutikimo jam negali būti pareikšti kaltinimai ir jis negali būti traukiamas baudžiamojon atsakomybėn.“;</w:t>
      </w:r>
    </w:p>
    <w:p w14:paraId="5B7E99A2" w14:textId="77777777" w:rsidR="00B2128F" w:rsidRPr="00317AC7" w:rsidRDefault="00B2128F" w:rsidP="00B2128F">
      <w:pPr>
        <w:pStyle w:val="NormalHanging12a"/>
      </w:pPr>
      <w:r w:rsidRPr="00317AC7">
        <w:t>G.</w:t>
      </w:r>
      <w:r w:rsidRPr="00317AC7">
        <w:tab/>
        <w:t xml:space="preserve">kadangi </w:t>
      </w:r>
      <w:bookmarkStart w:id="9" w:name="_Hlk222405989"/>
      <w:r w:rsidRPr="00317AC7">
        <w:t>Protokole Nr. 7 dėl Europos Sąjungos privilegijų ir imunitetų numatyto</w:t>
      </w:r>
      <w:bookmarkEnd w:id="9"/>
      <w:r w:rsidRPr="00317AC7">
        <w:t xml:space="preserve"> Parlamento nario imuniteto paskirtis – apsaugoti Parlamentą ir jo narius nuo patraukimo atsakomybėn už veiksmus, kurie yra padaryti vykdant Parlamento nario įgaliojimus ir kurių negalima atskirti nuo tų įgaliojimų;</w:t>
      </w:r>
    </w:p>
    <w:p w14:paraId="22D8B10C" w14:textId="77777777" w:rsidR="00B2128F" w:rsidRPr="00317AC7" w:rsidRDefault="00B2128F" w:rsidP="00B2128F">
      <w:pPr>
        <w:pStyle w:val="NormalHanging12a"/>
      </w:pPr>
      <w:r w:rsidRPr="00317AC7">
        <w:t>H.</w:t>
      </w:r>
      <w:r w:rsidRPr="00317AC7">
        <w:tab/>
        <w:t>kadangi Parlamento darbo tvarkos taisyklių 5 straipsnio 2 dalyje numatyta, kad Parlamento nario imunitetas yra ne jo asmeninė privilegija, bet viso Parlamento ir jo narių nepriklausomumo garantija;</w:t>
      </w:r>
    </w:p>
    <w:p w14:paraId="6E0CE0FD" w14:textId="28D0B4E5" w:rsidR="00B2128F" w:rsidRPr="00317AC7" w:rsidRDefault="00B2128F" w:rsidP="00B2128F">
      <w:pPr>
        <w:pStyle w:val="NormalHanging12a"/>
      </w:pPr>
      <w:r w:rsidRPr="00317AC7">
        <w:t>I.</w:t>
      </w:r>
      <w:r w:rsidRPr="00317AC7">
        <w:tab/>
        <w:t xml:space="preserve">kadangi šiuo atveju Parlamentas nenustatė esant </w:t>
      </w:r>
      <w:r w:rsidRPr="00317AC7">
        <w:rPr>
          <w:i/>
        </w:rPr>
        <w:t>fumus persecutionis</w:t>
      </w:r>
      <w:r w:rsidRPr="00317AC7">
        <w:t xml:space="preserve">, t. y. </w:t>
      </w:r>
      <w:r w:rsidR="00C25A8F">
        <w:t>nematyti</w:t>
      </w:r>
      <w:r w:rsidRPr="00317AC7">
        <w:t xml:space="preserve">, kad </w:t>
      </w:r>
      <w:r w:rsidRPr="00317AC7">
        <w:lastRenderedPageBreak/>
        <w:t>šis procesas buvo pradėtas siekiant pakenkti Alvise Pérezo, kaip Europos Parlamento nario, politinei veiklai</w:t>
      </w:r>
      <w:r w:rsidR="0053318D">
        <w:t xml:space="preserve">, </w:t>
      </w:r>
      <w:r w:rsidR="0053318D" w:rsidRPr="002B4D2E">
        <w:t>taigi ir Parlamento nepriklausomumui</w:t>
      </w:r>
      <w:r w:rsidRPr="00317AC7">
        <w:t>;</w:t>
      </w:r>
    </w:p>
    <w:p w14:paraId="7F203C9F" w14:textId="77777777" w:rsidR="00B2128F" w:rsidRPr="00317AC7" w:rsidRDefault="00B2128F" w:rsidP="00B2128F">
      <w:pPr>
        <w:pStyle w:val="NormalHanging12a"/>
      </w:pPr>
      <w:r w:rsidRPr="00317AC7">
        <w:t>J.</w:t>
      </w:r>
      <w:r w:rsidRPr="00317AC7">
        <w:tab/>
        <w:t>kadangi, pirma, Parlamentas negali būti prilyginamas teismui ir, antra, vykstant imuniteto atšaukimo procedūrai Parlamento narys negali būti laikomas kaltinamuoju</w:t>
      </w:r>
      <w:r w:rsidRPr="00317AC7">
        <w:rPr>
          <w:vertAlign w:val="superscript"/>
        </w:rPr>
        <w:footnoteReference w:id="2"/>
      </w:r>
      <w:r w:rsidRPr="00317AC7">
        <w:t>;</w:t>
      </w:r>
    </w:p>
    <w:p w14:paraId="12C2A390" w14:textId="77777777" w:rsidR="00B2128F" w:rsidRPr="00317AC7" w:rsidRDefault="00B2128F" w:rsidP="00B2128F">
      <w:pPr>
        <w:pStyle w:val="NormalHanging12a"/>
      </w:pPr>
      <w:r w:rsidRPr="00317AC7">
        <w:t>1.</w:t>
      </w:r>
      <w:r w:rsidRPr="00317AC7">
        <w:tab/>
        <w:t>nusprendžia atšaukti Alvise Pérezo imunitetą;</w:t>
      </w:r>
    </w:p>
    <w:p w14:paraId="50099245" w14:textId="63746FB4" w:rsidR="00317AC7" w:rsidRPr="00317AC7" w:rsidRDefault="00B2128F" w:rsidP="00317AC7">
      <w:pPr>
        <w:pStyle w:val="NormalHanging12a"/>
      </w:pPr>
      <w:r w:rsidRPr="00317AC7">
        <w:t>2.</w:t>
      </w:r>
      <w:r w:rsidRPr="00317AC7">
        <w:tab/>
        <w:t xml:space="preserve">paveda Pirmininkei nedelsiant perduoti šį sprendimą ir atsakingo komiteto pranešimą Ispanijos </w:t>
      </w:r>
      <w:r w:rsidR="00D36B08">
        <w:t>K</w:t>
      </w:r>
      <w:r w:rsidR="00261FDA">
        <w:t>aralystės</w:t>
      </w:r>
      <w:r w:rsidR="00385B77">
        <w:t xml:space="preserve"> </w:t>
      </w:r>
      <w:r w:rsidR="0098295C">
        <w:t>kompetentingai</w:t>
      </w:r>
      <w:r w:rsidR="00385B77">
        <w:t xml:space="preserve"> </w:t>
      </w:r>
      <w:r w:rsidR="00385B77" w:rsidRPr="00317AC7">
        <w:t>institucij</w:t>
      </w:r>
      <w:r w:rsidR="00385B77">
        <w:t>ai</w:t>
      </w:r>
      <w:r w:rsidR="00385B77" w:rsidRPr="00317AC7">
        <w:t xml:space="preserve"> </w:t>
      </w:r>
      <w:r w:rsidRPr="00317AC7">
        <w:t xml:space="preserve">ir Alvise Pérezui. </w:t>
      </w:r>
    </w:p>
    <w:p w14:paraId="03692B97" w14:textId="0E8F1435" w:rsidR="00E365E1" w:rsidRPr="00317AC7" w:rsidRDefault="00E365E1" w:rsidP="00104A99"/>
    <w:sectPr w:rsidR="00E365E1" w:rsidRPr="00317AC7" w:rsidSect="00317A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61DDD" w14:textId="77777777" w:rsidR="00104A99" w:rsidRPr="00317AC7" w:rsidRDefault="00104A99">
      <w:r w:rsidRPr="00317AC7">
        <w:separator/>
      </w:r>
    </w:p>
  </w:endnote>
  <w:endnote w:type="continuationSeparator" w:id="0">
    <w:p w14:paraId="1452DFBF" w14:textId="77777777" w:rsidR="00104A99" w:rsidRPr="00317AC7" w:rsidRDefault="00104A99">
      <w:r w:rsidRPr="00317A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2C3B" w14:textId="77777777" w:rsidR="00064002" w:rsidRPr="00317A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22ED" w14:textId="77777777" w:rsidR="00064002" w:rsidRPr="00317A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3B12" w14:textId="77777777" w:rsidR="00064002" w:rsidRPr="00317A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8856" w14:textId="77777777" w:rsidR="00104A99" w:rsidRPr="00317AC7" w:rsidRDefault="00104A99">
      <w:r w:rsidRPr="00317AC7">
        <w:separator/>
      </w:r>
    </w:p>
  </w:footnote>
  <w:footnote w:type="continuationSeparator" w:id="0">
    <w:p w14:paraId="7CA1BC37" w14:textId="77777777" w:rsidR="00104A99" w:rsidRPr="00317AC7" w:rsidRDefault="00104A99">
      <w:r w:rsidRPr="00317AC7">
        <w:continuationSeparator/>
      </w:r>
    </w:p>
  </w:footnote>
  <w:footnote w:id="1">
    <w:p w14:paraId="3A1DC70C" w14:textId="58F0E2E1" w:rsidR="00B2128F" w:rsidRPr="00317AC7" w:rsidRDefault="00B2128F" w:rsidP="00317AC7">
      <w:pPr>
        <w:pStyle w:val="FootnoteText"/>
        <w:ind w:left="567" w:hanging="567"/>
        <w:rPr>
          <w:sz w:val="24"/>
          <w:lang w:val="lt-LT"/>
        </w:rPr>
      </w:pPr>
      <w:r w:rsidRPr="00317AC7">
        <w:rPr>
          <w:rStyle w:val="FootnoteReference"/>
          <w:sz w:val="24"/>
          <w:lang w:val="lt-LT"/>
        </w:rPr>
        <w:footnoteRef/>
      </w:r>
      <w:r w:rsidR="00317AC7" w:rsidRPr="00317AC7">
        <w:rPr>
          <w:sz w:val="24"/>
          <w:lang w:val="lt-LT"/>
        </w:rPr>
        <w:t xml:space="preserve"> </w:t>
      </w:r>
      <w:r w:rsidR="00317AC7" w:rsidRPr="00317AC7">
        <w:rPr>
          <w:sz w:val="24"/>
          <w:lang w:val="lt-LT"/>
        </w:rPr>
        <w:tab/>
      </w:r>
      <w:r w:rsidRPr="00317AC7">
        <w:rPr>
          <w:sz w:val="24"/>
          <w:lang w:val="lt-LT"/>
        </w:rPr>
        <w:t xml:space="preserve">2008 m. spalio 21 d. Teisingumo Teismo sprendimas </w:t>
      </w:r>
      <w:r w:rsidRPr="00317AC7">
        <w:rPr>
          <w:i/>
          <w:iCs/>
          <w:sz w:val="24"/>
          <w:lang w:val="lt-LT"/>
        </w:rPr>
        <w:t>Marra / De Gregorio ir Clemente</w:t>
      </w:r>
      <w:r w:rsidRPr="00317AC7">
        <w:rPr>
          <w:sz w:val="24"/>
          <w:lang w:val="lt-LT"/>
        </w:rPr>
        <w:t xml:space="preserve">, C-200/07 ir C-201/07, ECLI:EU:C:2008:579; 2010 m. kovo 19 d. Bendrojo Teismo sprendimas </w:t>
      </w:r>
      <w:r w:rsidRPr="00317AC7">
        <w:rPr>
          <w:i/>
          <w:iCs/>
          <w:sz w:val="24"/>
          <w:lang w:val="lt-LT"/>
        </w:rPr>
        <w:t>Gollnisch / Parlamentas</w:t>
      </w:r>
      <w:r w:rsidRPr="00317AC7">
        <w:rPr>
          <w:sz w:val="24"/>
          <w:lang w:val="lt-LT"/>
        </w:rPr>
        <w:t xml:space="preserve">, T-42/06, ECLI:EU:T:2010:102; 2011 m. rugsėjo 6 d. Teisingumo Teismo sprendimas </w:t>
      </w:r>
      <w:r w:rsidRPr="00317AC7">
        <w:rPr>
          <w:i/>
          <w:iCs/>
          <w:sz w:val="24"/>
          <w:lang w:val="lt-LT"/>
        </w:rPr>
        <w:t>Patriciello</w:t>
      </w:r>
      <w:r w:rsidRPr="00317AC7">
        <w:rPr>
          <w:sz w:val="24"/>
          <w:lang w:val="lt-LT"/>
        </w:rPr>
        <w:t xml:space="preserve">, C-163/10, ECLI: EU:C:2011:543; 2013 m. sausio 17 d. Bendrojo Teismo sprendimas </w:t>
      </w:r>
      <w:r w:rsidRPr="00317AC7">
        <w:rPr>
          <w:i/>
          <w:iCs/>
          <w:sz w:val="24"/>
          <w:lang w:val="lt-LT"/>
        </w:rPr>
        <w:t>Gollnisch / Parlamentas</w:t>
      </w:r>
      <w:r w:rsidRPr="00317AC7">
        <w:rPr>
          <w:sz w:val="24"/>
          <w:lang w:val="lt-LT"/>
        </w:rPr>
        <w:t xml:space="preserve">, T-346/11 ir T-347/11, ECLI:EU:T:2013:23; 2019 m. gruodžio 19 d. Teisingumo Teismo sprendimas </w:t>
      </w:r>
      <w:r w:rsidRPr="00317AC7">
        <w:rPr>
          <w:i/>
          <w:iCs/>
          <w:sz w:val="24"/>
          <w:lang w:val="lt-LT"/>
        </w:rPr>
        <w:t>Junqueras Vies</w:t>
      </w:r>
      <w:r w:rsidRPr="00317AC7">
        <w:rPr>
          <w:sz w:val="24"/>
          <w:lang w:val="lt-LT"/>
        </w:rPr>
        <w:t>, C-502/19, ECLI:EU:C:2019:1115.</w:t>
      </w:r>
    </w:p>
  </w:footnote>
  <w:footnote w:id="2">
    <w:p w14:paraId="2369FA44" w14:textId="2F5295A5" w:rsidR="00B2128F" w:rsidRPr="00317AC7" w:rsidRDefault="00B2128F" w:rsidP="00317AC7">
      <w:pPr>
        <w:pStyle w:val="FootnoteText"/>
        <w:ind w:left="567" w:hanging="567"/>
        <w:rPr>
          <w:sz w:val="24"/>
          <w:lang w:val="lt-LT"/>
        </w:rPr>
      </w:pPr>
      <w:r w:rsidRPr="00317AC7">
        <w:rPr>
          <w:rStyle w:val="FootnoteReference"/>
          <w:sz w:val="24"/>
          <w:lang w:val="lt-LT"/>
        </w:rPr>
        <w:footnoteRef/>
      </w:r>
      <w:r w:rsidR="00317AC7" w:rsidRPr="00317AC7">
        <w:rPr>
          <w:sz w:val="24"/>
          <w:lang w:val="lt-LT"/>
        </w:rPr>
        <w:t xml:space="preserve"> </w:t>
      </w:r>
      <w:r w:rsidR="00317AC7" w:rsidRPr="00317AC7">
        <w:rPr>
          <w:sz w:val="24"/>
          <w:lang w:val="lt-LT"/>
        </w:rPr>
        <w:tab/>
      </w:r>
      <w:r w:rsidRPr="00317AC7">
        <w:rPr>
          <w:sz w:val="24"/>
          <w:lang w:val="lt-LT"/>
        </w:rPr>
        <w:t xml:space="preserve">2019 m. balandžio 30 d. Bendrojo Teismo sprendimas </w:t>
      </w:r>
      <w:r w:rsidRPr="00317AC7">
        <w:rPr>
          <w:i/>
          <w:iCs/>
          <w:sz w:val="24"/>
          <w:lang w:val="lt-LT"/>
        </w:rPr>
        <w:t>Briois / Parlamentas</w:t>
      </w:r>
      <w:r w:rsidRPr="00317AC7">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6436" w14:textId="77777777" w:rsidR="00064002" w:rsidRPr="00317A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F714" w14:textId="77777777" w:rsidR="00064002" w:rsidRPr="00317A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D614" w14:textId="77777777" w:rsidR="00064002" w:rsidRPr="00317A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6407355">
    <w:abstractNumId w:val="9"/>
  </w:num>
  <w:num w:numId="2" w16cid:durableId="1072044142">
    <w:abstractNumId w:val="9"/>
  </w:num>
  <w:num w:numId="3" w16cid:durableId="1531724934">
    <w:abstractNumId w:val="7"/>
  </w:num>
  <w:num w:numId="4" w16cid:durableId="1809472646">
    <w:abstractNumId w:val="7"/>
  </w:num>
  <w:num w:numId="5" w16cid:durableId="2098558191">
    <w:abstractNumId w:val="6"/>
  </w:num>
  <w:num w:numId="6" w16cid:durableId="1492142040">
    <w:abstractNumId w:val="6"/>
  </w:num>
  <w:num w:numId="7" w16cid:durableId="548883159">
    <w:abstractNumId w:val="5"/>
  </w:num>
  <w:num w:numId="8" w16cid:durableId="815612349">
    <w:abstractNumId w:val="5"/>
  </w:num>
  <w:num w:numId="9" w16cid:durableId="67581646">
    <w:abstractNumId w:val="4"/>
  </w:num>
  <w:num w:numId="10" w16cid:durableId="1431511403">
    <w:abstractNumId w:val="4"/>
  </w:num>
  <w:num w:numId="11" w16cid:durableId="1171723993">
    <w:abstractNumId w:val="8"/>
  </w:num>
  <w:num w:numId="12" w16cid:durableId="1529106298">
    <w:abstractNumId w:val="8"/>
  </w:num>
  <w:num w:numId="13" w16cid:durableId="332882030">
    <w:abstractNumId w:val="3"/>
  </w:num>
  <w:num w:numId="14" w16cid:durableId="1762794557">
    <w:abstractNumId w:val="3"/>
  </w:num>
  <w:num w:numId="15" w16cid:durableId="1409695549">
    <w:abstractNumId w:val="2"/>
  </w:num>
  <w:num w:numId="16" w16cid:durableId="1601058495">
    <w:abstractNumId w:val="2"/>
  </w:num>
  <w:num w:numId="17" w16cid:durableId="529536495">
    <w:abstractNumId w:val="1"/>
  </w:num>
  <w:num w:numId="18" w16cid:durableId="1074088350">
    <w:abstractNumId w:val="1"/>
  </w:num>
  <w:num w:numId="19" w16cid:durableId="1292203081">
    <w:abstractNumId w:val="0"/>
  </w:num>
  <w:num w:numId="20" w16cid:durableId="492332119">
    <w:abstractNumId w:val="0"/>
  </w:num>
  <w:num w:numId="21" w16cid:durableId="250164446">
    <w:abstractNumId w:val="9"/>
  </w:num>
  <w:num w:numId="22" w16cid:durableId="1067801163">
    <w:abstractNumId w:val="7"/>
  </w:num>
  <w:num w:numId="23" w16cid:durableId="917707953">
    <w:abstractNumId w:val="6"/>
  </w:num>
  <w:num w:numId="24" w16cid:durableId="483621441">
    <w:abstractNumId w:val="5"/>
  </w:num>
  <w:num w:numId="25" w16cid:durableId="2015498213">
    <w:abstractNumId w:val="4"/>
  </w:num>
  <w:num w:numId="26" w16cid:durableId="206769455">
    <w:abstractNumId w:val="8"/>
  </w:num>
  <w:num w:numId="27" w16cid:durableId="693112988">
    <w:abstractNumId w:val="3"/>
  </w:num>
  <w:num w:numId="28" w16cid:durableId="1695643466">
    <w:abstractNumId w:val="2"/>
  </w:num>
  <w:num w:numId="29" w16cid:durableId="1000277672">
    <w:abstractNumId w:val="1"/>
  </w:num>
  <w:num w:numId="30" w16cid:durableId="291257082">
    <w:abstractNumId w:val="0"/>
  </w:num>
  <w:num w:numId="31" w16cid:durableId="205529690">
    <w:abstractNumId w:val="9"/>
  </w:num>
  <w:num w:numId="32" w16cid:durableId="1822772751">
    <w:abstractNumId w:val="7"/>
  </w:num>
  <w:num w:numId="33" w16cid:durableId="1187714967">
    <w:abstractNumId w:val="6"/>
  </w:num>
  <w:num w:numId="34" w16cid:durableId="1561940131">
    <w:abstractNumId w:val="5"/>
  </w:num>
  <w:num w:numId="35" w16cid:durableId="62722351">
    <w:abstractNumId w:val="4"/>
  </w:num>
  <w:num w:numId="36" w16cid:durableId="1342507422">
    <w:abstractNumId w:val="8"/>
  </w:num>
  <w:num w:numId="37" w16cid:durableId="1914704504">
    <w:abstractNumId w:val="3"/>
  </w:num>
  <w:num w:numId="38" w16cid:durableId="674458636">
    <w:abstractNumId w:val="2"/>
  </w:num>
  <w:num w:numId="39" w16cid:durableId="1232035932">
    <w:abstractNumId w:val="1"/>
  </w:num>
  <w:num w:numId="40" w16cid:durableId="128744344">
    <w:abstractNumId w:val="0"/>
  </w:num>
  <w:num w:numId="41" w16cid:durableId="106970474">
    <w:abstractNumId w:val="10"/>
  </w:num>
  <w:num w:numId="42" w16cid:durableId="1618901810">
    <w:abstractNumId w:val="10"/>
  </w:num>
  <w:num w:numId="43" w16cid:durableId="1106004061">
    <w:abstractNumId w:val="10"/>
  </w:num>
  <w:num w:numId="44" w16cid:durableId="562328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LT"/>
    <w:docVar w:name="dvnumam" w:val="0"/>
    <w:docVar w:name="dvpe" w:val="785.310"/>
    <w:docVar w:name="dvrapporteur" w:val="Pranešėjas: "/>
    <w:docVar w:name="dvtitre" w:val="2026 m. geguzes 19 d. Europos Parlamento sprendimas dėl prašymo atšaukti Alvise Pérezo (Alvise Pérez) imunitetą(2025/2236(IMM))"/>
  </w:docVars>
  <w:rsids>
    <w:rsidRoot w:val="00104A99"/>
    <w:rsid w:val="00002272"/>
    <w:rsid w:val="00064002"/>
    <w:rsid w:val="000677B9"/>
    <w:rsid w:val="000831BA"/>
    <w:rsid w:val="000A42CC"/>
    <w:rsid w:val="000E7DD9"/>
    <w:rsid w:val="0010095E"/>
    <w:rsid w:val="00104A99"/>
    <w:rsid w:val="00125B37"/>
    <w:rsid w:val="00155BAD"/>
    <w:rsid w:val="00187494"/>
    <w:rsid w:val="001E3E9B"/>
    <w:rsid w:val="001F32AE"/>
    <w:rsid w:val="00247B86"/>
    <w:rsid w:val="00261FDA"/>
    <w:rsid w:val="002767FF"/>
    <w:rsid w:val="002B18FE"/>
    <w:rsid w:val="002B5493"/>
    <w:rsid w:val="002D59C1"/>
    <w:rsid w:val="002F27DE"/>
    <w:rsid w:val="00317AC7"/>
    <w:rsid w:val="00343214"/>
    <w:rsid w:val="00361C00"/>
    <w:rsid w:val="00385B77"/>
    <w:rsid w:val="00395FA1"/>
    <w:rsid w:val="003E0BE7"/>
    <w:rsid w:val="003E15D4"/>
    <w:rsid w:val="00411CCE"/>
    <w:rsid w:val="0041666E"/>
    <w:rsid w:val="00421060"/>
    <w:rsid w:val="0043754C"/>
    <w:rsid w:val="00461742"/>
    <w:rsid w:val="00471C19"/>
    <w:rsid w:val="004867E3"/>
    <w:rsid w:val="00494A28"/>
    <w:rsid w:val="004C0004"/>
    <w:rsid w:val="004C5D52"/>
    <w:rsid w:val="0050519A"/>
    <w:rsid w:val="005072A1"/>
    <w:rsid w:val="00514517"/>
    <w:rsid w:val="0053318D"/>
    <w:rsid w:val="00545827"/>
    <w:rsid w:val="00555075"/>
    <w:rsid w:val="00560270"/>
    <w:rsid w:val="005C2568"/>
    <w:rsid w:val="005E2114"/>
    <w:rsid w:val="005F1B17"/>
    <w:rsid w:val="006037C0"/>
    <w:rsid w:val="0061684C"/>
    <w:rsid w:val="006631B6"/>
    <w:rsid w:val="00680577"/>
    <w:rsid w:val="006C4BF6"/>
    <w:rsid w:val="006F00F9"/>
    <w:rsid w:val="006F74FA"/>
    <w:rsid w:val="00731ADD"/>
    <w:rsid w:val="00734777"/>
    <w:rsid w:val="00747932"/>
    <w:rsid w:val="00751A4A"/>
    <w:rsid w:val="00756632"/>
    <w:rsid w:val="00762C74"/>
    <w:rsid w:val="00786EC0"/>
    <w:rsid w:val="007D1690"/>
    <w:rsid w:val="007E22AD"/>
    <w:rsid w:val="00817416"/>
    <w:rsid w:val="00841B13"/>
    <w:rsid w:val="00842779"/>
    <w:rsid w:val="008466A7"/>
    <w:rsid w:val="00865F67"/>
    <w:rsid w:val="00881A7B"/>
    <w:rsid w:val="008840E5"/>
    <w:rsid w:val="00887B3E"/>
    <w:rsid w:val="008C2AC6"/>
    <w:rsid w:val="00930C23"/>
    <w:rsid w:val="0093193B"/>
    <w:rsid w:val="009509D8"/>
    <w:rsid w:val="00950B64"/>
    <w:rsid w:val="00981893"/>
    <w:rsid w:val="0098295C"/>
    <w:rsid w:val="00A1687D"/>
    <w:rsid w:val="00A43E52"/>
    <w:rsid w:val="00A4678D"/>
    <w:rsid w:val="00A778C7"/>
    <w:rsid w:val="00AB441E"/>
    <w:rsid w:val="00AB6293"/>
    <w:rsid w:val="00AE0928"/>
    <w:rsid w:val="00AF3B82"/>
    <w:rsid w:val="00B12E95"/>
    <w:rsid w:val="00B2128F"/>
    <w:rsid w:val="00B22876"/>
    <w:rsid w:val="00B45D5A"/>
    <w:rsid w:val="00B558F0"/>
    <w:rsid w:val="00BB305C"/>
    <w:rsid w:val="00BC7429"/>
    <w:rsid w:val="00BD48FE"/>
    <w:rsid w:val="00BD5CE9"/>
    <w:rsid w:val="00BD7BD8"/>
    <w:rsid w:val="00BE6ADC"/>
    <w:rsid w:val="00C05BFE"/>
    <w:rsid w:val="00C23CD4"/>
    <w:rsid w:val="00C25A8F"/>
    <w:rsid w:val="00C61C0C"/>
    <w:rsid w:val="00C941CB"/>
    <w:rsid w:val="00CC0DAF"/>
    <w:rsid w:val="00CC2357"/>
    <w:rsid w:val="00CF071A"/>
    <w:rsid w:val="00D058B8"/>
    <w:rsid w:val="00D36B08"/>
    <w:rsid w:val="00D56C11"/>
    <w:rsid w:val="00D834A0"/>
    <w:rsid w:val="00D872DF"/>
    <w:rsid w:val="00D91E21"/>
    <w:rsid w:val="00DA4425"/>
    <w:rsid w:val="00DA7FCD"/>
    <w:rsid w:val="00DB07FE"/>
    <w:rsid w:val="00E221B4"/>
    <w:rsid w:val="00E32689"/>
    <w:rsid w:val="00E365E1"/>
    <w:rsid w:val="00E820A4"/>
    <w:rsid w:val="00EB006A"/>
    <w:rsid w:val="00EB4772"/>
    <w:rsid w:val="00ED169E"/>
    <w:rsid w:val="00ED4235"/>
    <w:rsid w:val="00EF43F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D96BD"/>
  <w15:chartTrackingRefBased/>
  <w15:docId w15:val="{3F99B8F0-92C7-48C3-8741-79EB6516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128F"/>
    <w:pPr>
      <w:spacing w:after="240"/>
      <w:ind w:left="567" w:hanging="567"/>
    </w:pPr>
  </w:style>
  <w:style w:type="paragraph" w:customStyle="1" w:styleId="EPComma">
    <w:name w:val="EPComma"/>
    <w:basedOn w:val="Normal"/>
    <w:rsid w:val="00B2128F"/>
    <w:pPr>
      <w:spacing w:before="480" w:after="240"/>
    </w:pPr>
  </w:style>
  <w:style w:type="paragraph" w:styleId="Revision">
    <w:name w:val="Revision"/>
    <w:hidden/>
    <w:uiPriority w:val="99"/>
    <w:semiHidden/>
    <w:rsid w:val="001E3E9B"/>
    <w:rPr>
      <w:sz w:val="24"/>
      <w:lang w:val="lt-LT"/>
    </w:rPr>
  </w:style>
  <w:style w:type="character" w:styleId="CommentReference">
    <w:name w:val="annotation reference"/>
    <w:basedOn w:val="DefaultParagraphFont"/>
    <w:rsid w:val="00E32689"/>
    <w:rPr>
      <w:sz w:val="16"/>
      <w:szCs w:val="16"/>
    </w:rPr>
  </w:style>
  <w:style w:type="paragraph" w:styleId="CommentText">
    <w:name w:val="annotation text"/>
    <w:basedOn w:val="Normal"/>
    <w:link w:val="CommentTextChar"/>
    <w:rsid w:val="00E32689"/>
    <w:rPr>
      <w:sz w:val="20"/>
    </w:rPr>
  </w:style>
  <w:style w:type="character" w:customStyle="1" w:styleId="CommentTextChar">
    <w:name w:val="Comment Text Char"/>
    <w:basedOn w:val="DefaultParagraphFont"/>
    <w:link w:val="CommentText"/>
    <w:rsid w:val="00E32689"/>
    <w:rPr>
      <w:lang w:val="lt-LT"/>
    </w:rPr>
  </w:style>
  <w:style w:type="paragraph" w:styleId="CommentSubject">
    <w:name w:val="annotation subject"/>
    <w:basedOn w:val="CommentText"/>
    <w:next w:val="CommentText"/>
    <w:link w:val="CommentSubjectChar"/>
    <w:rsid w:val="00E32689"/>
    <w:rPr>
      <w:b/>
      <w:bCs/>
    </w:rPr>
  </w:style>
  <w:style w:type="character" w:customStyle="1" w:styleId="CommentSubjectChar">
    <w:name w:val="Comment Subject Char"/>
    <w:basedOn w:val="CommentTextChar"/>
    <w:link w:val="CommentSubject"/>
    <w:rsid w:val="00E32689"/>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668</Words>
  <Characters>4364</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Prašymas atšaukti Alvise Pérezo (Alvise Pérez) imunitetą</vt:lpstr>
      <vt:lpstr>        2026 m. gegužės 19 d. Europos Parlamento sprendimas dėl prašymo atšaukti Alvise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2026-05-19T11:42:00Z</dcterms:created>
  <dcterms:modified xsi:type="dcterms:W3CDTF">2026-05-19T11:42:00Z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A10-0129/2026</vt:lpwstr>
  </property>
  <property fmtid="{D5CDD505-2E9C-101B-9397-08002B2CF9AE}" pid="4" name="&lt;Type&gt;">
    <vt:lpwstr>RR</vt:lpwstr>
  </property>
</Properties>
</file>