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0FA8" w14:paraId="1D626B04" w14:textId="77777777" w:rsidTr="0010095E">
        <w:trPr>
          <w:trHeight w:hRule="exact" w:val="1418"/>
        </w:trPr>
        <w:tc>
          <w:tcPr>
            <w:tcW w:w="6804" w:type="dxa"/>
            <w:shd w:val="clear" w:color="auto" w:fill="auto"/>
            <w:vAlign w:val="center"/>
          </w:tcPr>
          <w:p w14:paraId="1D789415" w14:textId="77777777" w:rsidR="00751A4A" w:rsidRPr="00440FA8" w:rsidRDefault="003E26E6" w:rsidP="0010095E">
            <w:pPr>
              <w:pStyle w:val="EPName"/>
            </w:pPr>
            <w:r w:rsidRPr="00440FA8">
              <w:t>Eiropas Parlaments</w:t>
            </w:r>
          </w:p>
          <w:p w14:paraId="35D59F34" w14:textId="77777777" w:rsidR="00751A4A" w:rsidRPr="00440FA8" w:rsidRDefault="005F1B17" w:rsidP="005F1B17">
            <w:pPr>
              <w:pStyle w:val="EPTerm"/>
              <w:rPr>
                <w:rStyle w:val="HideTWBExt"/>
                <w:noProof w:val="0"/>
                <w:vanish w:val="0"/>
                <w:color w:val="auto"/>
              </w:rPr>
            </w:pPr>
            <w:r w:rsidRPr="00440FA8">
              <w:t>2024</w:t>
            </w:r>
            <w:r w:rsidR="00817416" w:rsidRPr="00440FA8">
              <w:t>-202</w:t>
            </w:r>
            <w:r w:rsidRPr="00440FA8">
              <w:t>9</w:t>
            </w:r>
          </w:p>
        </w:tc>
        <w:tc>
          <w:tcPr>
            <w:tcW w:w="2268" w:type="dxa"/>
            <w:shd w:val="clear" w:color="auto" w:fill="auto"/>
          </w:tcPr>
          <w:p w14:paraId="5F4962DC" w14:textId="77777777" w:rsidR="00751A4A" w:rsidRPr="00440FA8" w:rsidRDefault="00187494" w:rsidP="0010095E">
            <w:pPr>
              <w:pStyle w:val="EPLogo"/>
            </w:pPr>
            <w:r w:rsidRPr="00440FA8">
              <w:rPr>
                <w:noProof/>
                <w:lang w:eastAsia="ja-JP"/>
              </w:rPr>
              <w:drawing>
                <wp:inline distT="0" distB="0" distL="0" distR="0" wp14:anchorId="62422198" wp14:editId="1E0FC0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B02ACE" w14:textId="77777777" w:rsidR="00D058B8" w:rsidRPr="00440FA8" w:rsidRDefault="00D058B8" w:rsidP="004C5D52">
      <w:pPr>
        <w:pStyle w:val="LineTop"/>
      </w:pPr>
    </w:p>
    <w:p w14:paraId="7866FD12" w14:textId="77777777" w:rsidR="00680577" w:rsidRPr="00440FA8" w:rsidRDefault="003E26E6" w:rsidP="00680577">
      <w:pPr>
        <w:pStyle w:val="EPBodyTA1"/>
      </w:pPr>
      <w:r w:rsidRPr="00440FA8">
        <w:t>PIEŅEMTIE TEKSTI</w:t>
      </w:r>
    </w:p>
    <w:p w14:paraId="22078C62" w14:textId="77777777" w:rsidR="00D058B8" w:rsidRPr="00440FA8" w:rsidRDefault="00D058B8" w:rsidP="00D058B8">
      <w:pPr>
        <w:pStyle w:val="LineBottom"/>
      </w:pPr>
    </w:p>
    <w:p w14:paraId="16A1545C" w14:textId="60CDEF0A" w:rsidR="003E26E6" w:rsidRPr="00440FA8" w:rsidRDefault="003E26E6" w:rsidP="003E26E6">
      <w:pPr>
        <w:pStyle w:val="ATHeading1"/>
      </w:pPr>
      <w:bookmarkStart w:id="0" w:name="TANumber"/>
      <w:r w:rsidRPr="00440FA8">
        <w:t>P10_TA(2026)</w:t>
      </w:r>
      <w:bookmarkEnd w:id="0"/>
      <w:r w:rsidR="00440FA8" w:rsidRPr="00440FA8">
        <w:t>0167</w:t>
      </w:r>
    </w:p>
    <w:p w14:paraId="462E0F35" w14:textId="77777777" w:rsidR="003E26E6" w:rsidRPr="00440FA8" w:rsidRDefault="003E26E6" w:rsidP="003E26E6">
      <w:pPr>
        <w:pStyle w:val="ATHeading2"/>
      </w:pPr>
      <w:bookmarkStart w:id="1" w:name="title"/>
      <w:r w:rsidRPr="00440FA8">
        <w:t xml:space="preserve">Pieprasījums atcelt </w:t>
      </w:r>
      <w:proofErr w:type="spellStart"/>
      <w:r w:rsidRPr="00440FA8">
        <w:rPr>
          <w:i/>
          <w:iCs/>
        </w:rPr>
        <w:t>Alvise</w:t>
      </w:r>
      <w:proofErr w:type="spellEnd"/>
      <w:r w:rsidRPr="00440FA8">
        <w:rPr>
          <w:i/>
          <w:iCs/>
        </w:rPr>
        <w:t xml:space="preserve"> </w:t>
      </w:r>
      <w:proofErr w:type="spellStart"/>
      <w:r w:rsidRPr="00440FA8">
        <w:rPr>
          <w:i/>
          <w:iCs/>
        </w:rPr>
        <w:t>Pérez</w:t>
      </w:r>
      <w:proofErr w:type="spellEnd"/>
      <w:r w:rsidRPr="00440FA8">
        <w:t xml:space="preserve"> imunitāti</w:t>
      </w:r>
      <w:bookmarkEnd w:id="1"/>
    </w:p>
    <w:p w14:paraId="700A5086" w14:textId="77777777" w:rsidR="003E26E6" w:rsidRPr="00440FA8" w:rsidRDefault="003E26E6" w:rsidP="003E26E6">
      <w:pPr>
        <w:rPr>
          <w:i/>
          <w:vanish/>
        </w:rPr>
      </w:pPr>
      <w:r w:rsidRPr="00440FA8">
        <w:rPr>
          <w:i/>
        </w:rPr>
        <w:fldChar w:fldCharType="begin"/>
      </w:r>
      <w:r w:rsidRPr="00440FA8">
        <w:rPr>
          <w:i/>
        </w:rPr>
        <w:instrText xml:space="preserve"> TC"(</w:instrText>
      </w:r>
      <w:bookmarkStart w:id="2" w:name="DocNumber"/>
      <w:r w:rsidRPr="00440FA8">
        <w:rPr>
          <w:i/>
        </w:rPr>
        <w:instrText>A10-0129/2026</w:instrText>
      </w:r>
      <w:bookmarkEnd w:id="2"/>
      <w:r w:rsidRPr="00440FA8">
        <w:rPr>
          <w:i/>
        </w:rPr>
        <w:instrText xml:space="preserve"> - Referente: Pascale Piera)"\l3 \n&gt; \* MERGEFORMAT </w:instrText>
      </w:r>
      <w:r w:rsidRPr="00440FA8">
        <w:rPr>
          <w:i/>
        </w:rPr>
        <w:fldChar w:fldCharType="end"/>
      </w:r>
    </w:p>
    <w:p w14:paraId="56C01093" w14:textId="77777777" w:rsidR="003E26E6" w:rsidRPr="00440FA8" w:rsidRDefault="003E26E6" w:rsidP="003E26E6">
      <w:pPr>
        <w:rPr>
          <w:vanish/>
        </w:rPr>
      </w:pPr>
      <w:bookmarkStart w:id="3" w:name="Commission"/>
      <w:r w:rsidRPr="00440FA8">
        <w:rPr>
          <w:vanish/>
        </w:rPr>
        <w:t>Juridiskā komiteja</w:t>
      </w:r>
      <w:bookmarkEnd w:id="3"/>
    </w:p>
    <w:p w14:paraId="2148C6D3" w14:textId="77777777" w:rsidR="003E26E6" w:rsidRPr="00440FA8" w:rsidRDefault="003E26E6" w:rsidP="003E26E6">
      <w:pPr>
        <w:rPr>
          <w:vanish/>
        </w:rPr>
      </w:pPr>
      <w:bookmarkStart w:id="4" w:name="PE"/>
      <w:r w:rsidRPr="00440FA8">
        <w:rPr>
          <w:vanish/>
        </w:rPr>
        <w:t>PE785.310</w:t>
      </w:r>
      <w:bookmarkEnd w:id="4"/>
    </w:p>
    <w:p w14:paraId="000043F4" w14:textId="59C7657D" w:rsidR="003E26E6" w:rsidRPr="00440FA8" w:rsidRDefault="003E26E6" w:rsidP="003E26E6">
      <w:pPr>
        <w:pStyle w:val="ATHeading3"/>
      </w:pPr>
      <w:bookmarkStart w:id="5" w:name="Sujet"/>
      <w:r w:rsidRPr="00440FA8">
        <w:t xml:space="preserve">Eiropas Parlamenta 2026. gada </w:t>
      </w:r>
      <w:r w:rsidR="000D24A1" w:rsidRPr="00440FA8">
        <w:t>19</w:t>
      </w:r>
      <w:r w:rsidRPr="00440FA8">
        <w:t xml:space="preserve">. </w:t>
      </w:r>
      <w:r w:rsidR="000D24A1" w:rsidRPr="00440FA8">
        <w:t>maija</w:t>
      </w:r>
      <w:r w:rsidRPr="00440FA8">
        <w:t xml:space="preserve"> lēmums par pieprasījumu atcelt </w:t>
      </w:r>
      <w:proofErr w:type="spellStart"/>
      <w:r w:rsidRPr="00440FA8">
        <w:rPr>
          <w:i/>
          <w:iCs/>
        </w:rPr>
        <w:t>Alvise</w:t>
      </w:r>
      <w:proofErr w:type="spellEnd"/>
      <w:r w:rsidRPr="00440FA8">
        <w:rPr>
          <w:i/>
          <w:iCs/>
        </w:rPr>
        <w:t xml:space="preserve"> </w:t>
      </w:r>
      <w:proofErr w:type="spellStart"/>
      <w:r w:rsidRPr="00440FA8">
        <w:rPr>
          <w:i/>
          <w:iCs/>
        </w:rPr>
        <w:t>Pérez</w:t>
      </w:r>
      <w:proofErr w:type="spellEnd"/>
      <w:r w:rsidRPr="00440FA8">
        <w:t xml:space="preserve"> imunitāti</w:t>
      </w:r>
      <w:bookmarkEnd w:id="5"/>
      <w:r w:rsidRPr="00440FA8">
        <w:t xml:space="preserve"> </w:t>
      </w:r>
      <w:bookmarkStart w:id="6" w:name="References"/>
      <w:r w:rsidRPr="00440FA8">
        <w:t>(2025/2236(IMM))</w:t>
      </w:r>
      <w:bookmarkEnd w:id="6"/>
    </w:p>
    <w:p w14:paraId="76327C69" w14:textId="77777777" w:rsidR="00B84193" w:rsidRPr="00440FA8" w:rsidRDefault="00B84193" w:rsidP="00B84193">
      <w:pPr>
        <w:pStyle w:val="EPComma"/>
      </w:pPr>
      <w:bookmarkStart w:id="7" w:name="TextBodyBegin"/>
      <w:bookmarkEnd w:id="7"/>
      <w:r w:rsidRPr="00440FA8">
        <w:rPr>
          <w:i/>
        </w:rPr>
        <w:t>Eiropas Parlaments</w:t>
      </w:r>
      <w:r w:rsidRPr="00440FA8">
        <w:t>,</w:t>
      </w:r>
    </w:p>
    <w:p w14:paraId="09DBC128" w14:textId="1088BEEE" w:rsidR="00B84193" w:rsidRPr="00440FA8" w:rsidRDefault="00B84193" w:rsidP="00B84193">
      <w:pPr>
        <w:pStyle w:val="NormalHanging12a"/>
      </w:pPr>
      <w:r w:rsidRPr="00440FA8">
        <w:t>–</w:t>
      </w:r>
      <w:r w:rsidRPr="00440FA8">
        <w:tab/>
        <w:t xml:space="preserve">ņemot vērā </w:t>
      </w:r>
      <w:proofErr w:type="spellStart"/>
      <w:r w:rsidR="00A278F1" w:rsidRPr="00440FA8">
        <w:rPr>
          <w:i/>
          <w:iCs/>
        </w:rPr>
        <w:t>Alvise</w:t>
      </w:r>
      <w:proofErr w:type="spellEnd"/>
      <w:r w:rsidR="00A278F1" w:rsidRPr="00440FA8">
        <w:rPr>
          <w:i/>
          <w:iCs/>
        </w:rPr>
        <w:t> </w:t>
      </w:r>
      <w:proofErr w:type="spellStart"/>
      <w:r w:rsidR="00A278F1" w:rsidRPr="00440FA8">
        <w:rPr>
          <w:i/>
          <w:iCs/>
        </w:rPr>
        <w:t>Pérez</w:t>
      </w:r>
      <w:proofErr w:type="spellEnd"/>
      <w:r w:rsidR="00A278F1" w:rsidRPr="00440FA8">
        <w:t xml:space="preserve"> (</w:t>
      </w:r>
      <w:r w:rsidRPr="00440FA8">
        <w:rPr>
          <w:i/>
          <w:iCs/>
        </w:rPr>
        <w:t xml:space="preserve">Luis </w:t>
      </w:r>
      <w:proofErr w:type="spellStart"/>
      <w:r w:rsidRPr="00440FA8">
        <w:rPr>
          <w:i/>
          <w:iCs/>
        </w:rPr>
        <w:t>Pérez</w:t>
      </w:r>
      <w:proofErr w:type="spellEnd"/>
      <w:r w:rsidRPr="00440FA8">
        <w:rPr>
          <w:i/>
          <w:iCs/>
        </w:rPr>
        <w:t xml:space="preserve"> </w:t>
      </w:r>
      <w:proofErr w:type="spellStart"/>
      <w:r w:rsidRPr="00440FA8">
        <w:rPr>
          <w:i/>
          <w:iCs/>
        </w:rPr>
        <w:t>Fernández</w:t>
      </w:r>
      <w:proofErr w:type="spellEnd"/>
      <w:r w:rsidR="00A278F1" w:rsidRPr="00440FA8">
        <w:rPr>
          <w:i/>
          <w:iCs/>
        </w:rPr>
        <w:t>)</w:t>
      </w:r>
      <w:r w:rsidRPr="00440FA8">
        <w:t xml:space="preserve"> imunitātes atcelšanas pieprasījumu, ko Spānijas Augstākā tiesa </w:t>
      </w:r>
      <w:r w:rsidR="00A278F1" w:rsidRPr="00440FA8">
        <w:t xml:space="preserve">iesniedza </w:t>
      </w:r>
      <w:r w:rsidRPr="00440FA8">
        <w:t>2025. gada 31. oktobr</w:t>
      </w:r>
      <w:r w:rsidR="00A278F1" w:rsidRPr="00440FA8">
        <w:t>a vēstulē</w:t>
      </w:r>
      <w:r w:rsidRPr="00440FA8">
        <w:t>, lai pret viņu uzsāktu kriminālprocesu, un par ko tika paziņots 2025. gada 12. novembra plenārsēdē,</w:t>
      </w:r>
    </w:p>
    <w:p w14:paraId="4E8DDC7E" w14:textId="77777777" w:rsidR="00B84193" w:rsidRPr="00440FA8" w:rsidRDefault="00B84193" w:rsidP="00B84193">
      <w:pPr>
        <w:pStyle w:val="NormalHanging12a"/>
      </w:pPr>
      <w:r w:rsidRPr="00440FA8">
        <w:t>–</w:t>
      </w:r>
      <w:r w:rsidRPr="00440FA8">
        <w:tab/>
        <w:t xml:space="preserve">ņemot vērā to, ka tiek pieņemts, ka </w:t>
      </w:r>
      <w:proofErr w:type="spellStart"/>
      <w:r w:rsidRPr="00440FA8">
        <w:rPr>
          <w:i/>
          <w:iCs/>
        </w:rPr>
        <w:t>Alvise</w:t>
      </w:r>
      <w:proofErr w:type="spellEnd"/>
      <w:r w:rsidRPr="00440FA8">
        <w:rPr>
          <w:i/>
          <w:iCs/>
        </w:rPr>
        <w:t> </w:t>
      </w:r>
      <w:proofErr w:type="spellStart"/>
      <w:r w:rsidRPr="00440FA8">
        <w:rPr>
          <w:i/>
          <w:iCs/>
        </w:rPr>
        <w:t>Pérez</w:t>
      </w:r>
      <w:proofErr w:type="spellEnd"/>
      <w:r w:rsidRPr="00440FA8">
        <w:t xml:space="preserve"> ir atteicies no tiesībām tikt uzklausītam saskaņā ar Reglamenta 9. panta 6. punktu,</w:t>
      </w:r>
    </w:p>
    <w:p w14:paraId="3350BA1F" w14:textId="77777777" w:rsidR="00B84193" w:rsidRPr="00440FA8" w:rsidRDefault="00B84193" w:rsidP="00B84193">
      <w:pPr>
        <w:pStyle w:val="NormalHanging12a"/>
      </w:pPr>
      <w:r w:rsidRPr="00440FA8">
        <w:t>–</w:t>
      </w:r>
      <w:r w:rsidRPr="00440FA8">
        <w:tab/>
        <w:t>ņemot vērā Protokola Nr. 7 par privilēģijām un imunitāti Eiropas Savienībā 8. un 9. pantu, kā arī 1976. gada 20. septembra Akta par Eiropas Parlamenta deputātu ievēlēšanu tiešās vispārējās vēlēšanās 6. panta 2. punktu,</w:t>
      </w:r>
    </w:p>
    <w:p w14:paraId="3B0103C4" w14:textId="77777777" w:rsidR="00B84193" w:rsidRPr="00440FA8" w:rsidRDefault="00B84193" w:rsidP="00B84193">
      <w:pPr>
        <w:pStyle w:val="NormalHanging12a"/>
      </w:pPr>
      <w:r w:rsidRPr="00440FA8">
        <w:t>–</w:t>
      </w:r>
      <w:r w:rsidRPr="00440FA8">
        <w:tab/>
        <w:t>ņemot vērā Eiropas Savienības Tiesas 2008. gada 21. oktobra, 2010. gada 19. marta, 2011. gada 6. septembra, 2013. gada 17. janvāra un 2019. gada 19. decembra spriedumu</w:t>
      </w:r>
      <w:r w:rsidRPr="00440FA8">
        <w:rPr>
          <w:vertAlign w:val="superscript"/>
        </w:rPr>
        <w:footnoteReference w:id="1"/>
      </w:r>
      <w:r w:rsidRPr="00440FA8">
        <w:t>,</w:t>
      </w:r>
    </w:p>
    <w:p w14:paraId="30FA3B23" w14:textId="77777777" w:rsidR="00B84193" w:rsidRPr="00440FA8" w:rsidRDefault="00B84193" w:rsidP="00B84193">
      <w:pPr>
        <w:pStyle w:val="NormalHanging12a"/>
      </w:pPr>
      <w:r w:rsidRPr="00440FA8">
        <w:t>–</w:t>
      </w:r>
      <w:r w:rsidRPr="00440FA8">
        <w:tab/>
        <w:t>ņemot vērā Spānijas Konstitūcijas 71. panta 1. un 2. punktu,</w:t>
      </w:r>
    </w:p>
    <w:p w14:paraId="0ABB8BC1" w14:textId="77777777" w:rsidR="00B84193" w:rsidRPr="00440FA8" w:rsidRDefault="00B84193" w:rsidP="00B84193">
      <w:pPr>
        <w:pStyle w:val="NormalHanging12a"/>
      </w:pPr>
      <w:r w:rsidRPr="00440FA8">
        <w:t>–</w:t>
      </w:r>
      <w:r w:rsidRPr="00440FA8">
        <w:tab/>
        <w:t>ņemot vērā Reglamenta 5. panta 2. punktu, 6. panta 1. punktu un 9. pantu,</w:t>
      </w:r>
    </w:p>
    <w:p w14:paraId="57ED1D04" w14:textId="77777777" w:rsidR="00B84193" w:rsidRPr="00440FA8" w:rsidRDefault="00B84193" w:rsidP="00B84193">
      <w:pPr>
        <w:pStyle w:val="NormalHanging12a"/>
      </w:pPr>
      <w:r w:rsidRPr="00440FA8">
        <w:t>–</w:t>
      </w:r>
      <w:r w:rsidRPr="00440FA8">
        <w:tab/>
        <w:t>ņemot vērā Juridiskās komitejas ziņojumu (A10</w:t>
      </w:r>
      <w:r w:rsidRPr="00440FA8">
        <w:noBreakHyphen/>
        <w:t>0129/2026),</w:t>
      </w:r>
    </w:p>
    <w:p w14:paraId="3E7EFB3E" w14:textId="2094F3EA" w:rsidR="00B84193" w:rsidRPr="00440FA8" w:rsidRDefault="00B84193" w:rsidP="00B84193">
      <w:pPr>
        <w:pStyle w:val="NormalHanging12a"/>
      </w:pPr>
      <w:r w:rsidRPr="00440FA8">
        <w:t>A.</w:t>
      </w:r>
      <w:r w:rsidRPr="00440FA8">
        <w:tab/>
        <w:t xml:space="preserve">tā kā Spānijas Augstākā tiesas priekšsēdētājs 2025. gada 31. oktobra vēstulē </w:t>
      </w:r>
      <w:r w:rsidR="00A278F1" w:rsidRPr="00440FA8">
        <w:t xml:space="preserve">iesniedza </w:t>
      </w:r>
      <w:r w:rsidRPr="00440FA8">
        <w:t xml:space="preserve">pieprasījumu atcelt </w:t>
      </w:r>
      <w:proofErr w:type="spellStart"/>
      <w:r w:rsidRPr="00440FA8">
        <w:rPr>
          <w:i/>
          <w:iCs/>
        </w:rPr>
        <w:t>Alvise</w:t>
      </w:r>
      <w:proofErr w:type="spellEnd"/>
      <w:r w:rsidRPr="00440FA8">
        <w:rPr>
          <w:i/>
          <w:iCs/>
        </w:rPr>
        <w:t> </w:t>
      </w:r>
      <w:proofErr w:type="spellStart"/>
      <w:r w:rsidRPr="00440FA8">
        <w:rPr>
          <w:i/>
          <w:iCs/>
        </w:rPr>
        <w:t>Pérez</w:t>
      </w:r>
      <w:proofErr w:type="spellEnd"/>
      <w:r w:rsidRPr="00440FA8">
        <w:t xml:space="preserve">, Spānijā </w:t>
      </w:r>
      <w:bookmarkStart w:id="8" w:name="_Hlk222405545"/>
      <w:r w:rsidRPr="00440FA8">
        <w:t>ievēlētā Eiropas Parlamenta deputāta</w:t>
      </w:r>
      <w:bookmarkEnd w:id="8"/>
      <w:r w:rsidRPr="00440FA8">
        <w:t>, imunitāti saistībā ar vairākiem iespējamiem nodarījumiem, kas izdarīti 2024. gadā;</w:t>
      </w:r>
    </w:p>
    <w:p w14:paraId="28795CBB" w14:textId="28488827" w:rsidR="00B84193" w:rsidRPr="00440FA8" w:rsidRDefault="00B84193" w:rsidP="00B84193">
      <w:pPr>
        <w:pStyle w:val="NormalHanging12a"/>
      </w:pPr>
      <w:r w:rsidRPr="00440FA8">
        <w:t>B.</w:t>
      </w:r>
      <w:r w:rsidRPr="00440FA8">
        <w:tab/>
        <w:t xml:space="preserve">tā kā pieprasījumā ir norādīts, ka laikposmā no 2024. gada 7. aprīļa līdz </w:t>
      </w:r>
      <w:r w:rsidR="00A278F1" w:rsidRPr="00440FA8">
        <w:t xml:space="preserve">2024. gada </w:t>
      </w:r>
      <w:r w:rsidRPr="00440FA8">
        <w:lastRenderedPageBreak/>
        <w:t>2</w:t>
      </w:r>
      <w:r w:rsidR="000805C8">
        <w:t>7</w:t>
      </w:r>
      <w:r w:rsidRPr="00440FA8">
        <w:t xml:space="preserve">. maijam </w:t>
      </w:r>
      <w:proofErr w:type="spellStart"/>
      <w:r w:rsidRPr="00440FA8">
        <w:rPr>
          <w:i/>
          <w:iCs/>
        </w:rPr>
        <w:t>Alvise</w:t>
      </w:r>
      <w:proofErr w:type="spellEnd"/>
      <w:r w:rsidRPr="00440FA8">
        <w:rPr>
          <w:i/>
          <w:iCs/>
        </w:rPr>
        <w:t> </w:t>
      </w:r>
      <w:proofErr w:type="spellStart"/>
      <w:r w:rsidRPr="00440FA8">
        <w:rPr>
          <w:i/>
          <w:iCs/>
        </w:rPr>
        <w:t>Pérez</w:t>
      </w:r>
      <w:proofErr w:type="spellEnd"/>
      <w:r w:rsidRPr="00440FA8">
        <w:t xml:space="preserve"> esot uzturējis saiknes ar konsultantu, kas rīkojas fizisku un juridisku personu vārdā, lai gūtu finansiālas priekšrocības, izmantojot nodokļu optimizācijas shēmas, ar mērķi izveidot “portfeli”, lai vāktu līdzekļus </w:t>
      </w:r>
      <w:proofErr w:type="spellStart"/>
      <w:r w:rsidRPr="00440FA8">
        <w:rPr>
          <w:i/>
          <w:iCs/>
        </w:rPr>
        <w:t>Alvise</w:t>
      </w:r>
      <w:proofErr w:type="spellEnd"/>
      <w:r w:rsidRPr="00440FA8">
        <w:rPr>
          <w:i/>
          <w:iCs/>
        </w:rPr>
        <w:t> </w:t>
      </w:r>
      <w:proofErr w:type="spellStart"/>
      <w:r w:rsidRPr="00440FA8">
        <w:rPr>
          <w:i/>
          <w:iCs/>
        </w:rPr>
        <w:t>Pérez</w:t>
      </w:r>
      <w:proofErr w:type="spellEnd"/>
      <w:r w:rsidRPr="00440FA8">
        <w:t xml:space="preserve"> dibinātās politiskās partijas «</w:t>
      </w:r>
      <w:r w:rsidRPr="00440FA8">
        <w:rPr>
          <w:i/>
          <w:iCs/>
        </w:rPr>
        <w:t xml:space="preserve">Se </w:t>
      </w:r>
      <w:proofErr w:type="spellStart"/>
      <w:r w:rsidRPr="00440FA8">
        <w:rPr>
          <w:i/>
          <w:iCs/>
        </w:rPr>
        <w:t>Acabó</w:t>
      </w:r>
      <w:proofErr w:type="spellEnd"/>
      <w:r w:rsidRPr="00440FA8">
        <w:rPr>
          <w:i/>
          <w:iCs/>
        </w:rPr>
        <w:t xml:space="preserve"> </w:t>
      </w:r>
      <w:proofErr w:type="spellStart"/>
      <w:r w:rsidRPr="00440FA8">
        <w:rPr>
          <w:i/>
          <w:iCs/>
        </w:rPr>
        <w:t>La</w:t>
      </w:r>
      <w:proofErr w:type="spellEnd"/>
      <w:r w:rsidRPr="00440FA8">
        <w:rPr>
          <w:i/>
          <w:iCs/>
        </w:rPr>
        <w:t xml:space="preserve"> </w:t>
      </w:r>
      <w:proofErr w:type="spellStart"/>
      <w:r w:rsidRPr="00440FA8">
        <w:rPr>
          <w:i/>
          <w:iCs/>
        </w:rPr>
        <w:t>Fiesta</w:t>
      </w:r>
      <w:proofErr w:type="spellEnd"/>
      <w:r w:rsidRPr="00440FA8">
        <w:t xml:space="preserve">» vēlēšanu kampaņas finansēšanai; tā kā saskaņā ar pieprasījumu konsultants, kas izveidoja šo portfeli, </w:t>
      </w:r>
      <w:r w:rsidR="00A278F1" w:rsidRPr="00440FA8">
        <w:t xml:space="preserve">esot </w:t>
      </w:r>
      <w:r w:rsidRPr="00440FA8">
        <w:t xml:space="preserve">izmaksājis </w:t>
      </w:r>
      <w:proofErr w:type="spellStart"/>
      <w:r w:rsidRPr="00440FA8">
        <w:rPr>
          <w:i/>
          <w:iCs/>
        </w:rPr>
        <w:t>Alvise</w:t>
      </w:r>
      <w:proofErr w:type="spellEnd"/>
      <w:r w:rsidRPr="00440FA8">
        <w:rPr>
          <w:i/>
          <w:iCs/>
        </w:rPr>
        <w:t> </w:t>
      </w:r>
      <w:proofErr w:type="spellStart"/>
      <w:r w:rsidRPr="00440FA8">
        <w:rPr>
          <w:i/>
          <w:iCs/>
        </w:rPr>
        <w:t>Pérez</w:t>
      </w:r>
      <w:proofErr w:type="spellEnd"/>
      <w:r w:rsidRPr="00440FA8">
        <w:t xml:space="preserve"> avansu 100 000 EUR apmērā minētās politiskās partijas labā, ņemot vērā Eiropas Parlamenta vēlēšanas; tā kā</w:t>
      </w:r>
      <w:r w:rsidR="0002358E" w:rsidRPr="00440FA8">
        <w:t xml:space="preserve"> saskaņā ar</w:t>
      </w:r>
      <w:r w:rsidRPr="00440FA8">
        <w:t xml:space="preserve"> </w:t>
      </w:r>
      <w:r w:rsidR="0002358E" w:rsidRPr="00440FA8">
        <w:t xml:space="preserve">Spānijas Kriminālkodeksa 304.a panta 1. punktu </w:t>
      </w:r>
      <w:r w:rsidRPr="00440FA8">
        <w:t>inkriminētie fakti var būt noziedzīgi nodarījumi, kas saistīti ar politiskās partijas nelikumīgu finansēšanu, un ar vēlēšanām saistīts noziedzīg</w:t>
      </w:r>
      <w:r w:rsidR="0002358E" w:rsidRPr="00440FA8">
        <w:t>i</w:t>
      </w:r>
      <w:r w:rsidRPr="00440FA8">
        <w:t xml:space="preserve"> nodarījum</w:t>
      </w:r>
      <w:r w:rsidR="0002358E" w:rsidRPr="00440FA8">
        <w:t>i</w:t>
      </w:r>
      <w:r w:rsidRPr="00440FA8">
        <w:t xml:space="preserve"> saskaņā ar 149. panta 1. punktu 1985. gada 19. jūnija </w:t>
      </w:r>
      <w:r w:rsidR="0002358E" w:rsidRPr="00440FA8">
        <w:t xml:space="preserve">Spānijas </w:t>
      </w:r>
      <w:proofErr w:type="spellStart"/>
      <w:r w:rsidRPr="00440FA8">
        <w:t>Konstitutīvajā</w:t>
      </w:r>
      <w:proofErr w:type="spellEnd"/>
      <w:r w:rsidRPr="00440FA8">
        <w:t xml:space="preserve"> likumā Nr. 5/1985 par vispārējo vēlēšanu sistēmu Spānijā; tā kā izmeklēšanas procedūra tika sākta ar 2024. gada 20. septembra lēmumu;</w:t>
      </w:r>
    </w:p>
    <w:p w14:paraId="52E7384A" w14:textId="07FF6910" w:rsidR="00B84193" w:rsidRPr="00440FA8" w:rsidRDefault="00B84193" w:rsidP="00B84193">
      <w:pPr>
        <w:pStyle w:val="NormalHanging12a"/>
      </w:pPr>
      <w:r w:rsidRPr="00440FA8">
        <w:t>C.</w:t>
      </w:r>
      <w:r w:rsidRPr="00440FA8">
        <w:tab/>
        <w:t xml:space="preserve">tā kā </w:t>
      </w:r>
      <w:proofErr w:type="spellStart"/>
      <w:r w:rsidRPr="00440FA8">
        <w:rPr>
          <w:i/>
          <w:iCs/>
        </w:rPr>
        <w:t>Alvise</w:t>
      </w:r>
      <w:proofErr w:type="spellEnd"/>
      <w:r w:rsidRPr="00440FA8">
        <w:rPr>
          <w:i/>
          <w:iCs/>
        </w:rPr>
        <w:t> </w:t>
      </w:r>
      <w:proofErr w:type="spellStart"/>
      <w:r w:rsidRPr="00440FA8">
        <w:rPr>
          <w:i/>
          <w:iCs/>
        </w:rPr>
        <w:t>Pérez</w:t>
      </w:r>
      <w:proofErr w:type="spellEnd"/>
      <w:r w:rsidRPr="00440FA8">
        <w:t xml:space="preserve"> 2024. gada jūnija Eiropas vēlēšanās tika ievēlēts Eiropas Parlamentā un</w:t>
      </w:r>
      <w:r w:rsidR="0002358E" w:rsidRPr="00440FA8">
        <w:t xml:space="preserve"> tāpēc iespējamā</w:t>
      </w:r>
      <w:r w:rsidRPr="00440FA8">
        <w:t xml:space="preserve"> noziedzīgā nodarījuma izdarīšanas laikā viņš </w:t>
      </w:r>
      <w:r w:rsidR="0002358E" w:rsidRPr="00440FA8">
        <w:t>ne</w:t>
      </w:r>
      <w:r w:rsidRPr="00440FA8">
        <w:t>bija Eiropas Parlamenta deputāts;</w:t>
      </w:r>
    </w:p>
    <w:p w14:paraId="0B675E3B" w14:textId="77777777" w:rsidR="00B84193" w:rsidRPr="00440FA8" w:rsidRDefault="00B84193" w:rsidP="00B84193">
      <w:pPr>
        <w:pStyle w:val="NormalHanging12a"/>
      </w:pPr>
      <w:r w:rsidRPr="00440FA8">
        <w:t>D.</w:t>
      </w:r>
      <w:r w:rsidRPr="00440FA8">
        <w:tab/>
        <w:t xml:space="preserve">tā kā iespējamie noziedzīgie nodarījumi un no tiem izrietošais pieprasījums atcelt </w:t>
      </w:r>
      <w:proofErr w:type="spellStart"/>
      <w:r w:rsidRPr="00440FA8">
        <w:rPr>
          <w:i/>
          <w:iCs/>
        </w:rPr>
        <w:t>Alvise</w:t>
      </w:r>
      <w:proofErr w:type="spellEnd"/>
      <w:r w:rsidRPr="00440FA8">
        <w:rPr>
          <w:i/>
          <w:iCs/>
        </w:rPr>
        <w:t> </w:t>
      </w:r>
      <w:proofErr w:type="spellStart"/>
      <w:r w:rsidRPr="00440FA8">
        <w:rPr>
          <w:i/>
          <w:iCs/>
        </w:rPr>
        <w:t>Pérez</w:t>
      </w:r>
      <w:proofErr w:type="spellEnd"/>
      <w:r w:rsidRPr="00440FA8">
        <w:t xml:space="preserve"> imunitāti nav saistīti ar </w:t>
      </w:r>
      <w:proofErr w:type="spellStart"/>
      <w:r w:rsidRPr="00440FA8">
        <w:rPr>
          <w:i/>
          <w:iCs/>
        </w:rPr>
        <w:t>Alvise</w:t>
      </w:r>
      <w:proofErr w:type="spellEnd"/>
      <w:r w:rsidRPr="00440FA8">
        <w:rPr>
          <w:i/>
          <w:iCs/>
        </w:rPr>
        <w:t> </w:t>
      </w:r>
      <w:proofErr w:type="spellStart"/>
      <w:r w:rsidRPr="00440FA8">
        <w:rPr>
          <w:i/>
          <w:iCs/>
        </w:rPr>
        <w:t>Pérez</w:t>
      </w:r>
      <w:proofErr w:type="spellEnd"/>
      <w:r w:rsidRPr="00440FA8">
        <w:t xml:space="preserve"> pausto viedokli vai veikto balsojumu, pildot savus pienākumus Protokola Nr. 7 par privilēģijām un imunitāti Eiropas Savienībā 8. panta nozīmē;</w:t>
      </w:r>
    </w:p>
    <w:p w14:paraId="1796ADC4" w14:textId="77777777" w:rsidR="00B84193" w:rsidRPr="00440FA8" w:rsidRDefault="00B84193" w:rsidP="00B84193">
      <w:pPr>
        <w:pStyle w:val="NormalHanging12a"/>
      </w:pPr>
      <w:r w:rsidRPr="00440FA8">
        <w:t>E.</w:t>
      </w:r>
      <w:r w:rsidRPr="00440FA8">
        <w:tab/>
        <w:t>tā kā saskaņā ar Protokola Nr. 7 par privilēģijām un imunitāti Eiropas Savienībā 9. panta pirmās daļas a) punktu Eiropas Parlamenta locekļiem savā valstī ir imunitāte, ko piešķir attiecīgās valsts parlamenta locekļiem;</w:t>
      </w:r>
    </w:p>
    <w:p w14:paraId="0A94F1C0" w14:textId="77777777" w:rsidR="00B84193" w:rsidRPr="00440FA8" w:rsidRDefault="00B84193" w:rsidP="00B84193">
      <w:pPr>
        <w:pStyle w:val="NormalHanging12a"/>
      </w:pPr>
      <w:r w:rsidRPr="00440FA8">
        <w:t>F.</w:t>
      </w:r>
      <w:r w:rsidRPr="00440FA8">
        <w:tab/>
        <w:t>tā kā Spānijas Konstitūcijas 71. panta 1. un 2. punkts paredz, ka:</w:t>
      </w:r>
    </w:p>
    <w:p w14:paraId="0F0B1969" w14:textId="77777777" w:rsidR="00B84193" w:rsidRPr="00440FA8" w:rsidRDefault="00B84193" w:rsidP="00440FA8">
      <w:pPr>
        <w:pStyle w:val="NormalHanging12a"/>
        <w:ind w:left="1440" w:hanging="873"/>
        <w:rPr>
          <w:i/>
        </w:rPr>
      </w:pPr>
      <w:r w:rsidRPr="00440FA8">
        <w:rPr>
          <w:i/>
        </w:rPr>
        <w:t xml:space="preserve">“1. </w:t>
      </w:r>
      <w:r w:rsidRPr="00440FA8">
        <w:rPr>
          <w:i/>
        </w:rPr>
        <w:tab/>
        <w:t>Deputātiem un senatoriem ir neaizskaramība attiecībā uz viņu amata pienākumu pildīšanas gaitā pausto viedokli.</w:t>
      </w:r>
    </w:p>
    <w:p w14:paraId="37DA8FA3" w14:textId="77777777" w:rsidR="00B84193" w:rsidRPr="00440FA8" w:rsidRDefault="00B84193" w:rsidP="00440FA8">
      <w:pPr>
        <w:pStyle w:val="NormalHanging12a"/>
        <w:ind w:left="1440" w:hanging="873"/>
      </w:pPr>
      <w:r w:rsidRPr="00440FA8">
        <w:rPr>
          <w:i/>
        </w:rPr>
        <w:t xml:space="preserve">2. </w:t>
      </w:r>
      <w:r w:rsidRPr="00440FA8">
        <w:rPr>
          <w:i/>
        </w:rPr>
        <w:tab/>
        <w:t>Deputātiem un senatoriem viņu pilnvaru pildīšanas laikā arī ir imunitāte, un viņus var apcietināt tikai noziedzīga nodarījuma izdarīšanas brīdī. Attiecībā uz viņiem nevar veikt izmeklēšanu, ne arī uzsākt kriminālvajāšanu bez iepriekšējas attiecīgās parlamenta palātas atļaujas”;</w:t>
      </w:r>
    </w:p>
    <w:p w14:paraId="56C5266C" w14:textId="77777777" w:rsidR="00B84193" w:rsidRPr="00440FA8" w:rsidRDefault="00B84193" w:rsidP="00B84193">
      <w:pPr>
        <w:pStyle w:val="NormalHanging12a"/>
      </w:pPr>
      <w:r w:rsidRPr="00440FA8">
        <w:t>G.</w:t>
      </w:r>
      <w:r w:rsidRPr="00440FA8">
        <w:tab/>
        <w:t xml:space="preserve">tā kā </w:t>
      </w:r>
      <w:bookmarkStart w:id="9" w:name="_Hlk222405989"/>
      <w:r w:rsidRPr="00440FA8">
        <w:t>Protokolā Nr. 7 par privilēģijām un imunitāti Eiropas Savienībā paredzētās</w:t>
      </w:r>
      <w:bookmarkEnd w:id="9"/>
      <w:r w:rsidRPr="00440FA8">
        <w:t xml:space="preserve"> imunitātes mērķis ir aizsargāt Parlamentu un tā deputātus pret tiesvedību saistībā ar darbībām, kas tiek veiktas, pildot parlamentāros pienākumus, un ko nevar nošķirt no šādām darbībām;</w:t>
      </w:r>
    </w:p>
    <w:p w14:paraId="645FDEA4" w14:textId="77777777" w:rsidR="00B84193" w:rsidRPr="00440FA8" w:rsidRDefault="00B84193" w:rsidP="00B84193">
      <w:pPr>
        <w:pStyle w:val="NormalHanging12a"/>
      </w:pPr>
      <w:r w:rsidRPr="00440FA8">
        <w:t>H.</w:t>
      </w:r>
      <w:r w:rsidRPr="00440FA8">
        <w:tab/>
        <w:t>tā kā saskaņā ar Parlamenta Reglamenta 5. panta 2. punktu deputāta imunitāte nav deputāta personiska privilēģija, bet gan visa Parlamenta un tā deputātu neatkarības garantija;</w:t>
      </w:r>
    </w:p>
    <w:p w14:paraId="4CED1883" w14:textId="145038CA" w:rsidR="00B84193" w:rsidRPr="00440FA8" w:rsidRDefault="00B84193" w:rsidP="00B84193">
      <w:pPr>
        <w:pStyle w:val="NormalHanging12a"/>
      </w:pPr>
      <w:r w:rsidRPr="00440FA8">
        <w:t>I.</w:t>
      </w:r>
      <w:r w:rsidRPr="00440FA8">
        <w:tab/>
        <w:t xml:space="preserve">tā kā šajā lietā Parlaments nav guvis pierādījumus par </w:t>
      </w:r>
      <w:proofErr w:type="spellStart"/>
      <w:r w:rsidRPr="00440FA8">
        <w:rPr>
          <w:i/>
        </w:rPr>
        <w:t>fumus</w:t>
      </w:r>
      <w:proofErr w:type="spellEnd"/>
      <w:r w:rsidRPr="00440FA8">
        <w:rPr>
          <w:i/>
        </w:rPr>
        <w:t xml:space="preserve"> </w:t>
      </w:r>
      <w:proofErr w:type="spellStart"/>
      <w:r w:rsidRPr="00440FA8">
        <w:rPr>
          <w:i/>
        </w:rPr>
        <w:t>persecutionis</w:t>
      </w:r>
      <w:proofErr w:type="spellEnd"/>
      <w:r w:rsidRPr="00440FA8">
        <w:t xml:space="preserve">, </w:t>
      </w:r>
      <w:r w:rsidR="00E51AC5" w:rsidRPr="00440FA8">
        <w:t>proti, nešķiet</w:t>
      </w:r>
      <w:r w:rsidRPr="00440FA8">
        <w:t>, ka attiecīgā</w:t>
      </w:r>
      <w:r w:rsidR="00E51AC5" w:rsidRPr="00440FA8">
        <w:t>s tiesvedības</w:t>
      </w:r>
      <w:r w:rsidRPr="00440FA8">
        <w:t xml:space="preserve"> ierosināšanas īstenais mērķis varētu būt nodoms kaitēt </w:t>
      </w:r>
      <w:proofErr w:type="spellStart"/>
      <w:r w:rsidRPr="00440FA8">
        <w:rPr>
          <w:i/>
          <w:iCs/>
        </w:rPr>
        <w:t>Alvise</w:t>
      </w:r>
      <w:proofErr w:type="spellEnd"/>
      <w:r w:rsidRPr="00440FA8">
        <w:rPr>
          <w:i/>
          <w:iCs/>
        </w:rPr>
        <w:t> </w:t>
      </w:r>
      <w:proofErr w:type="spellStart"/>
      <w:r w:rsidRPr="00440FA8">
        <w:rPr>
          <w:i/>
          <w:iCs/>
        </w:rPr>
        <w:t>Pérez</w:t>
      </w:r>
      <w:proofErr w:type="spellEnd"/>
      <w:r w:rsidRPr="00440FA8">
        <w:t xml:space="preserve"> politiskajai darbībai, viņam darbojoties kā Eiropas Parlamenta deputātam</w:t>
      </w:r>
      <w:r w:rsidR="00E51AC5" w:rsidRPr="00440FA8">
        <w:t>, un tādējādi Parlamenta neatkarībai;</w:t>
      </w:r>
    </w:p>
    <w:p w14:paraId="3ED238C0" w14:textId="77777777" w:rsidR="00B84193" w:rsidRPr="00440FA8" w:rsidRDefault="00B84193" w:rsidP="00B84193">
      <w:pPr>
        <w:pStyle w:val="NormalHanging12a"/>
      </w:pPr>
      <w:r w:rsidRPr="00440FA8">
        <w:t>J.</w:t>
      </w:r>
      <w:r w:rsidRPr="00440FA8">
        <w:tab/>
        <w:t xml:space="preserve">tā kā, no vienas puses, Parlaments nevar tikt pielīdzināts tiesai un, no otras puses, </w:t>
      </w:r>
      <w:r w:rsidRPr="00440FA8">
        <w:lastRenderedPageBreak/>
        <w:t>deputāts imunitātes atcelšanas procedūras kontekstā nevar tikt uzskatīts par apsūdzēto</w:t>
      </w:r>
      <w:r w:rsidRPr="00440FA8">
        <w:rPr>
          <w:vertAlign w:val="superscript"/>
        </w:rPr>
        <w:footnoteReference w:id="2"/>
      </w:r>
      <w:r w:rsidRPr="00440FA8">
        <w:t>,</w:t>
      </w:r>
    </w:p>
    <w:p w14:paraId="21D7EB74" w14:textId="77777777" w:rsidR="00B84193" w:rsidRPr="00440FA8" w:rsidRDefault="00B84193" w:rsidP="00B84193">
      <w:pPr>
        <w:pStyle w:val="NormalHanging12a"/>
      </w:pPr>
      <w:r w:rsidRPr="00440FA8">
        <w:t>1.</w:t>
      </w:r>
      <w:r w:rsidRPr="00440FA8">
        <w:tab/>
        <w:t xml:space="preserve">nolemj atcelt </w:t>
      </w:r>
      <w:proofErr w:type="spellStart"/>
      <w:r w:rsidRPr="00440FA8">
        <w:rPr>
          <w:i/>
          <w:iCs/>
        </w:rPr>
        <w:t>Alvise</w:t>
      </w:r>
      <w:proofErr w:type="spellEnd"/>
      <w:r w:rsidRPr="00440FA8">
        <w:rPr>
          <w:i/>
          <w:iCs/>
        </w:rPr>
        <w:t> </w:t>
      </w:r>
      <w:proofErr w:type="spellStart"/>
      <w:r w:rsidRPr="00440FA8">
        <w:rPr>
          <w:i/>
          <w:iCs/>
        </w:rPr>
        <w:t>Pérez</w:t>
      </w:r>
      <w:proofErr w:type="spellEnd"/>
      <w:r w:rsidRPr="00440FA8">
        <w:t xml:space="preserve"> imunitāti;</w:t>
      </w:r>
    </w:p>
    <w:p w14:paraId="17AF4C60" w14:textId="506C2865" w:rsidR="00E365E1" w:rsidRPr="00440FA8" w:rsidRDefault="00B84193" w:rsidP="00440FA8">
      <w:pPr>
        <w:pStyle w:val="NormalHanging12a"/>
      </w:pPr>
      <w:r w:rsidRPr="00440FA8">
        <w:t>2.</w:t>
      </w:r>
      <w:r w:rsidRPr="00440FA8">
        <w:tab/>
        <w:t>uzdod priekšsēdētājai šo lēmumu un atbildīgās komitejas ziņojumu nekavējoties nosūtīt Spānijas Karalistes kompetentaj</w:t>
      </w:r>
      <w:r w:rsidR="00E51AC5" w:rsidRPr="00440FA8">
        <w:t>ai</w:t>
      </w:r>
      <w:r w:rsidRPr="00440FA8">
        <w:t xml:space="preserve"> iestād</w:t>
      </w:r>
      <w:r w:rsidR="00E51AC5" w:rsidRPr="00440FA8">
        <w:t>ei</w:t>
      </w:r>
      <w:r w:rsidRPr="00440FA8">
        <w:t xml:space="preserve"> un </w:t>
      </w:r>
      <w:proofErr w:type="spellStart"/>
      <w:r w:rsidRPr="00440FA8">
        <w:rPr>
          <w:i/>
          <w:iCs/>
        </w:rPr>
        <w:t>Alvise</w:t>
      </w:r>
      <w:proofErr w:type="spellEnd"/>
      <w:r w:rsidRPr="00440FA8">
        <w:rPr>
          <w:i/>
          <w:iCs/>
        </w:rPr>
        <w:t> </w:t>
      </w:r>
      <w:proofErr w:type="spellStart"/>
      <w:r w:rsidRPr="00440FA8">
        <w:rPr>
          <w:i/>
          <w:iCs/>
        </w:rPr>
        <w:t>Pérez</w:t>
      </w:r>
      <w:proofErr w:type="spellEnd"/>
      <w:r w:rsidRPr="00440FA8">
        <w:t xml:space="preserve">. </w:t>
      </w:r>
    </w:p>
    <w:sectPr w:rsidR="00E365E1" w:rsidRPr="00440FA8" w:rsidSect="00637A1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BAE60" w14:textId="77777777" w:rsidR="003E26E6" w:rsidRPr="00637A18" w:rsidRDefault="003E26E6">
      <w:r w:rsidRPr="00637A18">
        <w:separator/>
      </w:r>
    </w:p>
  </w:endnote>
  <w:endnote w:type="continuationSeparator" w:id="0">
    <w:p w14:paraId="338D775B" w14:textId="77777777" w:rsidR="003E26E6" w:rsidRPr="00637A18" w:rsidRDefault="003E26E6">
      <w:r w:rsidRPr="00637A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A626F" w14:textId="77777777" w:rsidR="00064002" w:rsidRPr="00637A1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9309A" w14:textId="77777777" w:rsidR="00064002" w:rsidRPr="00637A1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FDBB7" w14:textId="77777777" w:rsidR="00064002" w:rsidRPr="00637A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CC1B0" w14:textId="77777777" w:rsidR="003E26E6" w:rsidRPr="00637A18" w:rsidRDefault="003E26E6">
      <w:r w:rsidRPr="00637A18">
        <w:separator/>
      </w:r>
    </w:p>
  </w:footnote>
  <w:footnote w:type="continuationSeparator" w:id="0">
    <w:p w14:paraId="7A2CD992" w14:textId="77777777" w:rsidR="003E26E6" w:rsidRPr="00637A18" w:rsidRDefault="003E26E6">
      <w:r w:rsidRPr="00637A18">
        <w:continuationSeparator/>
      </w:r>
    </w:p>
  </w:footnote>
  <w:footnote w:id="1">
    <w:p w14:paraId="3E4A6B25" w14:textId="734EFBEF" w:rsidR="00B84193" w:rsidRPr="00637A18" w:rsidRDefault="00B84193" w:rsidP="00637A18">
      <w:pPr>
        <w:pStyle w:val="FootnoteText"/>
        <w:ind w:left="567" w:hanging="567"/>
        <w:rPr>
          <w:sz w:val="24"/>
          <w:lang w:val="lv-LV"/>
        </w:rPr>
      </w:pPr>
      <w:r w:rsidRPr="00637A18">
        <w:rPr>
          <w:rStyle w:val="FootnoteReference"/>
          <w:sz w:val="24"/>
          <w:lang w:val="lv-LV"/>
        </w:rPr>
        <w:footnoteRef/>
      </w:r>
      <w:r w:rsidR="00637A18" w:rsidRPr="00637A18">
        <w:rPr>
          <w:sz w:val="24"/>
          <w:lang w:val="lv-LV"/>
        </w:rPr>
        <w:t xml:space="preserve"> </w:t>
      </w:r>
      <w:r w:rsidR="00637A18" w:rsidRPr="00637A18">
        <w:rPr>
          <w:sz w:val="24"/>
          <w:lang w:val="lv-LV"/>
        </w:rPr>
        <w:tab/>
      </w:r>
      <w:r w:rsidRPr="00637A18">
        <w:rPr>
          <w:sz w:val="24"/>
          <w:lang w:val="lv-LV"/>
        </w:rPr>
        <w:t xml:space="preserve">Tiesas 2008. gada 21. oktobra spriedumi, </w:t>
      </w:r>
      <w:proofErr w:type="spellStart"/>
      <w:r w:rsidRPr="00637A18">
        <w:rPr>
          <w:i/>
          <w:iCs/>
          <w:sz w:val="24"/>
          <w:lang w:val="lv-LV"/>
        </w:rPr>
        <w:t>Marra</w:t>
      </w:r>
      <w:proofErr w:type="spellEnd"/>
      <w:r w:rsidRPr="00637A18">
        <w:rPr>
          <w:i/>
          <w:iCs/>
          <w:sz w:val="24"/>
          <w:lang w:val="lv-LV"/>
        </w:rPr>
        <w:t>/</w:t>
      </w:r>
      <w:proofErr w:type="spellStart"/>
      <w:r w:rsidRPr="00637A18">
        <w:rPr>
          <w:i/>
          <w:iCs/>
          <w:sz w:val="24"/>
          <w:lang w:val="lv-LV"/>
        </w:rPr>
        <w:t>De</w:t>
      </w:r>
      <w:proofErr w:type="spellEnd"/>
      <w:r w:rsidRPr="00637A18">
        <w:rPr>
          <w:i/>
          <w:iCs/>
          <w:sz w:val="24"/>
          <w:lang w:val="lv-LV"/>
        </w:rPr>
        <w:t xml:space="preserve"> Gregorio</w:t>
      </w:r>
      <w:r w:rsidRPr="00637A18">
        <w:rPr>
          <w:sz w:val="24"/>
          <w:lang w:val="lv-LV"/>
        </w:rPr>
        <w:t xml:space="preserve"> un </w:t>
      </w:r>
      <w:proofErr w:type="spellStart"/>
      <w:r w:rsidRPr="00637A18">
        <w:rPr>
          <w:i/>
          <w:iCs/>
          <w:sz w:val="24"/>
          <w:lang w:val="lv-LV"/>
        </w:rPr>
        <w:t>Clemente</w:t>
      </w:r>
      <w:proofErr w:type="spellEnd"/>
      <w:r w:rsidRPr="00637A18">
        <w:rPr>
          <w:sz w:val="24"/>
          <w:lang w:val="lv-LV"/>
        </w:rPr>
        <w:t xml:space="preserve">, C-200/07 un C–201/07, ECLI:EU:C:2008:579; Tiesas 2010. gada 19. marta spriedums, </w:t>
      </w:r>
      <w:proofErr w:type="spellStart"/>
      <w:r w:rsidRPr="00637A18">
        <w:rPr>
          <w:i/>
          <w:iCs/>
          <w:sz w:val="24"/>
          <w:lang w:val="lv-LV"/>
        </w:rPr>
        <w:t>Gollnisch</w:t>
      </w:r>
      <w:proofErr w:type="spellEnd"/>
      <w:r w:rsidRPr="00637A18">
        <w:rPr>
          <w:sz w:val="24"/>
          <w:lang w:val="lv-LV"/>
        </w:rPr>
        <w:t xml:space="preserve">/Parlaments, T-42/06, ECLI:EU:T:2010:102; Tiesas 2011. gada 6. septembra spriedums, </w:t>
      </w:r>
      <w:proofErr w:type="spellStart"/>
      <w:r w:rsidRPr="00637A18">
        <w:rPr>
          <w:i/>
          <w:iCs/>
          <w:sz w:val="24"/>
          <w:lang w:val="lv-LV"/>
        </w:rPr>
        <w:t>Patriciello</w:t>
      </w:r>
      <w:proofErr w:type="spellEnd"/>
      <w:r w:rsidRPr="00637A18">
        <w:rPr>
          <w:sz w:val="24"/>
          <w:lang w:val="lv-LV"/>
        </w:rPr>
        <w:t xml:space="preserve">, C-163/10, ECLI: EU:C:2011:543; Tiesas 2013. gada 17. janvāra spriedumi, </w:t>
      </w:r>
      <w:proofErr w:type="spellStart"/>
      <w:r w:rsidRPr="00637A18">
        <w:rPr>
          <w:i/>
          <w:iCs/>
          <w:sz w:val="24"/>
          <w:lang w:val="lv-LV"/>
        </w:rPr>
        <w:t>Gollnisch</w:t>
      </w:r>
      <w:proofErr w:type="spellEnd"/>
      <w:r w:rsidRPr="00637A18">
        <w:rPr>
          <w:sz w:val="24"/>
          <w:lang w:val="lv-LV"/>
        </w:rPr>
        <w:t>/Parlaments, T-346/11 un T-347/11, ECLI:EU:T:2013:23; Tiesas 2019. gada 19. decembra spriedums,</w:t>
      </w:r>
      <w:r w:rsidRPr="00637A18">
        <w:rPr>
          <w:i/>
          <w:iCs/>
          <w:sz w:val="24"/>
          <w:lang w:val="lv-LV"/>
        </w:rPr>
        <w:t xml:space="preserve"> </w:t>
      </w:r>
      <w:proofErr w:type="spellStart"/>
      <w:r w:rsidRPr="00637A18">
        <w:rPr>
          <w:i/>
          <w:iCs/>
          <w:sz w:val="24"/>
          <w:lang w:val="lv-LV"/>
        </w:rPr>
        <w:t>Junqueras</w:t>
      </w:r>
      <w:proofErr w:type="spellEnd"/>
      <w:r w:rsidRPr="00637A18">
        <w:rPr>
          <w:i/>
          <w:iCs/>
          <w:sz w:val="24"/>
          <w:lang w:val="lv-LV"/>
        </w:rPr>
        <w:t xml:space="preserve"> Vies</w:t>
      </w:r>
      <w:r w:rsidRPr="00637A18">
        <w:rPr>
          <w:sz w:val="24"/>
          <w:lang w:val="lv-LV"/>
        </w:rPr>
        <w:t>, C-502/19, ECLI:EU:C:2019:1115.</w:t>
      </w:r>
    </w:p>
  </w:footnote>
  <w:footnote w:id="2">
    <w:p w14:paraId="47FD48C7" w14:textId="5863FB64" w:rsidR="00B84193" w:rsidRPr="00637A18" w:rsidRDefault="00B84193" w:rsidP="00637A18">
      <w:pPr>
        <w:pStyle w:val="FootnoteText"/>
        <w:ind w:left="567" w:hanging="567"/>
        <w:rPr>
          <w:sz w:val="24"/>
          <w:lang w:val="lv-LV"/>
        </w:rPr>
      </w:pPr>
      <w:r w:rsidRPr="00637A18">
        <w:rPr>
          <w:rStyle w:val="FootnoteReference"/>
          <w:sz w:val="24"/>
          <w:lang w:val="lv-LV"/>
        </w:rPr>
        <w:footnoteRef/>
      </w:r>
      <w:r w:rsidR="00637A18" w:rsidRPr="00637A18">
        <w:rPr>
          <w:sz w:val="24"/>
          <w:lang w:val="lv-LV"/>
        </w:rPr>
        <w:t xml:space="preserve"> </w:t>
      </w:r>
      <w:r w:rsidR="00637A18" w:rsidRPr="00637A18">
        <w:rPr>
          <w:sz w:val="24"/>
          <w:lang w:val="lv-LV"/>
        </w:rPr>
        <w:tab/>
      </w:r>
      <w:r w:rsidRPr="00637A18">
        <w:rPr>
          <w:sz w:val="24"/>
          <w:lang w:val="lv-LV"/>
        </w:rPr>
        <w:t xml:space="preserve">Vispārējās tiesas 2019. gada 30. aprīļa spriedums, </w:t>
      </w:r>
      <w:proofErr w:type="spellStart"/>
      <w:r w:rsidRPr="00637A18">
        <w:rPr>
          <w:i/>
          <w:iCs/>
          <w:sz w:val="24"/>
          <w:lang w:val="lv-LV"/>
        </w:rPr>
        <w:t>Briois</w:t>
      </w:r>
      <w:proofErr w:type="spellEnd"/>
      <w:r w:rsidRPr="00637A18">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172B" w14:textId="77777777" w:rsidR="00064002" w:rsidRPr="00637A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2792" w14:textId="77777777" w:rsidR="00064002" w:rsidRPr="00637A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17645" w14:textId="77777777" w:rsidR="00064002" w:rsidRPr="00637A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0556825">
    <w:abstractNumId w:val="9"/>
  </w:num>
  <w:num w:numId="2" w16cid:durableId="1105658008">
    <w:abstractNumId w:val="9"/>
  </w:num>
  <w:num w:numId="3" w16cid:durableId="333147338">
    <w:abstractNumId w:val="7"/>
  </w:num>
  <w:num w:numId="4" w16cid:durableId="492649438">
    <w:abstractNumId w:val="7"/>
  </w:num>
  <w:num w:numId="5" w16cid:durableId="1817795582">
    <w:abstractNumId w:val="6"/>
  </w:num>
  <w:num w:numId="6" w16cid:durableId="1776094154">
    <w:abstractNumId w:val="6"/>
  </w:num>
  <w:num w:numId="7" w16cid:durableId="1920019478">
    <w:abstractNumId w:val="5"/>
  </w:num>
  <w:num w:numId="8" w16cid:durableId="420219584">
    <w:abstractNumId w:val="5"/>
  </w:num>
  <w:num w:numId="9" w16cid:durableId="1183974651">
    <w:abstractNumId w:val="4"/>
  </w:num>
  <w:num w:numId="10" w16cid:durableId="1496414642">
    <w:abstractNumId w:val="4"/>
  </w:num>
  <w:num w:numId="11" w16cid:durableId="633798907">
    <w:abstractNumId w:val="8"/>
  </w:num>
  <w:num w:numId="12" w16cid:durableId="1633705083">
    <w:abstractNumId w:val="8"/>
  </w:num>
  <w:num w:numId="13" w16cid:durableId="1325930936">
    <w:abstractNumId w:val="3"/>
  </w:num>
  <w:num w:numId="14" w16cid:durableId="1245266133">
    <w:abstractNumId w:val="3"/>
  </w:num>
  <w:num w:numId="15" w16cid:durableId="1375276182">
    <w:abstractNumId w:val="2"/>
  </w:num>
  <w:num w:numId="16" w16cid:durableId="171143386">
    <w:abstractNumId w:val="2"/>
  </w:num>
  <w:num w:numId="17" w16cid:durableId="1396509652">
    <w:abstractNumId w:val="1"/>
  </w:num>
  <w:num w:numId="18" w16cid:durableId="1025904726">
    <w:abstractNumId w:val="1"/>
  </w:num>
  <w:num w:numId="19" w16cid:durableId="40063118">
    <w:abstractNumId w:val="0"/>
  </w:num>
  <w:num w:numId="20" w16cid:durableId="507523231">
    <w:abstractNumId w:val="0"/>
  </w:num>
  <w:num w:numId="21" w16cid:durableId="656491492">
    <w:abstractNumId w:val="9"/>
  </w:num>
  <w:num w:numId="22" w16cid:durableId="1669482268">
    <w:abstractNumId w:val="7"/>
  </w:num>
  <w:num w:numId="23" w16cid:durableId="840244359">
    <w:abstractNumId w:val="6"/>
  </w:num>
  <w:num w:numId="24" w16cid:durableId="1898277897">
    <w:abstractNumId w:val="5"/>
  </w:num>
  <w:num w:numId="25" w16cid:durableId="691032310">
    <w:abstractNumId w:val="4"/>
  </w:num>
  <w:num w:numId="26" w16cid:durableId="994988537">
    <w:abstractNumId w:val="8"/>
  </w:num>
  <w:num w:numId="27" w16cid:durableId="319967984">
    <w:abstractNumId w:val="3"/>
  </w:num>
  <w:num w:numId="28" w16cid:durableId="41489061">
    <w:abstractNumId w:val="2"/>
  </w:num>
  <w:num w:numId="29" w16cid:durableId="1248269413">
    <w:abstractNumId w:val="1"/>
  </w:num>
  <w:num w:numId="30" w16cid:durableId="1575628387">
    <w:abstractNumId w:val="0"/>
  </w:num>
  <w:num w:numId="31" w16cid:durableId="2060593084">
    <w:abstractNumId w:val="9"/>
  </w:num>
  <w:num w:numId="32" w16cid:durableId="267785052">
    <w:abstractNumId w:val="7"/>
  </w:num>
  <w:num w:numId="33" w16cid:durableId="1708605888">
    <w:abstractNumId w:val="6"/>
  </w:num>
  <w:num w:numId="34" w16cid:durableId="1568951498">
    <w:abstractNumId w:val="5"/>
  </w:num>
  <w:num w:numId="35" w16cid:durableId="1867056632">
    <w:abstractNumId w:val="4"/>
  </w:num>
  <w:num w:numId="36" w16cid:durableId="717628779">
    <w:abstractNumId w:val="8"/>
  </w:num>
  <w:num w:numId="37" w16cid:durableId="1882550716">
    <w:abstractNumId w:val="3"/>
  </w:num>
  <w:num w:numId="38" w16cid:durableId="130680236">
    <w:abstractNumId w:val="2"/>
  </w:num>
  <w:num w:numId="39" w16cid:durableId="913321370">
    <w:abstractNumId w:val="1"/>
  </w:num>
  <w:num w:numId="40" w16cid:durableId="1676810233">
    <w:abstractNumId w:val="0"/>
  </w:num>
  <w:num w:numId="41" w16cid:durableId="842428443">
    <w:abstractNumId w:val="10"/>
  </w:num>
  <w:num w:numId="42" w16cid:durableId="989136324">
    <w:abstractNumId w:val="10"/>
  </w:num>
  <w:num w:numId="43" w16cid:durableId="653070468">
    <w:abstractNumId w:val="10"/>
  </w:num>
  <w:num w:numId="44" w16cid:durableId="9869800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6"/>
    <w:docVar w:name="dvlangue" w:val="LV"/>
    <w:docVar w:name="dvnumam" w:val="0"/>
    <w:docVar w:name="dvpe" w:val="785.310"/>
    <w:docVar w:name="dvrapporteur" w:val="Referente: "/>
    <w:docVar w:name="dvtitre" w:val="Eiropas Parlamenta 2026. gada XX. XXX lēmums par pieprasījumu atcelt Alvise Pérez imunitāti(2025/2236(IMM))"/>
  </w:docVars>
  <w:rsids>
    <w:rsidRoot w:val="003E26E6"/>
    <w:rsid w:val="00002272"/>
    <w:rsid w:val="0002358E"/>
    <w:rsid w:val="00064002"/>
    <w:rsid w:val="000677B9"/>
    <w:rsid w:val="000805C8"/>
    <w:rsid w:val="000831BA"/>
    <w:rsid w:val="000A42CC"/>
    <w:rsid w:val="000D24A1"/>
    <w:rsid w:val="000E7DD9"/>
    <w:rsid w:val="0010095E"/>
    <w:rsid w:val="00121DE9"/>
    <w:rsid w:val="00125B37"/>
    <w:rsid w:val="00187494"/>
    <w:rsid w:val="001F32AE"/>
    <w:rsid w:val="002767FF"/>
    <w:rsid w:val="002B18FE"/>
    <w:rsid w:val="002B5493"/>
    <w:rsid w:val="00343214"/>
    <w:rsid w:val="00361C00"/>
    <w:rsid w:val="00395FA1"/>
    <w:rsid w:val="003E15D4"/>
    <w:rsid w:val="003E26E6"/>
    <w:rsid w:val="00411CCE"/>
    <w:rsid w:val="0041666E"/>
    <w:rsid w:val="00421060"/>
    <w:rsid w:val="00440FA8"/>
    <w:rsid w:val="00471C19"/>
    <w:rsid w:val="004867E3"/>
    <w:rsid w:val="00494A28"/>
    <w:rsid w:val="004C0004"/>
    <w:rsid w:val="004C5D52"/>
    <w:rsid w:val="0050519A"/>
    <w:rsid w:val="005072A1"/>
    <w:rsid w:val="00514517"/>
    <w:rsid w:val="005275CB"/>
    <w:rsid w:val="00545827"/>
    <w:rsid w:val="00560270"/>
    <w:rsid w:val="005C2568"/>
    <w:rsid w:val="005C4734"/>
    <w:rsid w:val="005F1B17"/>
    <w:rsid w:val="006037C0"/>
    <w:rsid w:val="00637A18"/>
    <w:rsid w:val="006631B6"/>
    <w:rsid w:val="00680577"/>
    <w:rsid w:val="006F74FA"/>
    <w:rsid w:val="00731ADD"/>
    <w:rsid w:val="00734777"/>
    <w:rsid w:val="00741BDB"/>
    <w:rsid w:val="00747932"/>
    <w:rsid w:val="00751A4A"/>
    <w:rsid w:val="00756632"/>
    <w:rsid w:val="00762C74"/>
    <w:rsid w:val="00786EC0"/>
    <w:rsid w:val="007D1690"/>
    <w:rsid w:val="007E22AD"/>
    <w:rsid w:val="00817416"/>
    <w:rsid w:val="00842779"/>
    <w:rsid w:val="00865F67"/>
    <w:rsid w:val="00873DFB"/>
    <w:rsid w:val="00881A7B"/>
    <w:rsid w:val="008840E5"/>
    <w:rsid w:val="00887B3E"/>
    <w:rsid w:val="008C2AC6"/>
    <w:rsid w:val="00930C23"/>
    <w:rsid w:val="0093193B"/>
    <w:rsid w:val="009509D8"/>
    <w:rsid w:val="00950B64"/>
    <w:rsid w:val="00981893"/>
    <w:rsid w:val="00A1687D"/>
    <w:rsid w:val="00A278F1"/>
    <w:rsid w:val="00A43E52"/>
    <w:rsid w:val="00A4678D"/>
    <w:rsid w:val="00A778C7"/>
    <w:rsid w:val="00AB441E"/>
    <w:rsid w:val="00AB6293"/>
    <w:rsid w:val="00AE0928"/>
    <w:rsid w:val="00AF3B82"/>
    <w:rsid w:val="00B12E95"/>
    <w:rsid w:val="00B22876"/>
    <w:rsid w:val="00B558F0"/>
    <w:rsid w:val="00B8419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1AC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F66067"/>
  <w15:chartTrackingRefBased/>
  <w15:docId w15:val="{07D818AB-3542-44C8-B07D-1967F22FF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84193"/>
    <w:rPr>
      <w:b/>
    </w:rPr>
  </w:style>
  <w:style w:type="paragraph" w:customStyle="1" w:styleId="NormalHanging12a">
    <w:name w:val="NormalHanging12a"/>
    <w:basedOn w:val="Normal"/>
    <w:rsid w:val="00B84193"/>
    <w:pPr>
      <w:spacing w:after="240"/>
      <w:ind w:left="567" w:hanging="567"/>
    </w:pPr>
  </w:style>
  <w:style w:type="paragraph" w:customStyle="1" w:styleId="EPComma">
    <w:name w:val="EPComma"/>
    <w:basedOn w:val="Normal"/>
    <w:rsid w:val="00B84193"/>
    <w:pPr>
      <w:spacing w:before="480" w:after="240"/>
    </w:pPr>
  </w:style>
  <w:style w:type="paragraph" w:styleId="Revision">
    <w:name w:val="Revision"/>
    <w:hidden/>
    <w:uiPriority w:val="99"/>
    <w:semiHidden/>
    <w:rsid w:val="000D24A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2026-06-22T14:40:00Z</dcterms:created>
  <dcterms:modified xsi:type="dcterms:W3CDTF">2026-06-22T14:40:00Z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A10-0129/2026</vt:lpwstr>
  </property>
  <property fmtid="{D5CDD505-2E9C-101B-9397-08002B2CF9AE}" pid="4" name="&lt;Type&gt;">
    <vt:lpwstr>RR</vt:lpwstr>
  </property>
</Properties>
</file>