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FC2" w14:paraId="44749805" w14:textId="77777777" w:rsidTr="0010095E">
        <w:trPr>
          <w:trHeight w:hRule="exact" w:val="1418"/>
        </w:trPr>
        <w:tc>
          <w:tcPr>
            <w:tcW w:w="6804" w:type="dxa"/>
            <w:shd w:val="clear" w:color="auto" w:fill="auto"/>
            <w:vAlign w:val="center"/>
          </w:tcPr>
          <w:p w14:paraId="5F3D74E7" w14:textId="77777777" w:rsidR="00751A4A" w:rsidRPr="00D55FC2" w:rsidRDefault="00C20C34" w:rsidP="0010095E">
            <w:pPr>
              <w:pStyle w:val="EPName"/>
            </w:pPr>
            <w:r w:rsidRPr="00D55FC2">
              <w:t>Europees Parlement</w:t>
            </w:r>
          </w:p>
          <w:p w14:paraId="53BA9922" w14:textId="77777777" w:rsidR="00751A4A" w:rsidRPr="00D55FC2" w:rsidRDefault="005F1B17" w:rsidP="005F1B17">
            <w:pPr>
              <w:pStyle w:val="EPTerm"/>
              <w:rPr>
                <w:rStyle w:val="HideTWBExt"/>
                <w:noProof w:val="0"/>
                <w:vanish w:val="0"/>
                <w:color w:val="auto"/>
              </w:rPr>
            </w:pPr>
            <w:r w:rsidRPr="00D55FC2">
              <w:t>2024</w:t>
            </w:r>
            <w:r w:rsidR="00817416" w:rsidRPr="00D55FC2">
              <w:t>-202</w:t>
            </w:r>
            <w:r w:rsidRPr="00D55FC2">
              <w:t>9</w:t>
            </w:r>
          </w:p>
        </w:tc>
        <w:tc>
          <w:tcPr>
            <w:tcW w:w="2268" w:type="dxa"/>
            <w:shd w:val="clear" w:color="auto" w:fill="auto"/>
          </w:tcPr>
          <w:p w14:paraId="389197AD" w14:textId="77777777" w:rsidR="00751A4A" w:rsidRPr="00D55FC2" w:rsidRDefault="00187494" w:rsidP="0010095E">
            <w:pPr>
              <w:pStyle w:val="EPLogo"/>
            </w:pPr>
            <w:r w:rsidRPr="00D55FC2">
              <w:rPr>
                <w:noProof/>
                <w:lang w:eastAsia="ja-JP"/>
              </w:rPr>
              <w:drawing>
                <wp:inline distT="0" distB="0" distL="0" distR="0" wp14:anchorId="203DFDE2" wp14:editId="054194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8DF4B" w14:textId="77777777" w:rsidR="00D058B8" w:rsidRPr="00D55FC2" w:rsidRDefault="00D058B8" w:rsidP="004C5D52">
      <w:pPr>
        <w:pStyle w:val="LineTop"/>
      </w:pPr>
    </w:p>
    <w:p w14:paraId="319B142B" w14:textId="77777777" w:rsidR="00680577" w:rsidRPr="00D55FC2" w:rsidRDefault="00C20C34" w:rsidP="00680577">
      <w:pPr>
        <w:pStyle w:val="EPBodyTA1"/>
      </w:pPr>
      <w:r w:rsidRPr="00D55FC2">
        <w:t>AANGENOMEN TEKSTEN</w:t>
      </w:r>
    </w:p>
    <w:p w14:paraId="256179E2" w14:textId="77777777" w:rsidR="00D058B8" w:rsidRPr="00D55FC2" w:rsidRDefault="00D058B8" w:rsidP="00D058B8">
      <w:pPr>
        <w:pStyle w:val="LineBottom"/>
      </w:pPr>
    </w:p>
    <w:p w14:paraId="278D98C9" w14:textId="5D4596E9" w:rsidR="00C20C34" w:rsidRPr="00D55FC2" w:rsidRDefault="00C20C34" w:rsidP="00C20C34">
      <w:pPr>
        <w:pStyle w:val="ATHeading1"/>
      </w:pPr>
      <w:bookmarkStart w:id="0" w:name="TANumber"/>
      <w:r w:rsidRPr="00D55FC2">
        <w:t>P10_TA(2026)0</w:t>
      </w:r>
      <w:r w:rsidR="00D55FC2" w:rsidRPr="00D55FC2">
        <w:t>167</w:t>
      </w:r>
      <w:bookmarkEnd w:id="0"/>
    </w:p>
    <w:p w14:paraId="7E2B2E02" w14:textId="77777777" w:rsidR="00C20C34" w:rsidRPr="00D55FC2" w:rsidRDefault="00C20C34" w:rsidP="00C20C34">
      <w:pPr>
        <w:pStyle w:val="ATHeading2"/>
      </w:pPr>
      <w:bookmarkStart w:id="1" w:name="title"/>
      <w:r w:rsidRPr="00D55FC2">
        <w:t>Verzoek tot opheffing van de immuniteit van Alvise Pérez</w:t>
      </w:r>
      <w:bookmarkEnd w:id="1"/>
    </w:p>
    <w:p w14:paraId="5990FE82" w14:textId="77777777" w:rsidR="00C20C34" w:rsidRPr="00D55FC2" w:rsidRDefault="00C20C34" w:rsidP="00C20C34">
      <w:pPr>
        <w:rPr>
          <w:i/>
          <w:vanish/>
        </w:rPr>
      </w:pPr>
      <w:r w:rsidRPr="00D55FC2">
        <w:rPr>
          <w:i/>
        </w:rPr>
        <w:fldChar w:fldCharType="begin"/>
      </w:r>
      <w:r w:rsidRPr="00D55FC2">
        <w:rPr>
          <w:i/>
        </w:rPr>
        <w:instrText xml:space="preserve"> TC"(</w:instrText>
      </w:r>
      <w:bookmarkStart w:id="2" w:name="DocNumber"/>
      <w:r w:rsidRPr="00D55FC2">
        <w:rPr>
          <w:i/>
        </w:rPr>
        <w:instrText>A10-0129/2026</w:instrText>
      </w:r>
      <w:bookmarkEnd w:id="2"/>
      <w:r w:rsidRPr="00D55FC2">
        <w:rPr>
          <w:i/>
        </w:rPr>
        <w:instrText xml:space="preserve"> - Rapporteur: Pascale Piera)"\l3 \n&gt; \* MERGEFORMAT </w:instrText>
      </w:r>
      <w:r w:rsidRPr="00D55FC2">
        <w:rPr>
          <w:i/>
        </w:rPr>
        <w:fldChar w:fldCharType="end"/>
      </w:r>
    </w:p>
    <w:p w14:paraId="2A809DC4" w14:textId="77777777" w:rsidR="00C20C34" w:rsidRPr="00D55FC2" w:rsidRDefault="00C20C34" w:rsidP="00C20C34">
      <w:pPr>
        <w:rPr>
          <w:vanish/>
        </w:rPr>
      </w:pPr>
      <w:bookmarkStart w:id="3" w:name="Commission"/>
      <w:r w:rsidRPr="00D55FC2">
        <w:rPr>
          <w:vanish/>
        </w:rPr>
        <w:t>Commissie juridische zaken</w:t>
      </w:r>
      <w:bookmarkEnd w:id="3"/>
    </w:p>
    <w:p w14:paraId="23312832" w14:textId="77777777" w:rsidR="00C20C34" w:rsidRPr="00D55FC2" w:rsidRDefault="00C20C34" w:rsidP="00C20C34">
      <w:pPr>
        <w:rPr>
          <w:vanish/>
        </w:rPr>
      </w:pPr>
      <w:bookmarkStart w:id="4" w:name="PE"/>
      <w:r w:rsidRPr="00D55FC2">
        <w:rPr>
          <w:vanish/>
        </w:rPr>
        <w:t>PE785.310</w:t>
      </w:r>
      <w:bookmarkEnd w:id="4"/>
    </w:p>
    <w:p w14:paraId="2FDFBE49" w14:textId="40402706" w:rsidR="00C20C34" w:rsidRPr="00D55FC2" w:rsidRDefault="00C20C34" w:rsidP="00C20C34">
      <w:pPr>
        <w:pStyle w:val="ATHeading3"/>
      </w:pPr>
      <w:bookmarkStart w:id="5" w:name="Sujet"/>
      <w:r w:rsidRPr="00D55FC2">
        <w:t xml:space="preserve">Besluit van het Europees Parlement van </w:t>
      </w:r>
      <w:r w:rsidR="006E4A7A" w:rsidRPr="00D55FC2">
        <w:t>19</w:t>
      </w:r>
      <w:r w:rsidRPr="00D55FC2">
        <w:t xml:space="preserve"> mei 2026 over het verzoek tot opheffing van de immuniteit van Alvise Pérez</w:t>
      </w:r>
      <w:bookmarkEnd w:id="5"/>
      <w:r w:rsidRPr="00D55FC2">
        <w:t xml:space="preserve"> </w:t>
      </w:r>
      <w:bookmarkStart w:id="6" w:name="References"/>
      <w:r w:rsidRPr="00D55FC2">
        <w:t>(2025/2236(IMM))</w:t>
      </w:r>
      <w:bookmarkEnd w:id="6"/>
    </w:p>
    <w:p w14:paraId="7FB50F70" w14:textId="77777777" w:rsidR="00043F4A" w:rsidRPr="00D55FC2" w:rsidRDefault="00043F4A" w:rsidP="00043F4A">
      <w:pPr>
        <w:pStyle w:val="EPComma"/>
      </w:pPr>
      <w:bookmarkStart w:id="7" w:name="TextBodyBegin"/>
      <w:bookmarkEnd w:id="7"/>
      <w:r w:rsidRPr="00D55FC2">
        <w:rPr>
          <w:i/>
        </w:rPr>
        <w:t>Het Europees Parlement</w:t>
      </w:r>
      <w:r w:rsidRPr="00D55FC2">
        <w:t>,</w:t>
      </w:r>
    </w:p>
    <w:p w14:paraId="601E3BF7" w14:textId="7BA0F834" w:rsidR="00043F4A" w:rsidRPr="00D55FC2" w:rsidRDefault="00043F4A" w:rsidP="00043F4A">
      <w:pPr>
        <w:pStyle w:val="NormalHanging12a"/>
      </w:pPr>
      <w:r w:rsidRPr="00D55FC2">
        <w:t>–</w:t>
      </w:r>
      <w:r w:rsidRPr="00D55FC2">
        <w:tab/>
        <w:t xml:space="preserve">gezien het verzoek tot opheffing van de immuniteit van </w:t>
      </w:r>
      <w:r w:rsidR="000916CB" w:rsidRPr="00D55FC2">
        <w:t>Alvise Pérez (</w:t>
      </w:r>
      <w:r w:rsidRPr="00D55FC2">
        <w:t>Luis Pérez Fernandez</w:t>
      </w:r>
      <w:r w:rsidR="00E04CD7" w:rsidRPr="00D55FC2">
        <w:t>),</w:t>
      </w:r>
      <w:r w:rsidRPr="00D55FC2">
        <w:t xml:space="preserve"> dat </w:t>
      </w:r>
      <w:r w:rsidR="00E04CD7" w:rsidRPr="00D55FC2">
        <w:t xml:space="preserve">bij brief van </w:t>
      </w:r>
      <w:r w:rsidRPr="00D55FC2">
        <w:t xml:space="preserve">31 oktober 2025 </w:t>
      </w:r>
      <w:r w:rsidR="00E04CD7" w:rsidRPr="00D55FC2">
        <w:t xml:space="preserve">werd ingediend </w:t>
      </w:r>
      <w:r w:rsidRPr="00D55FC2">
        <w:t>door de hoogste rechterlijke instantie</w:t>
      </w:r>
      <w:r w:rsidR="000916CB" w:rsidRPr="00D55FC2">
        <w:t xml:space="preserve"> van</w:t>
      </w:r>
      <w:r w:rsidR="00E04CD7" w:rsidRPr="00D55FC2">
        <w:t xml:space="preserve"> </w:t>
      </w:r>
      <w:r w:rsidRPr="00D55FC2">
        <w:t>Spanje</w:t>
      </w:r>
      <w:r w:rsidR="00E04CD7" w:rsidRPr="00D55FC2">
        <w:t xml:space="preserve"> in verband met een strafrechtelijke </w:t>
      </w:r>
      <w:r w:rsidR="00644EB0" w:rsidRPr="00D55FC2">
        <w:t>vervolging</w:t>
      </w:r>
      <w:r w:rsidRPr="00D55FC2">
        <w:t>, en waarvan op 12 november 2025 ter plenaire vergadering kennis werd gegeven,</w:t>
      </w:r>
    </w:p>
    <w:p w14:paraId="02EF4B60" w14:textId="77777777" w:rsidR="00043F4A" w:rsidRPr="00D55FC2" w:rsidRDefault="00043F4A" w:rsidP="00043F4A">
      <w:pPr>
        <w:pStyle w:val="NormalHanging12a"/>
      </w:pPr>
      <w:r w:rsidRPr="00D55FC2">
        <w:t>–</w:t>
      </w:r>
      <w:r w:rsidRPr="00D55FC2">
        <w:tab/>
        <w:t>gezien het feit dat Alvise Pérez wordt geacht afstand te hebben gedaan van zijn recht om te worden gehoord overeenkomstig artikel 9, lid 6, van het Reglement van het Europees Parlement,</w:t>
      </w:r>
    </w:p>
    <w:p w14:paraId="312B50C8" w14:textId="77777777" w:rsidR="00043F4A" w:rsidRPr="00D55FC2" w:rsidRDefault="00043F4A" w:rsidP="00043F4A">
      <w:pPr>
        <w:pStyle w:val="NormalHanging12a"/>
      </w:pPr>
      <w:r w:rsidRPr="00D55FC2">
        <w:t>–</w:t>
      </w:r>
      <w:r w:rsidRPr="00D55FC2">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65C6D742" w14:textId="77777777" w:rsidR="00043F4A" w:rsidRPr="00D55FC2" w:rsidRDefault="00043F4A" w:rsidP="00043F4A">
      <w:pPr>
        <w:pStyle w:val="NormalHanging12a"/>
      </w:pPr>
      <w:r w:rsidRPr="00D55FC2">
        <w:t>–</w:t>
      </w:r>
      <w:r w:rsidRPr="00D55FC2">
        <w:tab/>
        <w:t>gezien de arresten van het Hof van Justitie van de Europese Unie van 21 oktober 2008, 19 maart 2010, 6 september 2011, 17 januari 2013 en 19 december 2019</w:t>
      </w:r>
      <w:r w:rsidRPr="00D55FC2">
        <w:rPr>
          <w:vertAlign w:val="superscript"/>
        </w:rPr>
        <w:footnoteReference w:id="1"/>
      </w:r>
      <w:r w:rsidRPr="00D55FC2">
        <w:t>,</w:t>
      </w:r>
    </w:p>
    <w:p w14:paraId="183CDE37" w14:textId="77777777" w:rsidR="00043F4A" w:rsidRPr="00D55FC2" w:rsidRDefault="00043F4A" w:rsidP="00043F4A">
      <w:pPr>
        <w:pStyle w:val="NormalHanging12a"/>
      </w:pPr>
      <w:r w:rsidRPr="00D55FC2">
        <w:t>–</w:t>
      </w:r>
      <w:r w:rsidRPr="00D55FC2">
        <w:tab/>
        <w:t>gezien artikel 71, leden 1 en 2, van de Spaanse grondwet,</w:t>
      </w:r>
    </w:p>
    <w:p w14:paraId="72259249" w14:textId="77777777" w:rsidR="00043F4A" w:rsidRPr="00D55FC2" w:rsidRDefault="00043F4A" w:rsidP="00043F4A">
      <w:pPr>
        <w:pStyle w:val="NormalHanging12a"/>
      </w:pPr>
      <w:r w:rsidRPr="00D55FC2">
        <w:t>–</w:t>
      </w:r>
      <w:r w:rsidRPr="00D55FC2">
        <w:tab/>
        <w:t>gezien artikel 5, lid 2, artikel 6, lid 1, en artikel 9 van zijn Reglement,</w:t>
      </w:r>
    </w:p>
    <w:p w14:paraId="2669DE1A" w14:textId="77777777" w:rsidR="00043F4A" w:rsidRPr="00D55FC2" w:rsidRDefault="00043F4A" w:rsidP="00043F4A">
      <w:pPr>
        <w:pStyle w:val="NormalHanging12a"/>
      </w:pPr>
      <w:r w:rsidRPr="00D55FC2">
        <w:t>–</w:t>
      </w:r>
      <w:r w:rsidRPr="00D55FC2">
        <w:tab/>
        <w:t>gezien het verslag van de Commissie juridische zaken (A10-0129/2026),</w:t>
      </w:r>
    </w:p>
    <w:p w14:paraId="467A4E5B" w14:textId="5922A671" w:rsidR="00043F4A" w:rsidRPr="00D55FC2" w:rsidRDefault="00043F4A" w:rsidP="00043F4A">
      <w:pPr>
        <w:pStyle w:val="NormalHanging12a"/>
      </w:pPr>
      <w:r w:rsidRPr="00D55FC2">
        <w:t>A.</w:t>
      </w:r>
      <w:r w:rsidRPr="00D55FC2">
        <w:tab/>
        <w:t xml:space="preserve">overwegende dat de voorzitter van de </w:t>
      </w:r>
      <w:r w:rsidR="009D6E3B" w:rsidRPr="00D55FC2">
        <w:t>hoogste rechterlijke instantie van Spanje</w:t>
      </w:r>
      <w:r w:rsidRPr="00D55FC2">
        <w:t xml:space="preserve"> bij brief van 31 oktober 2025 een verzoek tot opheffing van de immuniteit van Alvise Pérez, </w:t>
      </w:r>
      <w:r w:rsidR="00644EB0" w:rsidRPr="00D55FC2">
        <w:t xml:space="preserve">een </w:t>
      </w:r>
      <w:r w:rsidRPr="00D55FC2">
        <w:lastRenderedPageBreak/>
        <w:t xml:space="preserve">in Spanje </w:t>
      </w:r>
      <w:bookmarkStart w:id="8" w:name="_Hlk222405545"/>
      <w:r w:rsidRPr="00D55FC2">
        <w:t>verkozen lid van het Europees Parlement</w:t>
      </w:r>
      <w:bookmarkEnd w:id="8"/>
      <w:r w:rsidRPr="00D55FC2">
        <w:t xml:space="preserve">, heeft </w:t>
      </w:r>
      <w:r w:rsidR="009D6E3B" w:rsidRPr="00D55FC2">
        <w:t>ingedien</w:t>
      </w:r>
      <w:r w:rsidRPr="00D55FC2">
        <w:t>d in verband met het vermoeden van meerdere strafbare feiten die in 2024 zouden zijn gepleegd;</w:t>
      </w:r>
    </w:p>
    <w:p w14:paraId="5D1CDAC3" w14:textId="390C0F04" w:rsidR="00043F4A" w:rsidRPr="00D55FC2" w:rsidRDefault="00043F4A" w:rsidP="00043F4A">
      <w:pPr>
        <w:pStyle w:val="NormalHanging12a"/>
      </w:pPr>
      <w:r w:rsidRPr="00D55FC2">
        <w:t>B.</w:t>
      </w:r>
      <w:r w:rsidRPr="00D55FC2">
        <w:tab/>
        <w:t xml:space="preserve">overwegende dat, volgens het verzoek, Alvise Pérez tussen 7 april </w:t>
      </w:r>
      <w:r w:rsidR="00174750">
        <w:t xml:space="preserve">2024 </w:t>
      </w:r>
      <w:r w:rsidRPr="00D55FC2">
        <w:t>en 27 mei 2024 banden zou hebben onderhouden met een adviseur die optreedt namens natuurlijke en rechtspersonen met het oog op het verkrijgen van economische voordelen door middel van fiscale optimaliseringsregelingen, met als doel een “portefeuille” te creëren om middelen te werven voor de financiering van de verkiezingscampagne van de door Alvise Pérez opgerichte politieke partij, genaamd “Se Acabó La Fiesta”; overwegende dat de adviseur die deze “portefeuille” heeft opgezet volgens het verzoek een voorschot van 100 000 EUR zou hebben betaald aan Alvise Pérez ten voordele van de genoemde politieke partij met het oog op de Europese verkiezingen; overwegende dat de vermeende feiten mogelijk kunnen worden aangemerkt als het strafbare feit van illegale financiering van een politieke partij in de zin van artikel 304 bis, lid 1, van het Spaanse wetboek van strafrecht en als een verkiezingsmisdrijf in de zin van artikel 149, lid 1, van organieke wet nr. 5/1985 van 19 juni 1985 houdende de algemene regeling voor de organisatie van verkiezingen in Spanje; overwegende dat het onderzoek is ingeleid bij beschikking van 20 september 2024;</w:t>
      </w:r>
    </w:p>
    <w:p w14:paraId="370165A6" w14:textId="2906514E" w:rsidR="00043F4A" w:rsidRPr="00D55FC2" w:rsidRDefault="00043F4A" w:rsidP="00043F4A">
      <w:pPr>
        <w:pStyle w:val="NormalHanging12a"/>
      </w:pPr>
      <w:r w:rsidRPr="00D55FC2">
        <w:t>C.</w:t>
      </w:r>
      <w:r w:rsidRPr="00D55FC2">
        <w:tab/>
        <w:t xml:space="preserve">overwegende dat Alvise Pérez bij de Europese verkiezingen van juni 2024 werd verkozen tot lid van het Europees Parlement, en dat hij </w:t>
      </w:r>
      <w:r w:rsidR="00244528" w:rsidRPr="00D55FC2">
        <w:t xml:space="preserve">dus </w:t>
      </w:r>
      <w:r w:rsidRPr="00D55FC2">
        <w:t>geen lid van het Europees Parlement was ten tijde van de vermeende strafbare feiten;</w:t>
      </w:r>
    </w:p>
    <w:p w14:paraId="4BA55FFB" w14:textId="77777777" w:rsidR="00043F4A" w:rsidRPr="00D55FC2" w:rsidRDefault="00043F4A" w:rsidP="00043F4A">
      <w:pPr>
        <w:pStyle w:val="NormalHanging12a"/>
      </w:pPr>
      <w:r w:rsidRPr="00D55FC2">
        <w:t>D.</w:t>
      </w:r>
      <w:r w:rsidRPr="00D55FC2">
        <w:tab/>
        <w:t>overwegende dat de vermeende strafbare feiten en het daaropvolgende verzoek tot opheffing van de immuniteit van Alvise Pérez niet bestaan uit resp. geen verband houden met een mening of stem die Alvise Pérez in de uitoefening van zijn ambt heeft uitgebracht in de zin van artikel 8 van Protocol nr. 7 betreffende de voorrechten en immuniteiten van de Europese Unie;</w:t>
      </w:r>
    </w:p>
    <w:p w14:paraId="225FEF63" w14:textId="5A3D5AE5" w:rsidR="00043F4A" w:rsidRPr="00D55FC2" w:rsidRDefault="00043F4A" w:rsidP="00043F4A">
      <w:pPr>
        <w:pStyle w:val="NormalHanging12a"/>
      </w:pPr>
      <w:r w:rsidRPr="00D55FC2">
        <w:t>E.</w:t>
      </w:r>
      <w:r w:rsidRPr="00D55FC2">
        <w:tab/>
        <w:t xml:space="preserve">overwegende dat in artikel 9, eerste alinea, punt a), van Protocol nr. 7 betreffende de voorrechten en immuniteiten van de Europese Unie is bepaald dat de leden van het Europees Parlement tijdens de zittingsduur </w:t>
      </w:r>
      <w:r w:rsidR="00787033" w:rsidRPr="00D55FC2">
        <w:t xml:space="preserve">ervan </w:t>
      </w:r>
      <w:r w:rsidRPr="00D55FC2">
        <w:t xml:space="preserve">op </w:t>
      </w:r>
      <w:r w:rsidR="00787033" w:rsidRPr="00D55FC2">
        <w:t>het</w:t>
      </w:r>
      <w:r w:rsidRPr="00D55FC2">
        <w:t xml:space="preserve"> grondgebied</w:t>
      </w:r>
      <w:r w:rsidR="00787033" w:rsidRPr="00D55FC2">
        <w:t xml:space="preserve"> van hun eigen lidstaat</w:t>
      </w:r>
      <w:r w:rsidRPr="00D55FC2">
        <w:t xml:space="preserve"> de immuniteiten genieten welke aan de leden van de volksvertegenwoordiging in hun </w:t>
      </w:r>
      <w:r w:rsidR="00787033" w:rsidRPr="00D55FC2">
        <w:t>lidstaat</w:t>
      </w:r>
      <w:r w:rsidRPr="00D55FC2">
        <w:t xml:space="preserve"> zijn verleend;</w:t>
      </w:r>
    </w:p>
    <w:p w14:paraId="556F5C37" w14:textId="77777777" w:rsidR="00043F4A" w:rsidRPr="00D55FC2" w:rsidRDefault="00043F4A" w:rsidP="00043F4A">
      <w:pPr>
        <w:pStyle w:val="NormalHanging12a"/>
      </w:pPr>
      <w:r w:rsidRPr="00D55FC2">
        <w:t>F.</w:t>
      </w:r>
      <w:r w:rsidRPr="00D55FC2">
        <w:tab/>
        <w:t>overwegende dat in artikel 71, leden 1 en 2, van de Spaanse grondwet het volgende wordt bepaald:</w:t>
      </w:r>
    </w:p>
    <w:p w14:paraId="2C318D1D" w14:textId="77777777" w:rsidR="00043F4A" w:rsidRPr="00D55FC2" w:rsidRDefault="00043F4A" w:rsidP="00787033">
      <w:pPr>
        <w:pStyle w:val="NormalHanging12a"/>
        <w:ind w:left="1134"/>
        <w:rPr>
          <w:i/>
        </w:rPr>
      </w:pPr>
      <w:r w:rsidRPr="00D55FC2">
        <w:rPr>
          <w:i/>
        </w:rPr>
        <w:t>“1.</w:t>
      </w:r>
      <w:r w:rsidRPr="00D55FC2">
        <w:rPr>
          <w:i/>
        </w:rPr>
        <w:tab/>
        <w:t>Afgevaardigden en senatoren genieten onschendbaarheid voor de in de uitoefening van hun taken geuite opvattingen.</w:t>
      </w:r>
    </w:p>
    <w:p w14:paraId="03FF50EE" w14:textId="215AF65B" w:rsidR="00043F4A" w:rsidRPr="00D55FC2" w:rsidRDefault="00043F4A" w:rsidP="00644EB0">
      <w:pPr>
        <w:pStyle w:val="NormalHanging12a"/>
        <w:ind w:left="1134"/>
        <w:rPr>
          <w:i/>
        </w:rPr>
      </w:pPr>
      <w:r w:rsidRPr="00D55FC2">
        <w:rPr>
          <w:i/>
        </w:rPr>
        <w:t>2.</w:t>
      </w:r>
      <w:r w:rsidRPr="00D55FC2">
        <w:rPr>
          <w:i/>
        </w:rPr>
        <w:tab/>
        <w:t xml:space="preserve">Afgevaardigden en senatoren genieten gedurende hun mandaat immuniteit en kunnen slechts worden aangehouden in het geval van </w:t>
      </w:r>
      <w:r w:rsidR="00244528" w:rsidRPr="00D55FC2">
        <w:rPr>
          <w:i/>
        </w:rPr>
        <w:t>ontdekking</w:t>
      </w:r>
      <w:r w:rsidRPr="00D55FC2">
        <w:rPr>
          <w:i/>
        </w:rPr>
        <w:t xml:space="preserve"> op heterdaad. Zij kunnen niet in staat van beschuldiging worden gesteld of worden </w:t>
      </w:r>
      <w:r w:rsidR="00244528" w:rsidRPr="00D55FC2">
        <w:rPr>
          <w:i/>
        </w:rPr>
        <w:t>vervolgd</w:t>
      </w:r>
      <w:r w:rsidRPr="00D55FC2">
        <w:rPr>
          <w:i/>
        </w:rPr>
        <w:t xml:space="preserve"> zonder voorafgaande toestemming van de desbetreffende </w:t>
      </w:r>
      <w:r w:rsidR="00244528" w:rsidRPr="00D55FC2">
        <w:rPr>
          <w:i/>
        </w:rPr>
        <w:t xml:space="preserve">parlementaire </w:t>
      </w:r>
      <w:r w:rsidRPr="00D55FC2">
        <w:rPr>
          <w:i/>
        </w:rPr>
        <w:t>Kamer.”;</w:t>
      </w:r>
    </w:p>
    <w:p w14:paraId="74D06132" w14:textId="77777777" w:rsidR="00043F4A" w:rsidRPr="00D55FC2" w:rsidRDefault="00043F4A" w:rsidP="00043F4A">
      <w:pPr>
        <w:pStyle w:val="NormalHanging12a"/>
      </w:pPr>
      <w:r w:rsidRPr="00D55FC2">
        <w:t>G.</w:t>
      </w:r>
      <w:r w:rsidRPr="00D55FC2">
        <w:tab/>
        <w:t xml:space="preserve">overwegende dat de immuniteit </w:t>
      </w:r>
      <w:bookmarkStart w:id="9" w:name="_Hlk222405989"/>
      <w:r w:rsidRPr="00D55FC2">
        <w:t>als genoemd in Protocol nr. 7 betreffende de voorrechten en immuniteiten van de Europese Unie</w:t>
      </w:r>
      <w:bookmarkEnd w:id="9"/>
      <w:r w:rsidRPr="00D55FC2">
        <w:t xml:space="preserve"> tot doel heeft het Parlement en zijn leden te beschermen tegen gerechtelijke procedures in verband met activiteiten die in de uitoefening van parlementaire taken zijn verricht en die niet van die taken kunnen worden gescheiden;</w:t>
      </w:r>
    </w:p>
    <w:p w14:paraId="792DB7D7" w14:textId="77777777" w:rsidR="00043F4A" w:rsidRPr="00D55FC2" w:rsidRDefault="00043F4A" w:rsidP="00043F4A">
      <w:pPr>
        <w:pStyle w:val="NormalHanging12a"/>
      </w:pPr>
      <w:r w:rsidRPr="00D55FC2">
        <w:lastRenderedPageBreak/>
        <w:t>H.</w:t>
      </w:r>
      <w:r w:rsidRPr="00D55FC2">
        <w:tab/>
        <w:t>overwegende dat de parlementaire immuniteit, overeenkomstig artikel 5, lid 2, van zijn Reglement, geen persoonlijk voorrecht van de leden is, maar een garantie voor de onafhankelijkheid van het Parlement als geheel en van zijn leden;</w:t>
      </w:r>
    </w:p>
    <w:p w14:paraId="69F2BCE5" w14:textId="657DA221" w:rsidR="00043F4A" w:rsidRPr="00D55FC2" w:rsidRDefault="00043F4A" w:rsidP="00043F4A">
      <w:pPr>
        <w:pStyle w:val="NormalHanging12a"/>
      </w:pPr>
      <w:r w:rsidRPr="00D55FC2">
        <w:t>I.</w:t>
      </w:r>
      <w:r w:rsidRPr="00D55FC2">
        <w:tab/>
        <w:t xml:space="preserve">overwegende dat het Parlement in deze zaak geen bewijs heeft gevonden dat duidt op </w:t>
      </w:r>
      <w:r w:rsidRPr="00D55FC2">
        <w:rPr>
          <w:i/>
          <w:iCs/>
        </w:rPr>
        <w:t>fumus persecutionis</w:t>
      </w:r>
      <w:r w:rsidRPr="00D55FC2">
        <w:t xml:space="preserve">, dat wil zeggen dat de strafrechtelijke procedure </w:t>
      </w:r>
      <w:r w:rsidR="00244528" w:rsidRPr="00D55FC2">
        <w:t>niet bedoeld lijkt</w:t>
      </w:r>
      <w:r w:rsidRPr="00D55FC2">
        <w:t xml:space="preserve"> om de politieke activiteiten van Alvise Pérez </w:t>
      </w:r>
      <w:r w:rsidR="00761F0E" w:rsidRPr="00D55FC2">
        <w:t>als</w:t>
      </w:r>
      <w:r w:rsidRPr="00D55FC2">
        <w:t xml:space="preserve"> lid van het Europees Parlement</w:t>
      </w:r>
      <w:r w:rsidR="00644EB0" w:rsidRPr="00D55FC2">
        <w:t>,</w:t>
      </w:r>
      <w:r w:rsidR="00761F0E" w:rsidRPr="00D55FC2">
        <w:t xml:space="preserve"> en dus de onafhankelijkheid van het Europees Parlement,</w:t>
      </w:r>
      <w:r w:rsidRPr="00D55FC2">
        <w:t xml:space="preserve"> schade toe te brengen;</w:t>
      </w:r>
    </w:p>
    <w:p w14:paraId="20459EE5" w14:textId="77777777" w:rsidR="00043F4A" w:rsidRPr="00D55FC2" w:rsidRDefault="00043F4A" w:rsidP="00043F4A">
      <w:pPr>
        <w:pStyle w:val="NormalHanging12a"/>
        <w:widowControl/>
      </w:pPr>
      <w:r w:rsidRPr="00D55FC2">
        <w:t>J.</w:t>
      </w:r>
      <w:r w:rsidRPr="00D55FC2">
        <w:tab/>
        <w:t>overwegende dat het Parlement niet de rol van rechter op zich kan nemen, en overwegende dat een lid in het kader van een procedure tot opheffing van de immuniteit niet als een “verdachte” kan worden aangemerkt</w:t>
      </w:r>
      <w:r w:rsidRPr="00D55FC2">
        <w:rPr>
          <w:vertAlign w:val="superscript"/>
        </w:rPr>
        <w:footnoteReference w:id="2"/>
      </w:r>
      <w:r w:rsidRPr="00D55FC2">
        <w:t>;</w:t>
      </w:r>
    </w:p>
    <w:p w14:paraId="29ED7AC7" w14:textId="77777777" w:rsidR="00043F4A" w:rsidRPr="00D55FC2" w:rsidRDefault="00043F4A" w:rsidP="00043F4A">
      <w:pPr>
        <w:pStyle w:val="NormalHanging12a"/>
      </w:pPr>
      <w:r w:rsidRPr="00D55FC2">
        <w:t>1.</w:t>
      </w:r>
      <w:r w:rsidRPr="00D55FC2">
        <w:tab/>
        <w:t>besluit de immuniteit van Alvise Pérez op te heffen;</w:t>
      </w:r>
    </w:p>
    <w:p w14:paraId="168BF7FE" w14:textId="72EBEEAC" w:rsidR="00AE75FD" w:rsidRPr="00D55FC2" w:rsidRDefault="00043F4A" w:rsidP="00AE75FD">
      <w:pPr>
        <w:pStyle w:val="NormalHanging12a"/>
      </w:pPr>
      <w:r w:rsidRPr="00D55FC2">
        <w:t>2.</w:t>
      </w:r>
      <w:r w:rsidRPr="00D55FC2">
        <w:tab/>
        <w:t xml:space="preserve">verzoekt zijn Voorzitter dit besluit en het verslag van zijn bevoegde commissie onmiddellijk te doen toekomen aan de </w:t>
      </w:r>
      <w:r w:rsidR="00907D75" w:rsidRPr="00D55FC2">
        <w:t>bevoegde</w:t>
      </w:r>
      <w:r w:rsidRPr="00D55FC2">
        <w:t xml:space="preserve"> autoriteiten </w:t>
      </w:r>
      <w:r w:rsidR="00907D75" w:rsidRPr="00D55FC2">
        <w:t xml:space="preserve">van het Koninkrijk Spanje </w:t>
      </w:r>
      <w:r w:rsidRPr="00D55FC2">
        <w:t>en aan Alvise Pérez.</w:t>
      </w:r>
    </w:p>
    <w:sectPr w:rsidR="00AE75FD" w:rsidRPr="00D55FC2" w:rsidSect="00AE75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7673" w14:textId="77777777" w:rsidR="00C20C34" w:rsidRPr="00AE75FD" w:rsidRDefault="00C20C34">
      <w:r w:rsidRPr="00AE75FD">
        <w:separator/>
      </w:r>
    </w:p>
  </w:endnote>
  <w:endnote w:type="continuationSeparator" w:id="0">
    <w:p w14:paraId="23621D26" w14:textId="77777777" w:rsidR="00C20C34" w:rsidRPr="00AE75FD" w:rsidRDefault="00C20C34">
      <w:r w:rsidRPr="00AE75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66EF" w14:textId="77777777" w:rsidR="00064002" w:rsidRPr="00AE75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85D5" w14:textId="77777777" w:rsidR="00064002" w:rsidRPr="00AE75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3D47" w14:textId="77777777" w:rsidR="00064002" w:rsidRPr="00AE75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10108" w14:textId="77777777" w:rsidR="00C20C34" w:rsidRPr="00AE75FD" w:rsidRDefault="00C20C34">
      <w:r w:rsidRPr="00AE75FD">
        <w:separator/>
      </w:r>
    </w:p>
  </w:footnote>
  <w:footnote w:type="continuationSeparator" w:id="0">
    <w:p w14:paraId="423FB1F0" w14:textId="77777777" w:rsidR="00C20C34" w:rsidRPr="00AE75FD" w:rsidRDefault="00C20C34">
      <w:r w:rsidRPr="00AE75FD">
        <w:continuationSeparator/>
      </w:r>
    </w:p>
  </w:footnote>
  <w:footnote w:id="1">
    <w:p w14:paraId="250811A4" w14:textId="7A8C9272" w:rsidR="00043F4A" w:rsidRPr="00AE75FD" w:rsidRDefault="00043F4A" w:rsidP="00AE75FD">
      <w:pPr>
        <w:pStyle w:val="FootnoteText"/>
        <w:ind w:left="567" w:hanging="567"/>
        <w:rPr>
          <w:sz w:val="24"/>
          <w:lang w:val="nl-NL"/>
        </w:rPr>
      </w:pPr>
      <w:r w:rsidRPr="00AE75FD">
        <w:rPr>
          <w:rStyle w:val="FootnoteReference"/>
          <w:sz w:val="24"/>
          <w:lang w:val="nl-NL"/>
        </w:rPr>
        <w:footnoteRef/>
      </w:r>
      <w:r w:rsidR="00AE75FD" w:rsidRPr="00AE75FD">
        <w:rPr>
          <w:sz w:val="24"/>
          <w:lang w:val="nl-NL"/>
        </w:rPr>
        <w:t xml:space="preserve"> </w:t>
      </w:r>
      <w:r w:rsidR="00AE75FD" w:rsidRPr="00AE75FD">
        <w:rPr>
          <w:sz w:val="24"/>
          <w:lang w:val="nl-NL"/>
        </w:rPr>
        <w:tab/>
      </w:r>
      <w:r w:rsidRPr="00AE75FD">
        <w:rPr>
          <w:sz w:val="24"/>
          <w:lang w:val="nl-NL"/>
        </w:rPr>
        <w:t>Arrest van het Hof van Justitie van 21 oktober 2008, Marra/De Gregorio en Clemente, C</w:t>
      </w:r>
      <w:r w:rsidRPr="00AE75FD">
        <w:rPr>
          <w:sz w:val="24"/>
          <w:lang w:val="nl-NL"/>
        </w:rPr>
        <w:noBreakHyphen/>
        <w:t>200/07 en C</w:t>
      </w:r>
      <w:r w:rsidRPr="00AE75FD">
        <w:rPr>
          <w:sz w:val="24"/>
          <w:lang w:val="nl-NL"/>
        </w:rPr>
        <w:noBreakHyphen/>
        <w:t>201/07, ECLI:EU:C:2008:579; arrest van het Gerecht van 19 maart 2010, Gollnisch/Parlement, T</w:t>
      </w:r>
      <w:r w:rsidRPr="00AE75FD">
        <w:rPr>
          <w:sz w:val="24"/>
          <w:lang w:val="nl-NL"/>
        </w:rPr>
        <w:noBreakHyphen/>
        <w:t>42/06, ECLI:EU:T:2010:102; arrest van het Hof van Justitie van 6 september 2011, Patriciello, C</w:t>
      </w:r>
      <w:r w:rsidRPr="00AE75FD">
        <w:rPr>
          <w:sz w:val="24"/>
          <w:lang w:val="nl-NL"/>
        </w:rPr>
        <w:noBreakHyphen/>
        <w:t>163/10, ECLI:EU:C:2011:543; arrest van het Gerecht van 17 januari 2013, Gollnisch/Parlement, T</w:t>
      </w:r>
      <w:r w:rsidRPr="00AE75FD">
        <w:rPr>
          <w:sz w:val="24"/>
          <w:lang w:val="nl-NL"/>
        </w:rPr>
        <w:noBreakHyphen/>
        <w:t>346/11 en T</w:t>
      </w:r>
      <w:r w:rsidRPr="00AE75FD">
        <w:rPr>
          <w:sz w:val="24"/>
          <w:lang w:val="nl-NL"/>
        </w:rPr>
        <w:noBreakHyphen/>
        <w:t>347/11, ECLI:EU:T:2013:23; arrest van het Hof van Justitie van 19 december 2019, Junqueras Vies, C</w:t>
      </w:r>
      <w:r w:rsidRPr="00AE75FD">
        <w:rPr>
          <w:sz w:val="24"/>
          <w:lang w:val="nl-NL"/>
        </w:rPr>
        <w:noBreakHyphen/>
        <w:t>502/19, ECLI:EU:C:2019:1115.</w:t>
      </w:r>
    </w:p>
  </w:footnote>
  <w:footnote w:id="2">
    <w:p w14:paraId="41997A33" w14:textId="58B23514" w:rsidR="00043F4A" w:rsidRPr="00AE75FD" w:rsidRDefault="00043F4A" w:rsidP="00AE75FD">
      <w:pPr>
        <w:pStyle w:val="FootnoteText"/>
        <w:ind w:left="567" w:hanging="567"/>
        <w:rPr>
          <w:sz w:val="24"/>
          <w:lang w:val="nl-NL"/>
        </w:rPr>
      </w:pPr>
      <w:r w:rsidRPr="00AE75FD">
        <w:rPr>
          <w:rStyle w:val="FootnoteReference"/>
          <w:sz w:val="24"/>
          <w:lang w:val="nl-NL"/>
        </w:rPr>
        <w:footnoteRef/>
      </w:r>
      <w:r w:rsidR="00AE75FD" w:rsidRPr="00AE75FD">
        <w:rPr>
          <w:sz w:val="24"/>
          <w:lang w:val="nl-NL"/>
        </w:rPr>
        <w:t xml:space="preserve"> </w:t>
      </w:r>
      <w:r w:rsidR="00AE75FD" w:rsidRPr="00AE75FD">
        <w:rPr>
          <w:sz w:val="24"/>
          <w:lang w:val="nl-NL"/>
        </w:rPr>
        <w:tab/>
      </w:r>
      <w:r w:rsidRPr="00AE75FD">
        <w:rPr>
          <w:sz w:val="24"/>
          <w:lang w:val="nl-NL"/>
        </w:rPr>
        <w:t>Arrest van het Gerecht van 30 april 2019, Briois/Parlement, T</w:t>
      </w:r>
      <w:r w:rsidRPr="00AE75FD">
        <w:rPr>
          <w:sz w:val="24"/>
          <w:lang w:val="nl-NL"/>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0BAE" w14:textId="77777777" w:rsidR="00064002" w:rsidRPr="00AE75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8ED2" w14:textId="77777777" w:rsidR="00064002" w:rsidRPr="00AE75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50FD" w14:textId="77777777" w:rsidR="00064002" w:rsidRPr="00AE75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9652363">
    <w:abstractNumId w:val="9"/>
  </w:num>
  <w:num w:numId="2" w16cid:durableId="1767269470">
    <w:abstractNumId w:val="9"/>
  </w:num>
  <w:num w:numId="3" w16cid:durableId="468089795">
    <w:abstractNumId w:val="7"/>
  </w:num>
  <w:num w:numId="4" w16cid:durableId="80832787">
    <w:abstractNumId w:val="7"/>
  </w:num>
  <w:num w:numId="5" w16cid:durableId="1803770077">
    <w:abstractNumId w:val="6"/>
  </w:num>
  <w:num w:numId="6" w16cid:durableId="1332291660">
    <w:abstractNumId w:val="6"/>
  </w:num>
  <w:num w:numId="7" w16cid:durableId="756946538">
    <w:abstractNumId w:val="5"/>
  </w:num>
  <w:num w:numId="8" w16cid:durableId="1206871415">
    <w:abstractNumId w:val="5"/>
  </w:num>
  <w:num w:numId="9" w16cid:durableId="1520855668">
    <w:abstractNumId w:val="4"/>
  </w:num>
  <w:num w:numId="10" w16cid:durableId="771900737">
    <w:abstractNumId w:val="4"/>
  </w:num>
  <w:num w:numId="11" w16cid:durableId="843013214">
    <w:abstractNumId w:val="8"/>
  </w:num>
  <w:num w:numId="12" w16cid:durableId="940530855">
    <w:abstractNumId w:val="8"/>
  </w:num>
  <w:num w:numId="13" w16cid:durableId="440418527">
    <w:abstractNumId w:val="3"/>
  </w:num>
  <w:num w:numId="14" w16cid:durableId="2071952011">
    <w:abstractNumId w:val="3"/>
  </w:num>
  <w:num w:numId="15" w16cid:durableId="72897069">
    <w:abstractNumId w:val="2"/>
  </w:num>
  <w:num w:numId="16" w16cid:durableId="229578916">
    <w:abstractNumId w:val="2"/>
  </w:num>
  <w:num w:numId="17" w16cid:durableId="1101803262">
    <w:abstractNumId w:val="1"/>
  </w:num>
  <w:num w:numId="18" w16cid:durableId="357199176">
    <w:abstractNumId w:val="1"/>
  </w:num>
  <w:num w:numId="19" w16cid:durableId="130682633">
    <w:abstractNumId w:val="0"/>
  </w:num>
  <w:num w:numId="20" w16cid:durableId="1003633096">
    <w:abstractNumId w:val="0"/>
  </w:num>
  <w:num w:numId="21" w16cid:durableId="1394234933">
    <w:abstractNumId w:val="9"/>
  </w:num>
  <w:num w:numId="22" w16cid:durableId="1535731406">
    <w:abstractNumId w:val="7"/>
  </w:num>
  <w:num w:numId="23" w16cid:durableId="141510258">
    <w:abstractNumId w:val="6"/>
  </w:num>
  <w:num w:numId="24" w16cid:durableId="1708316">
    <w:abstractNumId w:val="5"/>
  </w:num>
  <w:num w:numId="25" w16cid:durableId="1972243922">
    <w:abstractNumId w:val="4"/>
  </w:num>
  <w:num w:numId="26" w16cid:durableId="2076581190">
    <w:abstractNumId w:val="8"/>
  </w:num>
  <w:num w:numId="27" w16cid:durableId="1646156742">
    <w:abstractNumId w:val="3"/>
  </w:num>
  <w:num w:numId="28" w16cid:durableId="492450709">
    <w:abstractNumId w:val="2"/>
  </w:num>
  <w:num w:numId="29" w16cid:durableId="1426918195">
    <w:abstractNumId w:val="1"/>
  </w:num>
  <w:num w:numId="30" w16cid:durableId="1316883652">
    <w:abstractNumId w:val="0"/>
  </w:num>
  <w:num w:numId="31" w16cid:durableId="84691115">
    <w:abstractNumId w:val="9"/>
  </w:num>
  <w:num w:numId="32" w16cid:durableId="1609510679">
    <w:abstractNumId w:val="7"/>
  </w:num>
  <w:num w:numId="33" w16cid:durableId="266278872">
    <w:abstractNumId w:val="6"/>
  </w:num>
  <w:num w:numId="34" w16cid:durableId="1296792568">
    <w:abstractNumId w:val="5"/>
  </w:num>
  <w:num w:numId="35" w16cid:durableId="696584713">
    <w:abstractNumId w:val="4"/>
  </w:num>
  <w:num w:numId="36" w16cid:durableId="578712570">
    <w:abstractNumId w:val="8"/>
  </w:num>
  <w:num w:numId="37" w16cid:durableId="646519548">
    <w:abstractNumId w:val="3"/>
  </w:num>
  <w:num w:numId="38" w16cid:durableId="1843885078">
    <w:abstractNumId w:val="2"/>
  </w:num>
  <w:num w:numId="39" w16cid:durableId="567959788">
    <w:abstractNumId w:val="1"/>
  </w:num>
  <w:num w:numId="40" w16cid:durableId="293289908">
    <w:abstractNumId w:val="0"/>
  </w:num>
  <w:num w:numId="41" w16cid:durableId="483667370">
    <w:abstractNumId w:val="10"/>
  </w:num>
  <w:num w:numId="42" w16cid:durableId="1192379130">
    <w:abstractNumId w:val="10"/>
  </w:num>
  <w:num w:numId="43" w16cid:durableId="567807365">
    <w:abstractNumId w:val="10"/>
  </w:num>
  <w:num w:numId="44" w16cid:durableId="4010992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NL"/>
    <w:docVar w:name="dvnumam" w:val="0"/>
    <w:docVar w:name="dvpe" w:val="785.310"/>
    <w:docVar w:name="dvrapporteur" w:val="Rapporteur: "/>
    <w:docVar w:name="dvtitre" w:val="Besluit van het Europees Parlement van xx mei 2026 over het verzoek tot opheffing van de immuniteit van Alvise Pérez(2025/2236(IMM))"/>
  </w:docVars>
  <w:rsids>
    <w:rsidRoot w:val="00C20C34"/>
    <w:rsid w:val="00002272"/>
    <w:rsid w:val="00024F82"/>
    <w:rsid w:val="00043F4A"/>
    <w:rsid w:val="00064002"/>
    <w:rsid w:val="000677B9"/>
    <w:rsid w:val="000831BA"/>
    <w:rsid w:val="000916CB"/>
    <w:rsid w:val="000A42CC"/>
    <w:rsid w:val="000E7DD9"/>
    <w:rsid w:val="0010095E"/>
    <w:rsid w:val="00125B37"/>
    <w:rsid w:val="00174750"/>
    <w:rsid w:val="00187494"/>
    <w:rsid w:val="001F32AE"/>
    <w:rsid w:val="00244528"/>
    <w:rsid w:val="002767FF"/>
    <w:rsid w:val="002B18FE"/>
    <w:rsid w:val="002B5493"/>
    <w:rsid w:val="003268E8"/>
    <w:rsid w:val="00343214"/>
    <w:rsid w:val="00361C00"/>
    <w:rsid w:val="00395FA1"/>
    <w:rsid w:val="003B0AD1"/>
    <w:rsid w:val="003E15D4"/>
    <w:rsid w:val="00411CCE"/>
    <w:rsid w:val="0041666E"/>
    <w:rsid w:val="00421060"/>
    <w:rsid w:val="00471C19"/>
    <w:rsid w:val="004867E3"/>
    <w:rsid w:val="00494A28"/>
    <w:rsid w:val="004C0004"/>
    <w:rsid w:val="004C5D52"/>
    <w:rsid w:val="004F63A4"/>
    <w:rsid w:val="0050519A"/>
    <w:rsid w:val="005072A1"/>
    <w:rsid w:val="00514517"/>
    <w:rsid w:val="00545827"/>
    <w:rsid w:val="00560270"/>
    <w:rsid w:val="005962A0"/>
    <w:rsid w:val="005C2568"/>
    <w:rsid w:val="005F1B17"/>
    <w:rsid w:val="006037C0"/>
    <w:rsid w:val="00644EB0"/>
    <w:rsid w:val="006631B6"/>
    <w:rsid w:val="00680577"/>
    <w:rsid w:val="006E4A7A"/>
    <w:rsid w:val="006F74FA"/>
    <w:rsid w:val="00731ADD"/>
    <w:rsid w:val="00734777"/>
    <w:rsid w:val="00747932"/>
    <w:rsid w:val="00751A4A"/>
    <w:rsid w:val="00756632"/>
    <w:rsid w:val="00761F0E"/>
    <w:rsid w:val="00762C74"/>
    <w:rsid w:val="00786EC0"/>
    <w:rsid w:val="00787033"/>
    <w:rsid w:val="007D1690"/>
    <w:rsid w:val="007E22AD"/>
    <w:rsid w:val="00817416"/>
    <w:rsid w:val="00842779"/>
    <w:rsid w:val="00865F67"/>
    <w:rsid w:val="00881A7B"/>
    <w:rsid w:val="008840E5"/>
    <w:rsid w:val="00887B3E"/>
    <w:rsid w:val="008C2AC6"/>
    <w:rsid w:val="00907D75"/>
    <w:rsid w:val="00930C23"/>
    <w:rsid w:val="0093193B"/>
    <w:rsid w:val="009509D8"/>
    <w:rsid w:val="00950B64"/>
    <w:rsid w:val="00981893"/>
    <w:rsid w:val="009D6E3B"/>
    <w:rsid w:val="00A1687D"/>
    <w:rsid w:val="00A43E52"/>
    <w:rsid w:val="00A4678D"/>
    <w:rsid w:val="00A778C7"/>
    <w:rsid w:val="00AB441E"/>
    <w:rsid w:val="00AB6293"/>
    <w:rsid w:val="00AE0928"/>
    <w:rsid w:val="00AE75FD"/>
    <w:rsid w:val="00AF3B82"/>
    <w:rsid w:val="00B12E95"/>
    <w:rsid w:val="00B22876"/>
    <w:rsid w:val="00B40BC6"/>
    <w:rsid w:val="00B558F0"/>
    <w:rsid w:val="00BD48FE"/>
    <w:rsid w:val="00BD7BD8"/>
    <w:rsid w:val="00BE6ADC"/>
    <w:rsid w:val="00C05BFE"/>
    <w:rsid w:val="00C20C34"/>
    <w:rsid w:val="00C23CD4"/>
    <w:rsid w:val="00C61C0C"/>
    <w:rsid w:val="00C941CB"/>
    <w:rsid w:val="00CC2357"/>
    <w:rsid w:val="00CF071A"/>
    <w:rsid w:val="00D058B8"/>
    <w:rsid w:val="00D55FC2"/>
    <w:rsid w:val="00D56C11"/>
    <w:rsid w:val="00D834A0"/>
    <w:rsid w:val="00D872DF"/>
    <w:rsid w:val="00D91E21"/>
    <w:rsid w:val="00DA7FCD"/>
    <w:rsid w:val="00E04CD7"/>
    <w:rsid w:val="00E365E1"/>
    <w:rsid w:val="00E820A4"/>
    <w:rsid w:val="00E9626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DEAEE"/>
  <w15:chartTrackingRefBased/>
  <w15:docId w15:val="{48B89CC6-8836-4B44-9D39-A860C7001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3F4A"/>
    <w:pPr>
      <w:spacing w:after="240"/>
      <w:ind w:left="567" w:hanging="567"/>
    </w:pPr>
  </w:style>
  <w:style w:type="paragraph" w:customStyle="1" w:styleId="EPComma">
    <w:name w:val="EPComma"/>
    <w:basedOn w:val="Normal"/>
    <w:rsid w:val="00043F4A"/>
    <w:pPr>
      <w:spacing w:before="480" w:after="240"/>
    </w:pPr>
  </w:style>
  <w:style w:type="paragraph" w:styleId="Revision">
    <w:name w:val="Revision"/>
    <w:hidden/>
    <w:uiPriority w:val="99"/>
    <w:semiHidden/>
    <w:rsid w:val="000916CB"/>
    <w:rPr>
      <w:sz w:val="24"/>
      <w:lang w:val="nl-NL"/>
    </w:rPr>
  </w:style>
  <w:style w:type="character" w:styleId="CommentReference">
    <w:name w:val="annotation reference"/>
    <w:basedOn w:val="DefaultParagraphFont"/>
    <w:rsid w:val="00E04CD7"/>
    <w:rPr>
      <w:sz w:val="16"/>
      <w:szCs w:val="16"/>
    </w:rPr>
  </w:style>
  <w:style w:type="paragraph" w:styleId="CommentText">
    <w:name w:val="annotation text"/>
    <w:basedOn w:val="Normal"/>
    <w:link w:val="CommentTextChar"/>
    <w:rsid w:val="00E04CD7"/>
    <w:rPr>
      <w:sz w:val="20"/>
    </w:rPr>
  </w:style>
  <w:style w:type="character" w:customStyle="1" w:styleId="CommentTextChar">
    <w:name w:val="Comment Text Char"/>
    <w:basedOn w:val="DefaultParagraphFont"/>
    <w:link w:val="CommentText"/>
    <w:rsid w:val="00E04CD7"/>
    <w:rPr>
      <w:lang w:val="nl-NL"/>
    </w:rPr>
  </w:style>
  <w:style w:type="paragraph" w:styleId="CommentSubject">
    <w:name w:val="annotation subject"/>
    <w:basedOn w:val="CommentText"/>
    <w:next w:val="CommentText"/>
    <w:link w:val="CommentSubjectChar"/>
    <w:rsid w:val="00E04CD7"/>
    <w:rPr>
      <w:b/>
      <w:bCs/>
    </w:rPr>
  </w:style>
  <w:style w:type="character" w:customStyle="1" w:styleId="CommentSubjectChar">
    <w:name w:val="Comment Subject Char"/>
    <w:basedOn w:val="CommentTextChar"/>
    <w:link w:val="CommentSubject"/>
    <w:rsid w:val="00E04CD7"/>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926</Words>
  <Characters>5065</Characters>
  <Application>Microsoft Office Word</Application>
  <DocSecurity>0</DocSecurity>
  <Lines>107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SWINNEN Hilde</cp:lastModifiedBy>
  <cp:revision>2</cp:revision>
  <cp:lastPrinted>2026-06-24T11:28:00Z</cp:lastPrinted>
  <dcterms:created xsi:type="dcterms:W3CDTF">2026-06-24T11:35:00Z</dcterms:created>
  <dcterms:modified xsi:type="dcterms:W3CDTF">2026-06-24T11:35:00Z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A10-0129/2026</vt:lpwstr>
  </property>
  <property fmtid="{D5CDD505-2E9C-101B-9397-08002B2CF9AE}" pid="4" name="&lt;Type&gt;">
    <vt:lpwstr>RR</vt:lpwstr>
  </property>
</Properties>
</file>