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3B9C" w14:paraId="5A6B1D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242356" w14:textId="77777777" w:rsidR="00751A4A" w:rsidRPr="00333B9C" w:rsidRDefault="005D686C" w:rsidP="0010095E">
            <w:pPr>
              <w:pStyle w:val="EPName"/>
            </w:pPr>
            <w:r w:rsidRPr="00333B9C">
              <w:t>Parlament Europejski</w:t>
            </w:r>
          </w:p>
          <w:p w14:paraId="726C8AB5" w14:textId="77777777" w:rsidR="00751A4A" w:rsidRPr="00333B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3B9C">
              <w:t>2024</w:t>
            </w:r>
            <w:r w:rsidR="00817416" w:rsidRPr="00333B9C">
              <w:t>-202</w:t>
            </w:r>
            <w:r w:rsidRPr="00333B9C">
              <w:t>9</w:t>
            </w:r>
          </w:p>
        </w:tc>
        <w:tc>
          <w:tcPr>
            <w:tcW w:w="2268" w:type="dxa"/>
            <w:shd w:val="clear" w:color="auto" w:fill="auto"/>
          </w:tcPr>
          <w:p w14:paraId="4912343E" w14:textId="77777777" w:rsidR="00751A4A" w:rsidRPr="00333B9C" w:rsidRDefault="00187494" w:rsidP="0010095E">
            <w:pPr>
              <w:pStyle w:val="EPLogo"/>
            </w:pPr>
            <w:r w:rsidRPr="00333B9C">
              <w:rPr>
                <w:noProof/>
                <w:lang w:eastAsia="ja-JP"/>
              </w:rPr>
              <w:drawing>
                <wp:inline distT="0" distB="0" distL="0" distR="0" wp14:anchorId="4C6ADB91" wp14:editId="3A76293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51853F" w14:textId="77777777" w:rsidR="00D058B8" w:rsidRPr="00333B9C" w:rsidRDefault="00D058B8" w:rsidP="004C5D52">
      <w:pPr>
        <w:pStyle w:val="LineTop"/>
      </w:pPr>
    </w:p>
    <w:p w14:paraId="04719848" w14:textId="77777777" w:rsidR="00680577" w:rsidRPr="00333B9C" w:rsidRDefault="005D686C" w:rsidP="00680577">
      <w:pPr>
        <w:pStyle w:val="EPBodyTA1"/>
      </w:pPr>
      <w:r w:rsidRPr="00333B9C">
        <w:t>TEKSTY PRZYJĘTE</w:t>
      </w:r>
    </w:p>
    <w:p w14:paraId="14EBC632" w14:textId="77777777" w:rsidR="00D058B8" w:rsidRPr="00333B9C" w:rsidRDefault="00D058B8" w:rsidP="00D058B8">
      <w:pPr>
        <w:pStyle w:val="LineBottom"/>
      </w:pPr>
    </w:p>
    <w:p w14:paraId="341F1CF2" w14:textId="24415AB9" w:rsidR="005D686C" w:rsidRPr="00333B9C" w:rsidRDefault="005D686C" w:rsidP="005D686C">
      <w:pPr>
        <w:pStyle w:val="ATHeading1"/>
      </w:pPr>
      <w:bookmarkStart w:id="0" w:name="TANumber"/>
      <w:r w:rsidRPr="00333B9C">
        <w:t>P10_</w:t>
      </w:r>
      <w:proofErr w:type="gramStart"/>
      <w:r w:rsidRPr="00333B9C">
        <w:t>TA(</w:t>
      </w:r>
      <w:proofErr w:type="gramEnd"/>
      <w:r w:rsidRPr="00333B9C">
        <w:t>2026)0</w:t>
      </w:r>
      <w:r w:rsidR="00453963">
        <w:t>167</w:t>
      </w:r>
      <w:bookmarkEnd w:id="0"/>
    </w:p>
    <w:p w14:paraId="28A62CE8" w14:textId="77777777" w:rsidR="005D686C" w:rsidRPr="00333B9C" w:rsidRDefault="005D686C" w:rsidP="005D686C">
      <w:pPr>
        <w:pStyle w:val="ATHeading2"/>
      </w:pPr>
      <w:bookmarkStart w:id="1" w:name="title"/>
      <w:r w:rsidRPr="00333B9C">
        <w:t xml:space="preserve">Wniosek o uchylenie immunitetu </w:t>
      </w:r>
      <w:proofErr w:type="spellStart"/>
      <w:r w:rsidRPr="00333B9C">
        <w:t>Alvise</w:t>
      </w:r>
      <w:proofErr w:type="spellEnd"/>
      <w:r w:rsidRPr="00333B9C">
        <w:t xml:space="preserve"> </w:t>
      </w:r>
      <w:proofErr w:type="spellStart"/>
      <w:r w:rsidRPr="00333B9C">
        <w:t>Péreza</w:t>
      </w:r>
      <w:bookmarkEnd w:id="1"/>
      <w:proofErr w:type="spellEnd"/>
    </w:p>
    <w:p w14:paraId="0A159494" w14:textId="77777777" w:rsidR="005D686C" w:rsidRPr="00333B9C" w:rsidRDefault="005D686C" w:rsidP="005D686C">
      <w:pPr>
        <w:rPr>
          <w:i/>
          <w:vanish/>
        </w:rPr>
      </w:pPr>
      <w:r w:rsidRPr="00333B9C">
        <w:rPr>
          <w:i/>
        </w:rPr>
        <w:fldChar w:fldCharType="begin"/>
      </w:r>
      <w:r w:rsidRPr="00333B9C">
        <w:rPr>
          <w:i/>
        </w:rPr>
        <w:instrText xml:space="preserve"> TC"(</w:instrText>
      </w:r>
      <w:bookmarkStart w:id="2" w:name="DocNumber"/>
      <w:r w:rsidRPr="00333B9C">
        <w:rPr>
          <w:i/>
        </w:rPr>
        <w:instrText>A10-0129/2026</w:instrText>
      </w:r>
      <w:bookmarkEnd w:id="2"/>
      <w:r w:rsidRPr="00333B9C">
        <w:rPr>
          <w:i/>
        </w:rPr>
        <w:instrText xml:space="preserve"> - Sprawozdawca: </w:instrText>
      </w:r>
      <w:proofErr w:type="spellStart"/>
      <w:r w:rsidRPr="00333B9C">
        <w:rPr>
          <w:i/>
        </w:rPr>
        <w:instrText>Pascale</w:instrText>
      </w:r>
      <w:proofErr w:type="spellEnd"/>
      <w:r w:rsidRPr="00333B9C">
        <w:rPr>
          <w:i/>
        </w:rPr>
        <w:instrText xml:space="preserve"> Piera)"\l3 \n&gt; \* MERGEFORMAT </w:instrText>
      </w:r>
      <w:r w:rsidRPr="00333B9C">
        <w:rPr>
          <w:i/>
        </w:rPr>
        <w:fldChar w:fldCharType="end"/>
      </w:r>
    </w:p>
    <w:p w14:paraId="78F1B280" w14:textId="77777777" w:rsidR="005D686C" w:rsidRPr="00333B9C" w:rsidRDefault="005D686C" w:rsidP="005D686C">
      <w:pPr>
        <w:rPr>
          <w:vanish/>
        </w:rPr>
      </w:pPr>
      <w:bookmarkStart w:id="3" w:name="Commission"/>
      <w:r w:rsidRPr="00333B9C">
        <w:rPr>
          <w:vanish/>
        </w:rPr>
        <w:t>Komisja Prawna</w:t>
      </w:r>
      <w:bookmarkEnd w:id="3"/>
    </w:p>
    <w:p w14:paraId="6B59D64D" w14:textId="77777777" w:rsidR="005D686C" w:rsidRPr="00333B9C" w:rsidRDefault="005D686C" w:rsidP="005D686C">
      <w:pPr>
        <w:rPr>
          <w:vanish/>
        </w:rPr>
      </w:pPr>
      <w:bookmarkStart w:id="4" w:name="PE"/>
      <w:r w:rsidRPr="00333B9C">
        <w:rPr>
          <w:vanish/>
        </w:rPr>
        <w:t>PE785.310</w:t>
      </w:r>
      <w:bookmarkEnd w:id="4"/>
    </w:p>
    <w:p w14:paraId="707F4746" w14:textId="47047079" w:rsidR="005D686C" w:rsidRPr="00333B9C" w:rsidRDefault="005D686C" w:rsidP="005D686C">
      <w:pPr>
        <w:pStyle w:val="ATHeading3"/>
      </w:pPr>
      <w:bookmarkStart w:id="5" w:name="Sujet"/>
      <w:r w:rsidRPr="00333B9C">
        <w:t xml:space="preserve">Decyzja Parlamentu Europejskiego z dnia </w:t>
      </w:r>
      <w:r w:rsidR="00F839DC">
        <w:t>19 maja</w:t>
      </w:r>
      <w:r w:rsidRPr="00333B9C">
        <w:t xml:space="preserve"> 2026 r. w sprawie wniosku o uchylenie immunitetu </w:t>
      </w:r>
      <w:proofErr w:type="spellStart"/>
      <w:r w:rsidRPr="00333B9C">
        <w:t>Alvis</w:t>
      </w:r>
      <w:r w:rsidR="00D11597">
        <w:t>e</w:t>
      </w:r>
      <w:proofErr w:type="spellEnd"/>
      <w:r w:rsidRPr="00333B9C">
        <w:t xml:space="preserve"> </w:t>
      </w:r>
      <w:proofErr w:type="spellStart"/>
      <w:r w:rsidRPr="00333B9C">
        <w:t>Péreza</w:t>
      </w:r>
      <w:bookmarkEnd w:id="5"/>
      <w:proofErr w:type="spellEnd"/>
      <w:r w:rsidRPr="00333B9C">
        <w:t xml:space="preserve"> </w:t>
      </w:r>
      <w:bookmarkStart w:id="6" w:name="References"/>
      <w:r w:rsidRPr="00333B9C">
        <w:t>(2025/2236(IMM))</w:t>
      </w:r>
      <w:bookmarkEnd w:id="6"/>
    </w:p>
    <w:p w14:paraId="655A992C" w14:textId="77777777" w:rsidR="00787585" w:rsidRPr="00333B9C" w:rsidRDefault="00787585" w:rsidP="00787585">
      <w:pPr>
        <w:pStyle w:val="EPComma"/>
      </w:pPr>
      <w:bookmarkStart w:id="7" w:name="TextBodyBegin"/>
      <w:bookmarkEnd w:id="7"/>
      <w:r w:rsidRPr="00333B9C">
        <w:rPr>
          <w:i/>
        </w:rPr>
        <w:t>Parlament Europejski</w:t>
      </w:r>
      <w:r w:rsidRPr="00333B9C">
        <w:t>,</w:t>
      </w:r>
    </w:p>
    <w:p w14:paraId="5FB32BD6" w14:textId="72BB9043" w:rsidR="00787585" w:rsidRPr="00333B9C" w:rsidRDefault="00787585" w:rsidP="00787585">
      <w:pPr>
        <w:pStyle w:val="NormalHanging12a"/>
      </w:pPr>
      <w:r w:rsidRPr="00333B9C">
        <w:t>–</w:t>
      </w:r>
      <w:r w:rsidRPr="00333B9C">
        <w:tab/>
        <w:t xml:space="preserve">uwzględniając ogłoszony na posiedzeniu plenarnym 12 listopada 2025 r. wniosek o uchylenie immunitetu </w:t>
      </w:r>
      <w:proofErr w:type="spellStart"/>
      <w:r w:rsidRPr="00333B9C">
        <w:t>Alvise</w:t>
      </w:r>
      <w:proofErr w:type="spellEnd"/>
      <w:r w:rsidRPr="00333B9C">
        <w:t xml:space="preserve"> </w:t>
      </w:r>
      <w:proofErr w:type="spellStart"/>
      <w:r w:rsidRPr="00333B9C">
        <w:t>Pérez</w:t>
      </w:r>
      <w:r w:rsidR="00D11597">
        <w:t>a</w:t>
      </w:r>
      <w:proofErr w:type="spellEnd"/>
      <w:r w:rsidR="00D11597">
        <w:t xml:space="preserve"> (</w:t>
      </w:r>
      <w:r w:rsidR="00D11597" w:rsidRPr="00333B9C">
        <w:t xml:space="preserve">Luisa </w:t>
      </w:r>
      <w:proofErr w:type="spellStart"/>
      <w:r w:rsidR="00D11597" w:rsidRPr="00333B9C">
        <w:t>Péreza</w:t>
      </w:r>
      <w:proofErr w:type="spellEnd"/>
      <w:r w:rsidR="00D11597" w:rsidRPr="00333B9C">
        <w:t xml:space="preserve"> Fernandeza</w:t>
      </w:r>
      <w:r w:rsidR="00D11597">
        <w:t>)</w:t>
      </w:r>
      <w:r w:rsidRPr="00333B9C">
        <w:t>, przekazany</w:t>
      </w:r>
      <w:r w:rsidR="00D11597">
        <w:t xml:space="preserve"> pismem </w:t>
      </w:r>
      <w:r w:rsidR="00A3212F">
        <w:t xml:space="preserve">z </w:t>
      </w:r>
      <w:r w:rsidR="00D11597">
        <w:t>dnia</w:t>
      </w:r>
      <w:r w:rsidRPr="00333B9C">
        <w:t xml:space="preserve"> 31 października 2025 r. przez Sąd Najwyższy Hiszpanii, </w:t>
      </w:r>
      <w:r w:rsidR="00D11597">
        <w:t>dotyczący</w:t>
      </w:r>
      <w:r w:rsidRPr="00333B9C">
        <w:t xml:space="preserve"> postępowani</w:t>
      </w:r>
      <w:r w:rsidR="00D11597">
        <w:t>a</w:t>
      </w:r>
      <w:r w:rsidRPr="00333B9C">
        <w:t xml:space="preserve"> karne</w:t>
      </w:r>
      <w:r w:rsidR="00D11597">
        <w:t>go</w:t>
      </w:r>
      <w:r w:rsidRPr="00333B9C">
        <w:t>,</w:t>
      </w:r>
    </w:p>
    <w:p w14:paraId="77A59E6F" w14:textId="77777777" w:rsidR="00787585" w:rsidRPr="00333B9C" w:rsidRDefault="00787585" w:rsidP="00787585">
      <w:pPr>
        <w:pStyle w:val="NormalHanging12a"/>
      </w:pPr>
      <w:r w:rsidRPr="00333B9C">
        <w:t>–</w:t>
      </w:r>
      <w:r w:rsidRPr="00333B9C">
        <w:tab/>
        <w:t xml:space="preserve">uwzględniając to, że uznano, iż </w:t>
      </w:r>
      <w:proofErr w:type="spellStart"/>
      <w:r w:rsidRPr="00333B9C">
        <w:t>Alvise</w:t>
      </w:r>
      <w:proofErr w:type="spellEnd"/>
      <w:r w:rsidRPr="00333B9C">
        <w:t xml:space="preserve"> </w:t>
      </w:r>
      <w:proofErr w:type="spellStart"/>
      <w:r w:rsidRPr="00333B9C">
        <w:t>Pérez</w:t>
      </w:r>
      <w:proofErr w:type="spellEnd"/>
      <w:r w:rsidRPr="00333B9C">
        <w:t xml:space="preserve"> zrzekł się prawa do udzielenia wyjaśnień zgodnie z art. 9 ust. 6 Regulaminu,</w:t>
      </w:r>
    </w:p>
    <w:p w14:paraId="27BC0588" w14:textId="77777777" w:rsidR="00787585" w:rsidRPr="00333B9C" w:rsidRDefault="00787585" w:rsidP="00787585">
      <w:pPr>
        <w:pStyle w:val="NormalHanging12a"/>
      </w:pPr>
      <w:r w:rsidRPr="00333B9C">
        <w:t>–</w:t>
      </w:r>
      <w:r w:rsidRPr="00333B9C">
        <w:tab/>
        <w:t>uwzględniając art. 8 i 9 Protokołu nr 7 w sprawie przywilejów i immunitetów Unii Europejskiej, jak również art. 6 ust. 2 Aktu dotyczącego wyboru członków Parlamentu Europejskiego w powszechnych wyborach bezpośrednich z 20 września 1976 r.,</w:t>
      </w:r>
    </w:p>
    <w:p w14:paraId="732CF9F6" w14:textId="77777777" w:rsidR="00787585" w:rsidRPr="00333B9C" w:rsidRDefault="00787585" w:rsidP="00787585">
      <w:pPr>
        <w:pStyle w:val="NormalHanging12a"/>
      </w:pPr>
      <w:r w:rsidRPr="00333B9C">
        <w:t>–</w:t>
      </w:r>
      <w:r w:rsidRPr="00333B9C">
        <w:tab/>
        <w:t>uwzględniając wyroki wydane przez Trybunał Sprawiedliwości Unii Europejskiej 21 października 2008 r., 19 marca 2010 r., 6 września 2011 r., 17 stycznia 2013 r. i 19 grudnia 2019 r.</w:t>
      </w:r>
      <w:r w:rsidRPr="00333B9C">
        <w:rPr>
          <w:vertAlign w:val="superscript"/>
        </w:rPr>
        <w:footnoteReference w:id="1"/>
      </w:r>
      <w:r w:rsidRPr="00333B9C">
        <w:t>,</w:t>
      </w:r>
    </w:p>
    <w:p w14:paraId="1F7E3E1E" w14:textId="77777777" w:rsidR="00787585" w:rsidRPr="00333B9C" w:rsidRDefault="00787585" w:rsidP="00787585">
      <w:pPr>
        <w:pStyle w:val="NormalHanging12a"/>
      </w:pPr>
      <w:r w:rsidRPr="00333B9C">
        <w:t>–</w:t>
      </w:r>
      <w:r w:rsidRPr="00333B9C">
        <w:tab/>
        <w:t>uwzględniając art. 71 ust. 1 i 2 konstytucji Hiszpanii,</w:t>
      </w:r>
    </w:p>
    <w:p w14:paraId="4921C02B" w14:textId="77777777" w:rsidR="00787585" w:rsidRPr="00333B9C" w:rsidRDefault="00787585" w:rsidP="00787585">
      <w:pPr>
        <w:pStyle w:val="NormalHanging12a"/>
      </w:pPr>
      <w:r w:rsidRPr="00333B9C">
        <w:t>–</w:t>
      </w:r>
      <w:r w:rsidRPr="00333B9C">
        <w:tab/>
        <w:t>uwzględniając art. 5 ust. 2, art. 6 ust. 1 oraz art. 9 Regulaminu,</w:t>
      </w:r>
    </w:p>
    <w:p w14:paraId="2ED5FF19" w14:textId="77777777" w:rsidR="00787585" w:rsidRPr="00333B9C" w:rsidRDefault="00787585" w:rsidP="00787585">
      <w:pPr>
        <w:pStyle w:val="NormalHanging12a"/>
      </w:pPr>
      <w:r w:rsidRPr="00333B9C">
        <w:t>–</w:t>
      </w:r>
      <w:r w:rsidRPr="00333B9C">
        <w:tab/>
        <w:t>uwzględniając sprawozdanie Komisji Prawnej (A10-0129/2026),</w:t>
      </w:r>
    </w:p>
    <w:p w14:paraId="62A834E0" w14:textId="1BA5465A" w:rsidR="00787585" w:rsidRPr="00333B9C" w:rsidRDefault="00787585" w:rsidP="00787585">
      <w:pPr>
        <w:pStyle w:val="NormalHanging12a"/>
      </w:pPr>
      <w:r w:rsidRPr="00333B9C">
        <w:lastRenderedPageBreak/>
        <w:t>A.</w:t>
      </w:r>
      <w:r w:rsidRPr="00333B9C">
        <w:tab/>
        <w:t xml:space="preserve">mając na uwadze, że pismem z 31 października 2025 r. prezes Sądu Najwyższego Hiszpanii przekazał wniosek o uchylenie immunitetu </w:t>
      </w:r>
      <w:bookmarkStart w:id="8" w:name="_Hlk222405545"/>
      <w:r w:rsidRPr="00333B9C">
        <w:t xml:space="preserve">wybranego w Hiszpanii posła do Parlamentu Europejskiego </w:t>
      </w:r>
      <w:bookmarkEnd w:id="8"/>
      <w:proofErr w:type="spellStart"/>
      <w:r w:rsidRPr="00333B9C">
        <w:t>Alvise</w:t>
      </w:r>
      <w:proofErr w:type="spellEnd"/>
      <w:r w:rsidRPr="00333B9C">
        <w:t xml:space="preserve"> </w:t>
      </w:r>
      <w:proofErr w:type="spellStart"/>
      <w:r w:rsidRPr="00333B9C">
        <w:t>Péreza</w:t>
      </w:r>
      <w:proofErr w:type="spellEnd"/>
      <w:r w:rsidRPr="00333B9C">
        <w:t xml:space="preserve"> w związku z zarzutami popełnienia różnych przestępstw w 2024 r.;</w:t>
      </w:r>
    </w:p>
    <w:p w14:paraId="6A016A90" w14:textId="53793709" w:rsidR="00787585" w:rsidRPr="00333B9C" w:rsidRDefault="00787585" w:rsidP="00787585">
      <w:pPr>
        <w:pStyle w:val="NormalHanging12a"/>
      </w:pPr>
      <w:r w:rsidRPr="00333B9C">
        <w:t>B.</w:t>
      </w:r>
      <w:r w:rsidRPr="00333B9C">
        <w:tab/>
        <w:t>mając na uwadze, że według informacji podanych we wniosku w okresie od 7 kwietnia</w:t>
      </w:r>
      <w:r w:rsidR="00D11597">
        <w:t xml:space="preserve"> 2024 r.</w:t>
      </w:r>
      <w:r w:rsidRPr="00333B9C">
        <w:t xml:space="preserve"> do 27 maja 2024 r. </w:t>
      </w:r>
      <w:proofErr w:type="spellStart"/>
      <w:r w:rsidRPr="00333B9C">
        <w:t>Alvise</w:t>
      </w:r>
      <w:proofErr w:type="spellEnd"/>
      <w:r w:rsidRPr="00333B9C">
        <w:t xml:space="preserve"> </w:t>
      </w:r>
      <w:proofErr w:type="spellStart"/>
      <w:r w:rsidRPr="00333B9C">
        <w:t>Pérez</w:t>
      </w:r>
      <w:proofErr w:type="spellEnd"/>
      <w:r w:rsidRPr="00333B9C">
        <w:t xml:space="preserve"> miał mieć kontakty z doradcą działającym w imieniu osób fizycznych i prawnych, a celem tych kontaktów było uzyskanie korzyści gospodarczych za pomocą systemów optymalizacji podatkowej, by stworzyć „portfel” do pozyskiwania środków na finansowanie kampanii wyborczej partii politycznej założonej przez </w:t>
      </w:r>
      <w:proofErr w:type="spellStart"/>
      <w:r w:rsidRPr="00333B9C">
        <w:t>Alvise</w:t>
      </w:r>
      <w:proofErr w:type="spellEnd"/>
      <w:r w:rsidRPr="00333B9C">
        <w:t xml:space="preserve"> </w:t>
      </w:r>
      <w:proofErr w:type="spellStart"/>
      <w:r w:rsidRPr="00333B9C">
        <w:t>Péreza</w:t>
      </w:r>
      <w:proofErr w:type="spellEnd"/>
      <w:r w:rsidRPr="00333B9C">
        <w:t>, zwanej „</w:t>
      </w:r>
      <w:r w:rsidRPr="00D11597">
        <w:rPr>
          <w:i/>
          <w:iCs/>
        </w:rPr>
        <w:t xml:space="preserve">Se </w:t>
      </w:r>
      <w:proofErr w:type="spellStart"/>
      <w:r w:rsidRPr="00D11597">
        <w:rPr>
          <w:i/>
          <w:iCs/>
        </w:rPr>
        <w:t>Acabó</w:t>
      </w:r>
      <w:proofErr w:type="spellEnd"/>
      <w:r w:rsidRPr="00D11597">
        <w:rPr>
          <w:i/>
          <w:iCs/>
        </w:rPr>
        <w:t xml:space="preserve"> La Fiesta</w:t>
      </w:r>
      <w:r w:rsidRPr="00333B9C">
        <w:t xml:space="preserve">” [Impreza się Skończyła, SALF]; mając na uwadze, że – również według informacji podanych we wniosku – doradca, który utworzył ten „portfel”, wpłacił </w:t>
      </w:r>
      <w:proofErr w:type="spellStart"/>
      <w:r w:rsidRPr="00333B9C">
        <w:t>Alvise</w:t>
      </w:r>
      <w:proofErr w:type="spellEnd"/>
      <w:r w:rsidRPr="00333B9C">
        <w:t xml:space="preserve"> </w:t>
      </w:r>
      <w:proofErr w:type="spellStart"/>
      <w:r w:rsidRPr="00333B9C">
        <w:t>Pérezowi</w:t>
      </w:r>
      <w:proofErr w:type="spellEnd"/>
      <w:r w:rsidRPr="00333B9C">
        <w:t xml:space="preserve"> 100 000 EUR jako zaliczkę dla tej partii politycznej przed wyborami europejskimi; mając na uwadze, że zarzucane mu czyny mogą wypełniać znamiona przestępstwa nielegalnego finansowania partii politycznej </w:t>
      </w:r>
      <w:r w:rsidR="00D11597">
        <w:t>na podstawie</w:t>
      </w:r>
      <w:r w:rsidRPr="00333B9C">
        <w:t xml:space="preserve"> art. 304a ust. 1 hiszpańskiego kodeksu karnego oraz przestępstwa przeciwko wyborom </w:t>
      </w:r>
      <w:r w:rsidR="00D11597">
        <w:t>na podstawie</w:t>
      </w:r>
      <w:r w:rsidRPr="00333B9C">
        <w:t xml:space="preserve"> art. 149 ust. 1 </w:t>
      </w:r>
      <w:r w:rsidR="00D11597">
        <w:t xml:space="preserve">hiszpańskiej </w:t>
      </w:r>
      <w:r w:rsidRPr="00333B9C">
        <w:t>ustawy organicznej nr 5/1985 z 19 czerwca 1985 r. o powszechnym systemie wyborczym; mając na uwadze, że postanowieniem z 20 września 2024 r. wszczęto postępowanie przygotowawcze;</w:t>
      </w:r>
    </w:p>
    <w:p w14:paraId="5361F373" w14:textId="77777777" w:rsidR="00787585" w:rsidRPr="00333B9C" w:rsidRDefault="00787585" w:rsidP="00787585">
      <w:pPr>
        <w:pStyle w:val="NormalHanging12a"/>
      </w:pPr>
      <w:r w:rsidRPr="00333B9C">
        <w:t>C.</w:t>
      </w:r>
      <w:r w:rsidRPr="00333B9C">
        <w:tab/>
        <w:t xml:space="preserve">mając na uwadze, że </w:t>
      </w:r>
      <w:proofErr w:type="spellStart"/>
      <w:r w:rsidRPr="00333B9C">
        <w:t>Alvise</w:t>
      </w:r>
      <w:proofErr w:type="spellEnd"/>
      <w:r w:rsidRPr="00333B9C">
        <w:t xml:space="preserve"> </w:t>
      </w:r>
      <w:proofErr w:type="spellStart"/>
      <w:r w:rsidRPr="00333B9C">
        <w:t>Pérez</w:t>
      </w:r>
      <w:proofErr w:type="spellEnd"/>
      <w:r w:rsidRPr="00333B9C">
        <w:t xml:space="preserve"> został wybrany do Parlamentu Europejskiego w wyborach europejskich w czerwcu 2024 r. i w czasie popełniania zarzucanych mu czynów nie był posłem do Parlamentu Europejskiego;</w:t>
      </w:r>
    </w:p>
    <w:p w14:paraId="6FC55426" w14:textId="77777777" w:rsidR="00787585" w:rsidRPr="00333B9C" w:rsidRDefault="00787585" w:rsidP="00787585">
      <w:pPr>
        <w:pStyle w:val="NormalHanging12a"/>
      </w:pPr>
      <w:r w:rsidRPr="00333B9C">
        <w:t>D.</w:t>
      </w:r>
      <w:r w:rsidRPr="00333B9C">
        <w:tab/>
        <w:t xml:space="preserve">mając na uwadze, że zarzucane mu czyny i późniejszy wniosek o uchylenie immunitetu nie dotyczą opinii wyrażonej przez </w:t>
      </w:r>
      <w:proofErr w:type="spellStart"/>
      <w:r w:rsidRPr="00333B9C">
        <w:t>Alvisego</w:t>
      </w:r>
      <w:proofErr w:type="spellEnd"/>
      <w:r w:rsidRPr="00333B9C">
        <w:t xml:space="preserve"> </w:t>
      </w:r>
      <w:proofErr w:type="spellStart"/>
      <w:r w:rsidRPr="00333B9C">
        <w:t>Péreza</w:t>
      </w:r>
      <w:proofErr w:type="spellEnd"/>
      <w:r w:rsidRPr="00333B9C">
        <w:t xml:space="preserve"> ani stanowiska zajętego przez niego w głosowaniu w czasie wykonywania obowiązków służbowych w rozumieniu art. 8 Protokołu nr 7 w sprawie przywilejów i immunitetów Unii Europejskiej;</w:t>
      </w:r>
    </w:p>
    <w:p w14:paraId="003A19B0" w14:textId="33889CB3" w:rsidR="00787585" w:rsidRPr="00333B9C" w:rsidRDefault="00787585" w:rsidP="00787585">
      <w:pPr>
        <w:pStyle w:val="NormalHanging12a"/>
      </w:pPr>
      <w:r w:rsidRPr="00333B9C">
        <w:t>E.</w:t>
      </w:r>
      <w:r w:rsidRPr="00333B9C">
        <w:tab/>
        <w:t>mając na uwadze, że zgodnie z art. 9 akapit pierwszy lit. a) Protokołu nr 7 w sprawie przywilejów i immunitetów Unii Europejskiej podczas sesji Parlamentu Europejskiego jego posłowie korzystają na terytorium swoich państw</w:t>
      </w:r>
      <w:r w:rsidR="00D11597">
        <w:t xml:space="preserve"> członkowskich</w:t>
      </w:r>
      <w:r w:rsidRPr="00333B9C">
        <w:t xml:space="preserve"> z immunitetów przyznawanych członkom parlamentu ich państwa</w:t>
      </w:r>
      <w:r w:rsidR="00D11597">
        <w:t xml:space="preserve"> członkowskiego</w:t>
      </w:r>
      <w:r w:rsidRPr="00333B9C">
        <w:t>;</w:t>
      </w:r>
    </w:p>
    <w:p w14:paraId="4FF82D5C" w14:textId="77777777" w:rsidR="00787585" w:rsidRPr="00333B9C" w:rsidRDefault="00787585" w:rsidP="00787585">
      <w:pPr>
        <w:pStyle w:val="NormalHanging12a"/>
      </w:pPr>
      <w:r w:rsidRPr="00333B9C">
        <w:t>F.</w:t>
      </w:r>
      <w:r w:rsidRPr="00333B9C">
        <w:tab/>
        <w:t>mając na uwadze, że art. 71 ust. 1 i 2 konstytucji hiszpańskiej stanowią, iż:</w:t>
      </w:r>
    </w:p>
    <w:p w14:paraId="7EF0F3A4" w14:textId="4758A99D" w:rsidR="00787585" w:rsidRPr="00333B9C" w:rsidRDefault="008E748F" w:rsidP="00D11597">
      <w:pPr>
        <w:pStyle w:val="NormalHanging12a"/>
        <w:ind w:left="1134"/>
        <w:rPr>
          <w:i/>
        </w:rPr>
      </w:pPr>
      <w:r w:rsidRPr="009B5ECC">
        <w:rPr>
          <w:iCs/>
        </w:rPr>
        <w:t>„</w:t>
      </w:r>
      <w:r w:rsidR="00787585" w:rsidRPr="00333B9C">
        <w:rPr>
          <w:i/>
        </w:rPr>
        <w:t>1.</w:t>
      </w:r>
      <w:r w:rsidR="00787585" w:rsidRPr="00333B9C">
        <w:rPr>
          <w:i/>
        </w:rPr>
        <w:tab/>
        <w:t>Posłowie i senatorowie korzystają z nietykalności w odniesieniu do opinii wyrażonych przy wykonywaniu ich funkcji.</w:t>
      </w:r>
    </w:p>
    <w:p w14:paraId="7CBFE544" w14:textId="48DBC9C4" w:rsidR="00787585" w:rsidRPr="00333B9C" w:rsidRDefault="00787585" w:rsidP="00D11597">
      <w:pPr>
        <w:pStyle w:val="NormalHanging12a"/>
        <w:ind w:left="1134"/>
      </w:pPr>
      <w:r w:rsidRPr="00333B9C">
        <w:rPr>
          <w:i/>
        </w:rPr>
        <w:t>2.</w:t>
      </w:r>
      <w:r w:rsidRPr="00333B9C">
        <w:rPr>
          <w:i/>
        </w:rPr>
        <w:tab/>
        <w:t>W trakcie pełnienia swojego mandatu posłowie i senatorowie korzystają również z immunitetu i mogą zostać zatrzymani jedynie w przypadku ujęcia na gorącym uczynku. Nie mogą być postawieni w stan oskarżenia ani osądzeni bez uprzedniej zgody odpowiedniej izby</w:t>
      </w:r>
      <w:r w:rsidR="009B5ECC">
        <w:rPr>
          <w:i/>
        </w:rPr>
        <w:t>.</w:t>
      </w:r>
      <w:r w:rsidR="009B5ECC" w:rsidRPr="009B5ECC">
        <w:rPr>
          <w:iCs/>
        </w:rPr>
        <w:t>”</w:t>
      </w:r>
      <w:r w:rsidRPr="009B5ECC">
        <w:rPr>
          <w:iCs/>
        </w:rPr>
        <w:t>;</w:t>
      </w:r>
    </w:p>
    <w:p w14:paraId="68CB6A4C" w14:textId="398B0366" w:rsidR="00787585" w:rsidRPr="00333B9C" w:rsidRDefault="00787585" w:rsidP="00787585">
      <w:pPr>
        <w:pStyle w:val="NormalHanging12a"/>
      </w:pPr>
      <w:r w:rsidRPr="00333B9C">
        <w:t>G.</w:t>
      </w:r>
      <w:r w:rsidRPr="00333B9C">
        <w:tab/>
        <w:t xml:space="preserve">mając na uwadze, że immunitet </w:t>
      </w:r>
      <w:bookmarkStart w:id="9" w:name="_Hlk222405989"/>
      <w:r w:rsidRPr="00333B9C">
        <w:t>określony w protokole nr 7 w sprawie przywilejów i immunitetów Unii Europejskiej</w:t>
      </w:r>
      <w:bookmarkEnd w:id="9"/>
      <w:r w:rsidRPr="00333B9C">
        <w:t xml:space="preserve"> ma chronić Parlament i </w:t>
      </w:r>
      <w:r w:rsidR="00D11597">
        <w:t xml:space="preserve">jego </w:t>
      </w:r>
      <w:r w:rsidRPr="00333B9C">
        <w:t>posłów przed postępowaniami sądowymi w związku z działaniami podejmowanymi w ramach wykonywania obowiązków parlamentarnych, których nie da się oddzielić od tych obowiązków;</w:t>
      </w:r>
    </w:p>
    <w:p w14:paraId="5EB9C48B" w14:textId="77777777" w:rsidR="00787585" w:rsidRPr="00333B9C" w:rsidRDefault="00787585" w:rsidP="00787585">
      <w:pPr>
        <w:pStyle w:val="NormalHanging12a"/>
      </w:pPr>
      <w:r w:rsidRPr="00333B9C">
        <w:lastRenderedPageBreak/>
        <w:t>H.</w:t>
      </w:r>
      <w:r w:rsidRPr="00333B9C">
        <w:tab/>
        <w:t>mając na uwadze, że zgodnie z art. 5 ust. 2 Regulaminu immunitet parlamentarny nie jest osobistym przywilejem posła, lecz gwarancją niezależności Parlamentu jako instytucji oraz jego członków;</w:t>
      </w:r>
    </w:p>
    <w:p w14:paraId="17B5E7A8" w14:textId="47CCA1D8" w:rsidR="00787585" w:rsidRPr="00333B9C" w:rsidRDefault="00787585" w:rsidP="00787585">
      <w:pPr>
        <w:pStyle w:val="NormalHanging12a"/>
      </w:pPr>
      <w:r w:rsidRPr="00333B9C">
        <w:t>I.</w:t>
      </w:r>
      <w:r w:rsidRPr="00333B9C">
        <w:tab/>
        <w:t xml:space="preserve">mając na uwadze, że w tej sprawie Parlament nie znalazł dowodów wskazujących na zaistnienie </w:t>
      </w:r>
      <w:proofErr w:type="spellStart"/>
      <w:r w:rsidRPr="00333B9C">
        <w:rPr>
          <w:i/>
          <w:iCs/>
        </w:rPr>
        <w:t>fumus</w:t>
      </w:r>
      <w:proofErr w:type="spellEnd"/>
      <w:r w:rsidRPr="00333B9C">
        <w:rPr>
          <w:i/>
          <w:iCs/>
        </w:rPr>
        <w:t xml:space="preserve"> </w:t>
      </w:r>
      <w:proofErr w:type="spellStart"/>
      <w:r w:rsidRPr="00333B9C">
        <w:rPr>
          <w:i/>
          <w:iCs/>
        </w:rPr>
        <w:t>persecutionis</w:t>
      </w:r>
      <w:proofErr w:type="spellEnd"/>
      <w:r w:rsidRPr="00333B9C">
        <w:t xml:space="preserve">, </w:t>
      </w:r>
      <w:r w:rsidR="00D11597" w:rsidRPr="00D11597">
        <w:t xml:space="preserve">a zatem nic nie wskazuje na to, aby zamiarem leżącym u podstaw postępowania sądowego było zaszkodzenie działalności politycznej </w:t>
      </w:r>
      <w:proofErr w:type="spellStart"/>
      <w:r w:rsidR="00D11597" w:rsidRPr="00D11597">
        <w:t>Alvise</w:t>
      </w:r>
      <w:proofErr w:type="spellEnd"/>
      <w:r w:rsidR="00D11597" w:rsidRPr="00D11597">
        <w:t xml:space="preserve"> </w:t>
      </w:r>
      <w:proofErr w:type="spellStart"/>
      <w:r w:rsidR="00D11597" w:rsidRPr="00D11597">
        <w:t>Péreza</w:t>
      </w:r>
      <w:proofErr w:type="spellEnd"/>
      <w:r w:rsidR="00D11597" w:rsidRPr="00D11597">
        <w:t xml:space="preserve"> jako posła do Parlamentu Europejskiego a tym samym zaszkodzenie niezależności Parlamentu Europejskiego</w:t>
      </w:r>
      <w:r w:rsidRPr="00333B9C">
        <w:t>;</w:t>
      </w:r>
    </w:p>
    <w:p w14:paraId="58D953CE" w14:textId="5C576434" w:rsidR="00E365E1" w:rsidRDefault="00787585" w:rsidP="00F839DC">
      <w:pPr>
        <w:pStyle w:val="NormalHanging12a"/>
      </w:pPr>
      <w:r w:rsidRPr="00333B9C">
        <w:t>J.</w:t>
      </w:r>
      <w:r w:rsidRPr="00333B9C">
        <w:tab/>
        <w:t>mając na uwadze, że Parlamentu nie można uznawać za sąd, a posła nie można w procedurze uchylenia immunitetu uznać za oskarżonego</w:t>
      </w:r>
      <w:r w:rsidR="00453963" w:rsidRPr="00C80C17">
        <w:rPr>
          <w:vertAlign w:val="superscript"/>
        </w:rPr>
        <w:footnoteReference w:id="2"/>
      </w:r>
      <w:r w:rsidR="00F839DC">
        <w:t>;</w:t>
      </w:r>
    </w:p>
    <w:p w14:paraId="06FACD13" w14:textId="1FA6C51E" w:rsidR="00F839DC" w:rsidRPr="00342D14" w:rsidRDefault="00F839DC" w:rsidP="00F839DC">
      <w:pPr>
        <w:pStyle w:val="NormalHanging12a"/>
      </w:pPr>
      <w:r w:rsidRPr="00342D14">
        <w:t>1.</w:t>
      </w:r>
      <w:r w:rsidRPr="00342D14">
        <w:tab/>
        <w:t xml:space="preserve">postanawia uchylić immunitet </w:t>
      </w:r>
      <w:proofErr w:type="spellStart"/>
      <w:r w:rsidRPr="00342D14">
        <w:t>Alvise</w:t>
      </w:r>
      <w:proofErr w:type="spellEnd"/>
      <w:r w:rsidRPr="00342D14">
        <w:t xml:space="preserve"> </w:t>
      </w:r>
      <w:proofErr w:type="spellStart"/>
      <w:r w:rsidRPr="00342D14">
        <w:t>Péreza</w:t>
      </w:r>
      <w:proofErr w:type="spellEnd"/>
      <w:r w:rsidRPr="00342D14">
        <w:t>;</w:t>
      </w:r>
    </w:p>
    <w:p w14:paraId="5E9A01B4" w14:textId="183784D5" w:rsidR="00F839DC" w:rsidRPr="00342D14" w:rsidRDefault="00F839DC" w:rsidP="00F839DC">
      <w:pPr>
        <w:pStyle w:val="NormalHanging12a"/>
      </w:pPr>
      <w:r w:rsidRPr="00342D14">
        <w:t>2.</w:t>
      </w:r>
      <w:r w:rsidRPr="00342D14">
        <w:tab/>
        <w:t>zobowiązuje swoją przewodniczącą do natychmiastowego przekazania tej decyzji i sprawozdania właściwej komisji</w:t>
      </w:r>
      <w:r w:rsidR="00D11597">
        <w:t xml:space="preserve"> właściwemu organowi</w:t>
      </w:r>
      <w:r w:rsidRPr="00342D14">
        <w:t xml:space="preserve"> </w:t>
      </w:r>
      <w:r w:rsidR="00D11597">
        <w:t>Królestw</w:t>
      </w:r>
      <w:r w:rsidR="00A3212F">
        <w:t>a</w:t>
      </w:r>
      <w:r w:rsidR="00D11597">
        <w:t xml:space="preserve"> Hiszpanii</w:t>
      </w:r>
      <w:r w:rsidRPr="00342D14">
        <w:t xml:space="preserve"> i </w:t>
      </w:r>
      <w:proofErr w:type="spellStart"/>
      <w:r w:rsidRPr="00342D14">
        <w:t>Alvise</w:t>
      </w:r>
      <w:proofErr w:type="spellEnd"/>
      <w:r w:rsidRPr="00342D14">
        <w:t xml:space="preserve"> </w:t>
      </w:r>
      <w:proofErr w:type="spellStart"/>
      <w:r w:rsidRPr="00342D14">
        <w:t>Pérezowi</w:t>
      </w:r>
      <w:proofErr w:type="spellEnd"/>
      <w:r w:rsidRPr="00342D14">
        <w:t xml:space="preserve">. </w:t>
      </w:r>
    </w:p>
    <w:p w14:paraId="0F0FF5CC" w14:textId="77777777" w:rsidR="00F839DC" w:rsidRPr="00333B9C" w:rsidRDefault="00F839DC" w:rsidP="00F839DC">
      <w:pPr>
        <w:pStyle w:val="NormalHanging12a"/>
      </w:pPr>
    </w:p>
    <w:sectPr w:rsidR="00F839DC" w:rsidRPr="00333B9C" w:rsidSect="00333B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4CC07" w14:textId="77777777" w:rsidR="005D686C" w:rsidRPr="00333B9C" w:rsidRDefault="005D686C">
      <w:r w:rsidRPr="00333B9C">
        <w:separator/>
      </w:r>
    </w:p>
  </w:endnote>
  <w:endnote w:type="continuationSeparator" w:id="0">
    <w:p w14:paraId="4D5386DB" w14:textId="77777777" w:rsidR="005D686C" w:rsidRPr="00333B9C" w:rsidRDefault="005D686C">
      <w:r w:rsidRPr="00333B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DFA5B" w14:textId="77777777" w:rsidR="00064002" w:rsidRPr="00333B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8276" w14:textId="77777777" w:rsidR="00064002" w:rsidRPr="00333B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2AF9B" w14:textId="77777777" w:rsidR="00064002" w:rsidRPr="00333B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25334" w14:textId="77777777" w:rsidR="005D686C" w:rsidRPr="00333B9C" w:rsidRDefault="005D686C">
      <w:r w:rsidRPr="00333B9C">
        <w:separator/>
      </w:r>
    </w:p>
  </w:footnote>
  <w:footnote w:type="continuationSeparator" w:id="0">
    <w:p w14:paraId="6D515981" w14:textId="77777777" w:rsidR="005D686C" w:rsidRPr="00333B9C" w:rsidRDefault="005D686C">
      <w:r w:rsidRPr="00333B9C">
        <w:continuationSeparator/>
      </w:r>
    </w:p>
  </w:footnote>
  <w:footnote w:id="1">
    <w:p w14:paraId="5D6E1EA2" w14:textId="7BB151B2" w:rsidR="00787585" w:rsidRPr="00333B9C" w:rsidRDefault="00787585" w:rsidP="00333B9C">
      <w:pPr>
        <w:pStyle w:val="FootnoteText"/>
        <w:ind w:left="567" w:hanging="567"/>
        <w:rPr>
          <w:sz w:val="24"/>
          <w:lang w:val="pl-PL"/>
        </w:rPr>
      </w:pPr>
      <w:r w:rsidRPr="00333B9C">
        <w:rPr>
          <w:rStyle w:val="FootnoteReference"/>
          <w:sz w:val="24"/>
          <w:lang w:val="pl-PL"/>
        </w:rPr>
        <w:footnoteRef/>
      </w:r>
      <w:r w:rsidR="00333B9C" w:rsidRPr="00333B9C">
        <w:rPr>
          <w:sz w:val="24"/>
          <w:lang w:val="pl-PL"/>
        </w:rPr>
        <w:t xml:space="preserve"> </w:t>
      </w:r>
      <w:r w:rsidR="00333B9C" w:rsidRPr="00333B9C">
        <w:rPr>
          <w:sz w:val="24"/>
          <w:lang w:val="pl-PL"/>
        </w:rPr>
        <w:tab/>
      </w:r>
      <w:r w:rsidRPr="00333B9C">
        <w:rPr>
          <w:sz w:val="24"/>
          <w:lang w:val="pl-PL"/>
        </w:rPr>
        <w:t xml:space="preserve">Wyrok Trybunału Sprawiedliwości z 21 października 2008 r., </w:t>
      </w:r>
      <w:proofErr w:type="spellStart"/>
      <w:r w:rsidRPr="00333B9C">
        <w:rPr>
          <w:sz w:val="24"/>
          <w:lang w:val="pl-PL"/>
        </w:rPr>
        <w:t>Marra</w:t>
      </w:r>
      <w:proofErr w:type="spellEnd"/>
      <w:r w:rsidRPr="00333B9C">
        <w:rPr>
          <w:sz w:val="24"/>
          <w:lang w:val="pl-PL"/>
        </w:rPr>
        <w:t xml:space="preserve">/De </w:t>
      </w:r>
      <w:proofErr w:type="spellStart"/>
      <w:r w:rsidRPr="00333B9C">
        <w:rPr>
          <w:sz w:val="24"/>
          <w:lang w:val="pl-PL"/>
        </w:rPr>
        <w:t>Gregorio</w:t>
      </w:r>
      <w:proofErr w:type="spellEnd"/>
      <w:r w:rsidRPr="00333B9C">
        <w:rPr>
          <w:sz w:val="24"/>
          <w:lang w:val="pl-PL"/>
        </w:rPr>
        <w:t xml:space="preserve"> i </w:t>
      </w:r>
      <w:proofErr w:type="spellStart"/>
      <w:r w:rsidRPr="00333B9C">
        <w:rPr>
          <w:sz w:val="24"/>
          <w:lang w:val="pl-PL"/>
        </w:rPr>
        <w:t>Clemente</w:t>
      </w:r>
      <w:proofErr w:type="spellEnd"/>
      <w:r w:rsidRPr="00333B9C">
        <w:rPr>
          <w:sz w:val="24"/>
          <w:lang w:val="pl-PL"/>
        </w:rPr>
        <w:t xml:space="preserve">, C-200/07 i C–201/07, ECLI:EU:C:2008:579; wyrok Sądu z 19 marca 2010 r., </w:t>
      </w:r>
      <w:proofErr w:type="spellStart"/>
      <w:r w:rsidRPr="00333B9C">
        <w:rPr>
          <w:sz w:val="24"/>
          <w:lang w:val="pl-PL"/>
        </w:rPr>
        <w:t>Gollnisch</w:t>
      </w:r>
      <w:proofErr w:type="spellEnd"/>
      <w:r w:rsidRPr="00333B9C">
        <w:rPr>
          <w:sz w:val="24"/>
          <w:lang w:val="pl-PL"/>
        </w:rPr>
        <w:t xml:space="preserve">/Parlament, T-42/06, ECLI:EU:T:2010:102; wyrok Trybunału Sprawiedliwości z 6 września 2011 r., </w:t>
      </w:r>
      <w:proofErr w:type="spellStart"/>
      <w:r w:rsidRPr="00333B9C">
        <w:rPr>
          <w:sz w:val="24"/>
          <w:lang w:val="pl-PL"/>
        </w:rPr>
        <w:t>Patriciello</w:t>
      </w:r>
      <w:proofErr w:type="spellEnd"/>
      <w:r w:rsidRPr="00333B9C">
        <w:rPr>
          <w:sz w:val="24"/>
          <w:lang w:val="pl-PL"/>
        </w:rPr>
        <w:t xml:space="preserve">, C-163/10, ECLI: EU:C:2011:543; wyrok Sądu z 17 stycznia 2013 r., </w:t>
      </w:r>
      <w:proofErr w:type="spellStart"/>
      <w:r w:rsidRPr="00333B9C">
        <w:rPr>
          <w:sz w:val="24"/>
          <w:lang w:val="pl-PL"/>
        </w:rPr>
        <w:t>Gollnisch</w:t>
      </w:r>
      <w:proofErr w:type="spellEnd"/>
      <w:r w:rsidRPr="00333B9C">
        <w:rPr>
          <w:sz w:val="24"/>
          <w:lang w:val="pl-PL"/>
        </w:rPr>
        <w:t xml:space="preserve">/Parlament, T-346/11 i T-347/11, ECLI:EU:T:2013:23; wyrok Trybunału Sprawiedliwości z 19 grudnia 2019 r., </w:t>
      </w:r>
      <w:proofErr w:type="spellStart"/>
      <w:r w:rsidRPr="00333B9C">
        <w:rPr>
          <w:sz w:val="24"/>
          <w:lang w:val="pl-PL"/>
        </w:rPr>
        <w:t>Junqueras</w:t>
      </w:r>
      <w:proofErr w:type="spellEnd"/>
      <w:r w:rsidRPr="00333B9C">
        <w:rPr>
          <w:sz w:val="24"/>
          <w:lang w:val="pl-PL"/>
        </w:rPr>
        <w:t xml:space="preserve"> </w:t>
      </w:r>
      <w:proofErr w:type="spellStart"/>
      <w:r w:rsidRPr="00333B9C">
        <w:rPr>
          <w:sz w:val="24"/>
          <w:lang w:val="pl-PL"/>
        </w:rPr>
        <w:t>Vies</w:t>
      </w:r>
      <w:proofErr w:type="spellEnd"/>
      <w:r w:rsidRPr="00333B9C">
        <w:rPr>
          <w:sz w:val="24"/>
          <w:lang w:val="pl-PL"/>
        </w:rPr>
        <w:t>, C-502/19, ECLI:EU:C:2019:1115.</w:t>
      </w:r>
    </w:p>
  </w:footnote>
  <w:footnote w:id="2">
    <w:p w14:paraId="1FAC01A6" w14:textId="77777777" w:rsidR="00453963" w:rsidRPr="00C80C17" w:rsidRDefault="00453963" w:rsidP="00453963">
      <w:pPr>
        <w:pStyle w:val="FootnoteText"/>
        <w:ind w:left="567" w:hanging="567"/>
        <w:rPr>
          <w:sz w:val="24"/>
          <w:lang w:val="pl-PL"/>
        </w:rPr>
      </w:pPr>
      <w:r w:rsidRPr="00C80C17">
        <w:rPr>
          <w:rStyle w:val="FootnoteReference"/>
          <w:sz w:val="24"/>
          <w:lang w:val="pl-PL"/>
        </w:rPr>
        <w:footnoteRef/>
      </w:r>
      <w:r w:rsidRPr="00C80C17">
        <w:rPr>
          <w:sz w:val="24"/>
          <w:lang w:val="pl-PL"/>
        </w:rPr>
        <w:t xml:space="preserve"> </w:t>
      </w:r>
      <w:r w:rsidRPr="00C80C17">
        <w:rPr>
          <w:sz w:val="24"/>
          <w:lang w:val="pl-PL"/>
        </w:rPr>
        <w:tab/>
        <w:t xml:space="preserve">Wyrok Sądu z dnia 30 kwietnia 2019 r., </w:t>
      </w:r>
      <w:proofErr w:type="spellStart"/>
      <w:r w:rsidRPr="00C80C17">
        <w:rPr>
          <w:sz w:val="24"/>
          <w:lang w:val="pl-PL"/>
        </w:rPr>
        <w:t>Briois</w:t>
      </w:r>
      <w:proofErr w:type="spellEnd"/>
      <w:r w:rsidRPr="00C80C17">
        <w:rPr>
          <w:sz w:val="24"/>
          <w:lang w:val="pl-PL"/>
        </w:rPr>
        <w:t>/</w:t>
      </w:r>
      <w:proofErr w:type="spellStart"/>
      <w:r w:rsidRPr="00C80C17">
        <w:rPr>
          <w:sz w:val="24"/>
          <w:lang w:val="pl-PL"/>
        </w:rPr>
        <w:t>Parlement</w:t>
      </w:r>
      <w:proofErr w:type="spellEnd"/>
      <w:r w:rsidRPr="00C80C17">
        <w:rPr>
          <w:sz w:val="24"/>
          <w:lang w:val="pl-PL"/>
        </w:rPr>
        <w:t>, T-214/18, ECLI:</w:t>
      </w:r>
      <w:proofErr w:type="gramStart"/>
      <w:r w:rsidRPr="00C80C17">
        <w:rPr>
          <w:sz w:val="24"/>
          <w:lang w:val="pl-PL"/>
        </w:rPr>
        <w:t>EU:T</w:t>
      </w:r>
      <w:proofErr w:type="gramEnd"/>
      <w:r w:rsidRPr="00C80C17">
        <w:rPr>
          <w:sz w:val="24"/>
          <w:lang w:val="pl-PL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E432F" w14:textId="77777777" w:rsidR="00064002" w:rsidRPr="00333B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0E42" w14:textId="77777777" w:rsidR="00064002" w:rsidRPr="00333B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AD961" w14:textId="77777777" w:rsidR="00064002" w:rsidRPr="00333B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8853150">
    <w:abstractNumId w:val="9"/>
  </w:num>
  <w:num w:numId="2" w16cid:durableId="1698116364">
    <w:abstractNumId w:val="9"/>
  </w:num>
  <w:num w:numId="3" w16cid:durableId="1738936140">
    <w:abstractNumId w:val="7"/>
  </w:num>
  <w:num w:numId="4" w16cid:durableId="79134141">
    <w:abstractNumId w:val="7"/>
  </w:num>
  <w:num w:numId="5" w16cid:durableId="1649819146">
    <w:abstractNumId w:val="6"/>
  </w:num>
  <w:num w:numId="6" w16cid:durableId="1799060861">
    <w:abstractNumId w:val="6"/>
  </w:num>
  <w:num w:numId="7" w16cid:durableId="2000304814">
    <w:abstractNumId w:val="5"/>
  </w:num>
  <w:num w:numId="8" w16cid:durableId="1460956728">
    <w:abstractNumId w:val="5"/>
  </w:num>
  <w:num w:numId="9" w16cid:durableId="1293711563">
    <w:abstractNumId w:val="4"/>
  </w:num>
  <w:num w:numId="10" w16cid:durableId="765347840">
    <w:abstractNumId w:val="4"/>
  </w:num>
  <w:num w:numId="11" w16cid:durableId="1554776665">
    <w:abstractNumId w:val="8"/>
  </w:num>
  <w:num w:numId="12" w16cid:durableId="975259000">
    <w:abstractNumId w:val="8"/>
  </w:num>
  <w:num w:numId="13" w16cid:durableId="841699748">
    <w:abstractNumId w:val="3"/>
  </w:num>
  <w:num w:numId="14" w16cid:durableId="575095497">
    <w:abstractNumId w:val="3"/>
  </w:num>
  <w:num w:numId="15" w16cid:durableId="312566462">
    <w:abstractNumId w:val="2"/>
  </w:num>
  <w:num w:numId="16" w16cid:durableId="803088023">
    <w:abstractNumId w:val="2"/>
  </w:num>
  <w:num w:numId="17" w16cid:durableId="2110813630">
    <w:abstractNumId w:val="1"/>
  </w:num>
  <w:num w:numId="18" w16cid:durableId="42949461">
    <w:abstractNumId w:val="1"/>
  </w:num>
  <w:num w:numId="19" w16cid:durableId="1060790063">
    <w:abstractNumId w:val="0"/>
  </w:num>
  <w:num w:numId="20" w16cid:durableId="580649793">
    <w:abstractNumId w:val="0"/>
  </w:num>
  <w:num w:numId="21" w16cid:durableId="1107039098">
    <w:abstractNumId w:val="9"/>
  </w:num>
  <w:num w:numId="22" w16cid:durableId="2033844805">
    <w:abstractNumId w:val="7"/>
  </w:num>
  <w:num w:numId="23" w16cid:durableId="516697598">
    <w:abstractNumId w:val="6"/>
  </w:num>
  <w:num w:numId="24" w16cid:durableId="1375235011">
    <w:abstractNumId w:val="5"/>
  </w:num>
  <w:num w:numId="25" w16cid:durableId="893346084">
    <w:abstractNumId w:val="4"/>
  </w:num>
  <w:num w:numId="26" w16cid:durableId="1877962369">
    <w:abstractNumId w:val="8"/>
  </w:num>
  <w:num w:numId="27" w16cid:durableId="1509518184">
    <w:abstractNumId w:val="3"/>
  </w:num>
  <w:num w:numId="28" w16cid:durableId="1718092124">
    <w:abstractNumId w:val="2"/>
  </w:num>
  <w:num w:numId="29" w16cid:durableId="125895590">
    <w:abstractNumId w:val="1"/>
  </w:num>
  <w:num w:numId="30" w16cid:durableId="114175282">
    <w:abstractNumId w:val="0"/>
  </w:num>
  <w:num w:numId="31" w16cid:durableId="506097059">
    <w:abstractNumId w:val="9"/>
  </w:num>
  <w:num w:numId="32" w16cid:durableId="440340651">
    <w:abstractNumId w:val="7"/>
  </w:num>
  <w:num w:numId="33" w16cid:durableId="91436241">
    <w:abstractNumId w:val="6"/>
  </w:num>
  <w:num w:numId="34" w16cid:durableId="1286886115">
    <w:abstractNumId w:val="5"/>
  </w:num>
  <w:num w:numId="35" w16cid:durableId="985008890">
    <w:abstractNumId w:val="4"/>
  </w:num>
  <w:num w:numId="36" w16cid:durableId="694968532">
    <w:abstractNumId w:val="8"/>
  </w:num>
  <w:num w:numId="37" w16cid:durableId="1107850630">
    <w:abstractNumId w:val="3"/>
  </w:num>
  <w:num w:numId="38" w16cid:durableId="526598139">
    <w:abstractNumId w:val="2"/>
  </w:num>
  <w:num w:numId="39" w16cid:durableId="699278783">
    <w:abstractNumId w:val="1"/>
  </w:num>
  <w:num w:numId="40" w16cid:durableId="63991715">
    <w:abstractNumId w:val="0"/>
  </w:num>
  <w:num w:numId="41" w16cid:durableId="2147121251">
    <w:abstractNumId w:val="10"/>
  </w:num>
  <w:num w:numId="42" w16cid:durableId="348680931">
    <w:abstractNumId w:val="10"/>
  </w:num>
  <w:num w:numId="43" w16cid:durableId="1957910409">
    <w:abstractNumId w:val="10"/>
  </w:num>
  <w:num w:numId="44" w16cid:durableId="7873099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9/2026"/>
    <w:docVar w:name="dvlangue" w:val="PL"/>
    <w:docVar w:name="dvnumam" w:val="0"/>
    <w:docVar w:name="dvpe" w:val="785.310"/>
    <w:docVar w:name="dvrapporteur" w:val="Sprawozdawca: "/>
    <w:docVar w:name="dvtitre" w:val="Decyzja Parlamentu Europejskiego z dnia  2026 r. w sprawie wniosku o uchylenie immunitetu Alvisego Péreza(2025/2236(IMM))"/>
  </w:docVars>
  <w:rsids>
    <w:rsidRoot w:val="005D686C"/>
    <w:rsid w:val="00002272"/>
    <w:rsid w:val="00013CA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3B9C"/>
    <w:rsid w:val="00343214"/>
    <w:rsid w:val="00361C00"/>
    <w:rsid w:val="00395FA1"/>
    <w:rsid w:val="003E15D4"/>
    <w:rsid w:val="00411CCE"/>
    <w:rsid w:val="0041666E"/>
    <w:rsid w:val="00421060"/>
    <w:rsid w:val="0045396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FE0"/>
    <w:rsid w:val="005D686C"/>
    <w:rsid w:val="005F1B17"/>
    <w:rsid w:val="006037C0"/>
    <w:rsid w:val="0062658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8758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48F"/>
    <w:rsid w:val="00930C23"/>
    <w:rsid w:val="0093193B"/>
    <w:rsid w:val="009509D8"/>
    <w:rsid w:val="00950B64"/>
    <w:rsid w:val="00981893"/>
    <w:rsid w:val="009B5ECC"/>
    <w:rsid w:val="00A1687D"/>
    <w:rsid w:val="00A3212F"/>
    <w:rsid w:val="00A43E52"/>
    <w:rsid w:val="00A4678D"/>
    <w:rsid w:val="00A778C7"/>
    <w:rsid w:val="00AB441E"/>
    <w:rsid w:val="00AB6293"/>
    <w:rsid w:val="00AE0928"/>
    <w:rsid w:val="00AF3B82"/>
    <w:rsid w:val="00AF527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535"/>
    <w:rsid w:val="00C941CB"/>
    <w:rsid w:val="00CC2357"/>
    <w:rsid w:val="00CF071A"/>
    <w:rsid w:val="00D058B8"/>
    <w:rsid w:val="00D1159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9D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25403"/>
  <w15:chartTrackingRefBased/>
  <w15:docId w15:val="{B33DE616-8779-45ED-9E7B-6CEC1CC9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87585"/>
    <w:pPr>
      <w:spacing w:after="240"/>
      <w:ind w:left="567" w:hanging="567"/>
    </w:pPr>
  </w:style>
  <w:style w:type="paragraph" w:customStyle="1" w:styleId="EPComma">
    <w:name w:val="EPComma"/>
    <w:basedOn w:val="Normal"/>
    <w:rsid w:val="00787585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744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BINKEVICIUTE Aurelija</cp:lastModifiedBy>
  <cp:revision>3</cp:revision>
  <cp:lastPrinted>2004-11-19T15:42:00Z</cp:lastPrinted>
  <dcterms:created xsi:type="dcterms:W3CDTF">2026-05-19T11:35:00Z</dcterms:created>
  <dcterms:modified xsi:type="dcterms:W3CDTF">2026-07-23T07:47:00Z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A10-0129/2026</vt:lpwstr>
  </property>
  <property fmtid="{D5CDD505-2E9C-101B-9397-08002B2CF9AE}" pid="4" name="&lt;Type&gt;">
    <vt:lpwstr>RR</vt:lpwstr>
  </property>
</Properties>
</file>