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68FA" w14:paraId="212B0F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280A50" w14:textId="77777777" w:rsidR="00751A4A" w:rsidRPr="008F68FA" w:rsidRDefault="007E283A" w:rsidP="0010095E">
            <w:pPr>
              <w:pStyle w:val="EPName"/>
            </w:pPr>
            <w:r w:rsidRPr="008F68FA">
              <w:t xml:space="preserve">Parlamento </w:t>
            </w:r>
            <w:proofErr w:type="gramStart"/>
            <w:r w:rsidRPr="008F68FA">
              <w:t>Europeu</w:t>
            </w:r>
            <w:proofErr w:type="gramEnd"/>
          </w:p>
          <w:p w14:paraId="36208651" w14:textId="77777777" w:rsidR="00751A4A" w:rsidRPr="008F68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68FA">
              <w:t>2024</w:t>
            </w:r>
            <w:r w:rsidR="00817416" w:rsidRPr="008F68FA">
              <w:t>-202</w:t>
            </w:r>
            <w:r w:rsidRPr="008F68FA">
              <w:t>9</w:t>
            </w:r>
          </w:p>
        </w:tc>
        <w:tc>
          <w:tcPr>
            <w:tcW w:w="2268" w:type="dxa"/>
            <w:shd w:val="clear" w:color="auto" w:fill="auto"/>
          </w:tcPr>
          <w:p w14:paraId="18CD9071" w14:textId="77777777" w:rsidR="00751A4A" w:rsidRPr="008F68FA" w:rsidRDefault="00187494" w:rsidP="0010095E">
            <w:pPr>
              <w:pStyle w:val="EPLogo"/>
            </w:pPr>
            <w:r w:rsidRPr="008F68FA">
              <w:rPr>
                <w:noProof/>
                <w:lang w:eastAsia="ja-JP"/>
              </w:rPr>
              <w:drawing>
                <wp:inline distT="0" distB="0" distL="0" distR="0" wp14:anchorId="7E4B6C67" wp14:editId="2E8A9C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052469" w14:textId="77777777" w:rsidR="00D058B8" w:rsidRPr="008F68FA" w:rsidRDefault="00D058B8" w:rsidP="004C5D52">
      <w:pPr>
        <w:pStyle w:val="LineTop"/>
      </w:pPr>
    </w:p>
    <w:p w14:paraId="3C528B57" w14:textId="77777777" w:rsidR="00680577" w:rsidRPr="008F68FA" w:rsidRDefault="007E283A" w:rsidP="00680577">
      <w:pPr>
        <w:pStyle w:val="EPBodyTA1"/>
      </w:pPr>
      <w:r w:rsidRPr="008F68FA">
        <w:t>TEXTOS APROVADOS</w:t>
      </w:r>
    </w:p>
    <w:p w14:paraId="45B84F1D" w14:textId="77777777" w:rsidR="00D058B8" w:rsidRPr="008F68FA" w:rsidRDefault="00D058B8" w:rsidP="00D058B8">
      <w:pPr>
        <w:pStyle w:val="LineBottom"/>
      </w:pPr>
    </w:p>
    <w:p w14:paraId="4ABFE274" w14:textId="3F2A129A" w:rsidR="007E283A" w:rsidRPr="008F68FA" w:rsidRDefault="007E283A" w:rsidP="007E283A">
      <w:pPr>
        <w:pStyle w:val="ATHeading1"/>
      </w:pPr>
      <w:bookmarkStart w:id="0" w:name="TANumber"/>
      <w:r w:rsidRPr="008F68FA">
        <w:t>P10_TA(2026)0</w:t>
      </w:r>
      <w:bookmarkEnd w:id="0"/>
      <w:r w:rsidR="002E3D08">
        <w:t>167</w:t>
      </w:r>
    </w:p>
    <w:p w14:paraId="3E5F4A97" w14:textId="77777777" w:rsidR="007E283A" w:rsidRPr="008F68FA" w:rsidRDefault="007E283A" w:rsidP="007E283A">
      <w:pPr>
        <w:pStyle w:val="ATHeading2"/>
      </w:pPr>
      <w:bookmarkStart w:id="1" w:name="title"/>
      <w:r w:rsidRPr="008F68FA">
        <w:t xml:space="preserve">Pedido de levantamento da imunidade de </w:t>
      </w:r>
      <w:proofErr w:type="spellStart"/>
      <w:r w:rsidRPr="008F68FA">
        <w:t>Alvise</w:t>
      </w:r>
      <w:proofErr w:type="spellEnd"/>
      <w:r w:rsidRPr="008F68FA">
        <w:t xml:space="preserve"> Pérez</w:t>
      </w:r>
      <w:bookmarkEnd w:id="1"/>
    </w:p>
    <w:p w14:paraId="68BD6383" w14:textId="77777777" w:rsidR="007E283A" w:rsidRPr="008F68FA" w:rsidRDefault="007E283A" w:rsidP="007E283A">
      <w:pPr>
        <w:rPr>
          <w:i/>
          <w:vanish/>
        </w:rPr>
      </w:pPr>
      <w:r w:rsidRPr="008F68FA">
        <w:rPr>
          <w:i/>
        </w:rPr>
        <w:fldChar w:fldCharType="begin"/>
      </w:r>
      <w:r w:rsidRPr="008F68FA">
        <w:rPr>
          <w:i/>
        </w:rPr>
        <w:instrText xml:space="preserve"> TC"(</w:instrText>
      </w:r>
      <w:bookmarkStart w:id="2" w:name="DocNumber"/>
      <w:r w:rsidRPr="008F68FA">
        <w:rPr>
          <w:i/>
        </w:rPr>
        <w:instrText>A10-0129/2026</w:instrText>
      </w:r>
      <w:bookmarkEnd w:id="2"/>
      <w:r w:rsidRPr="008F68FA">
        <w:rPr>
          <w:i/>
        </w:rPr>
        <w:instrText xml:space="preserve"> - Relator: </w:instrText>
      </w:r>
      <w:proofErr w:type="spellStart"/>
      <w:r w:rsidRPr="008F68FA">
        <w:rPr>
          <w:i/>
        </w:rPr>
        <w:instrText>Pascale</w:instrText>
      </w:r>
      <w:proofErr w:type="spellEnd"/>
      <w:r w:rsidRPr="008F68FA">
        <w:rPr>
          <w:i/>
        </w:rPr>
        <w:instrText xml:space="preserve"> </w:instrText>
      </w:r>
      <w:proofErr w:type="spellStart"/>
      <w:r w:rsidRPr="008F68FA">
        <w:rPr>
          <w:i/>
        </w:rPr>
        <w:instrText>Piera</w:instrText>
      </w:r>
      <w:proofErr w:type="spellEnd"/>
      <w:r w:rsidRPr="008F68FA">
        <w:rPr>
          <w:i/>
        </w:rPr>
        <w:instrText xml:space="preserve">)"\l3 \n&gt; \* MERGEFORMAT </w:instrText>
      </w:r>
      <w:r w:rsidRPr="008F68FA">
        <w:rPr>
          <w:i/>
        </w:rPr>
        <w:fldChar w:fldCharType="end"/>
      </w:r>
    </w:p>
    <w:p w14:paraId="449F7E91" w14:textId="77777777" w:rsidR="007E283A" w:rsidRPr="008F68FA" w:rsidRDefault="007E283A" w:rsidP="007E283A">
      <w:pPr>
        <w:rPr>
          <w:vanish/>
        </w:rPr>
      </w:pPr>
      <w:bookmarkStart w:id="3" w:name="Commission"/>
      <w:r w:rsidRPr="008F68FA">
        <w:rPr>
          <w:vanish/>
        </w:rPr>
        <w:t>Comissão dos Assuntos Jurídicos</w:t>
      </w:r>
      <w:bookmarkEnd w:id="3"/>
    </w:p>
    <w:p w14:paraId="35C762AF" w14:textId="77777777" w:rsidR="007E283A" w:rsidRPr="008F68FA" w:rsidRDefault="007E283A" w:rsidP="007E283A">
      <w:pPr>
        <w:rPr>
          <w:vanish/>
        </w:rPr>
      </w:pPr>
      <w:bookmarkStart w:id="4" w:name="PE"/>
      <w:r w:rsidRPr="008F68FA">
        <w:rPr>
          <w:vanish/>
        </w:rPr>
        <w:t>PE785.310</w:t>
      </w:r>
      <w:bookmarkEnd w:id="4"/>
    </w:p>
    <w:p w14:paraId="4DA52899" w14:textId="6C7D984D" w:rsidR="007E283A" w:rsidRPr="008F68FA" w:rsidRDefault="007E283A" w:rsidP="007E283A">
      <w:pPr>
        <w:pStyle w:val="ATHeading3"/>
      </w:pPr>
      <w:bookmarkStart w:id="5" w:name="Sujet"/>
      <w:r w:rsidRPr="008F68FA">
        <w:t xml:space="preserve">Decisão do Parlamento Europeu, de </w:t>
      </w:r>
      <w:r w:rsidR="00E73199" w:rsidRPr="008F68FA">
        <w:t xml:space="preserve">19 </w:t>
      </w:r>
      <w:r w:rsidRPr="008F68FA">
        <w:t xml:space="preserve">de </w:t>
      </w:r>
      <w:r w:rsidR="00E73199" w:rsidRPr="008F68FA">
        <w:t xml:space="preserve">maio </w:t>
      </w:r>
      <w:r w:rsidRPr="008F68FA">
        <w:t xml:space="preserve">de 2026, sobre o pedido de levantamento da imunidade de </w:t>
      </w:r>
      <w:proofErr w:type="spellStart"/>
      <w:r w:rsidRPr="008F68FA">
        <w:t>Alvise</w:t>
      </w:r>
      <w:proofErr w:type="spellEnd"/>
      <w:r w:rsidRPr="008F68FA">
        <w:t xml:space="preserve"> Pérez</w:t>
      </w:r>
      <w:bookmarkEnd w:id="5"/>
      <w:r w:rsidRPr="008F68FA">
        <w:t xml:space="preserve"> </w:t>
      </w:r>
      <w:bookmarkStart w:id="6" w:name="References"/>
      <w:r w:rsidRPr="008F68FA">
        <w:t>(2025/2236(IMM))</w:t>
      </w:r>
      <w:bookmarkEnd w:id="6"/>
    </w:p>
    <w:p w14:paraId="7B78DD56" w14:textId="77777777" w:rsidR="002A35AB" w:rsidRPr="008F68FA" w:rsidRDefault="002A35AB" w:rsidP="002A35AB">
      <w:pPr>
        <w:pStyle w:val="EPComma"/>
      </w:pPr>
      <w:bookmarkStart w:id="7" w:name="TextBodyBegin"/>
      <w:bookmarkEnd w:id="7"/>
      <w:r w:rsidRPr="008F68FA">
        <w:rPr>
          <w:i/>
          <w:iCs/>
        </w:rPr>
        <w:t>O Parlamento Europeu</w:t>
      </w:r>
      <w:r w:rsidRPr="008F68FA">
        <w:t>,</w:t>
      </w:r>
    </w:p>
    <w:p w14:paraId="66D0172A" w14:textId="1EADC8D3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>Tendo recebido um pedido de levantamento da imunidade de</w:t>
      </w:r>
      <w:r w:rsidR="00E73199" w:rsidRPr="008F68FA">
        <w:t xml:space="preserve"> </w:t>
      </w:r>
      <w:proofErr w:type="spellStart"/>
      <w:r w:rsidR="00E73199" w:rsidRPr="008F68FA">
        <w:t>Alvise</w:t>
      </w:r>
      <w:proofErr w:type="spellEnd"/>
      <w:r w:rsidR="00E73199" w:rsidRPr="008F68FA">
        <w:t> Pérez</w:t>
      </w:r>
      <w:r w:rsidRPr="008F68FA">
        <w:t xml:space="preserve"> </w:t>
      </w:r>
      <w:r w:rsidR="00E73199" w:rsidRPr="008F68FA">
        <w:t>(</w:t>
      </w:r>
      <w:proofErr w:type="spellStart"/>
      <w:r w:rsidRPr="008F68FA">
        <w:t>Luis</w:t>
      </w:r>
      <w:proofErr w:type="spellEnd"/>
      <w:r w:rsidRPr="008F68FA">
        <w:t> Pérez </w:t>
      </w:r>
      <w:proofErr w:type="spellStart"/>
      <w:r w:rsidRPr="008F68FA">
        <w:t>Fernandez</w:t>
      </w:r>
      <w:proofErr w:type="spellEnd"/>
      <w:r w:rsidR="00E73199" w:rsidRPr="008F68FA">
        <w:t>)</w:t>
      </w:r>
      <w:r w:rsidRPr="008F68FA">
        <w:t>, transmitido pelo Supremo Tribunal de Espanha</w:t>
      </w:r>
      <w:r w:rsidR="00660AD7" w:rsidRPr="008F68FA">
        <w:t xml:space="preserve"> por carta de 31 de outubro de 2025</w:t>
      </w:r>
      <w:r w:rsidRPr="008F68FA">
        <w:t>, no âmbito de uma ação penal</w:t>
      </w:r>
      <w:r w:rsidR="005943C2" w:rsidRPr="008F68FA">
        <w:t xml:space="preserve"> e</w:t>
      </w:r>
      <w:r w:rsidRPr="008F68FA">
        <w:t xml:space="preserve"> </w:t>
      </w:r>
      <w:r w:rsidR="00660AD7" w:rsidRPr="008F68FA">
        <w:t xml:space="preserve">anunciado </w:t>
      </w:r>
      <w:r w:rsidRPr="008F68FA">
        <w:t>em sessão plenária em 12 de novembro de 2025,</w:t>
      </w:r>
    </w:p>
    <w:p w14:paraId="581587E3" w14:textId="0BFE02C0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 xml:space="preserve">Tendo em conta que se considera que </w:t>
      </w:r>
      <w:proofErr w:type="spellStart"/>
      <w:r w:rsidRPr="008F68FA">
        <w:t>Alvise</w:t>
      </w:r>
      <w:proofErr w:type="spellEnd"/>
      <w:r w:rsidRPr="008F68FA">
        <w:t> Pérez renunciou ao seu direito de audição, no</w:t>
      </w:r>
      <w:r w:rsidR="002A5D3A" w:rsidRPr="008F68FA">
        <w:t>s termos do</w:t>
      </w:r>
      <w:r w:rsidRPr="008F68FA">
        <w:t xml:space="preserve"> artigo 9.º, n.º 6, do seu Regimento,</w:t>
      </w:r>
    </w:p>
    <w:p w14:paraId="4D0B034E" w14:textId="77777777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3A8A9A22" w14:textId="77777777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>Tendo em conta os Acórdãos proferidos pelo Tribunal de Justiça da União Europeia em 21 de outubro de 2008, 19 de março de 2010, 6 de setembro de 2011, 17 de janeiro de 2013 e 19 de dezembro de 2019</w:t>
      </w:r>
      <w:r w:rsidRPr="008F68FA">
        <w:rPr>
          <w:vertAlign w:val="superscript"/>
        </w:rPr>
        <w:footnoteReference w:id="1"/>
      </w:r>
      <w:r w:rsidRPr="008F68FA">
        <w:t>,</w:t>
      </w:r>
    </w:p>
    <w:p w14:paraId="7247D92C" w14:textId="0E329D51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>Tendo em conta o artigo 71.º, n.</w:t>
      </w:r>
      <w:r w:rsidRPr="008F68FA">
        <w:rPr>
          <w:vertAlign w:val="superscript"/>
        </w:rPr>
        <w:t>os</w:t>
      </w:r>
      <w:r w:rsidRPr="008F68FA">
        <w:t xml:space="preserve"> 1 e 2</w:t>
      </w:r>
      <w:r w:rsidR="005E4571" w:rsidRPr="008F68FA">
        <w:t>,</w:t>
      </w:r>
      <w:r w:rsidRPr="008F68FA">
        <w:t xml:space="preserve"> da Constituição </w:t>
      </w:r>
      <w:r w:rsidR="00AB7D86" w:rsidRPr="008F68FA">
        <w:t>e</w:t>
      </w:r>
      <w:r w:rsidRPr="008F68FA">
        <w:t>spanhola,</w:t>
      </w:r>
    </w:p>
    <w:p w14:paraId="4963707C" w14:textId="77777777" w:rsidR="002A35AB" w:rsidRPr="008F68FA" w:rsidRDefault="002A35AB" w:rsidP="002A35AB">
      <w:pPr>
        <w:pStyle w:val="NormalHanging12a"/>
      </w:pPr>
      <w:r w:rsidRPr="008F68FA">
        <w:t>–</w:t>
      </w:r>
      <w:r w:rsidRPr="008F68FA">
        <w:tab/>
        <w:t>Tendo em conta o artigo 5.º, n.º 2, o artigo 6.º, n.º 1, e o artigo 9.º do seu Regimento,</w:t>
      </w:r>
    </w:p>
    <w:p w14:paraId="06DF167F" w14:textId="77777777" w:rsidR="002A35AB" w:rsidRPr="008F68FA" w:rsidRDefault="002A35AB" w:rsidP="002A35AB">
      <w:pPr>
        <w:pStyle w:val="NormalHanging12a"/>
      </w:pPr>
      <w:r w:rsidRPr="008F68FA">
        <w:lastRenderedPageBreak/>
        <w:t>–</w:t>
      </w:r>
      <w:r w:rsidRPr="008F68FA">
        <w:tab/>
        <w:t>Tendo em conta o relatório da Comissão dos Assuntos Jurídicos (A10-0129/2026),</w:t>
      </w:r>
    </w:p>
    <w:p w14:paraId="376ECA9F" w14:textId="486620B0" w:rsidR="002A35AB" w:rsidRPr="008F68FA" w:rsidRDefault="002A35AB" w:rsidP="002A35AB">
      <w:pPr>
        <w:pStyle w:val="NormalHanging12a"/>
      </w:pPr>
      <w:r w:rsidRPr="008F68FA">
        <w:t>A.</w:t>
      </w:r>
      <w:r w:rsidRPr="008F68FA">
        <w:tab/>
        <w:t xml:space="preserve">Considerando que, por carta de 31 de outubro de 2025, o presidente do Supremo Tribunal de Espanha transmitiu um pedido de levantamento da imunidade de </w:t>
      </w:r>
      <w:proofErr w:type="spellStart"/>
      <w:r w:rsidRPr="008F68FA">
        <w:t>Alvise</w:t>
      </w:r>
      <w:proofErr w:type="spellEnd"/>
      <w:r w:rsidRPr="008F68FA">
        <w:t xml:space="preserve"> Pérez, </w:t>
      </w:r>
      <w:bookmarkStart w:id="8" w:name="_Hlk222405545"/>
      <w:r w:rsidRPr="008F68FA">
        <w:t xml:space="preserve">deputado ao Parlamento Europeu eleito em </w:t>
      </w:r>
      <w:bookmarkEnd w:id="8"/>
      <w:r w:rsidRPr="008F68FA">
        <w:t>Espanha, relativo a vários crimes alegadamente praticados em 2024;</w:t>
      </w:r>
    </w:p>
    <w:p w14:paraId="3060105A" w14:textId="1100CE2A" w:rsidR="002A35AB" w:rsidRPr="008F68FA" w:rsidRDefault="002A35AB" w:rsidP="002A35AB">
      <w:pPr>
        <w:pStyle w:val="NormalHanging12a"/>
      </w:pPr>
      <w:r w:rsidRPr="008F68FA">
        <w:t>B.</w:t>
      </w:r>
      <w:r w:rsidRPr="008F68FA">
        <w:tab/>
        <w:t xml:space="preserve">Considerando que o pedido refere que, entre 7 de abril </w:t>
      </w:r>
      <w:r w:rsidR="005E4571" w:rsidRPr="008F68FA">
        <w:t xml:space="preserve">de 2024 </w:t>
      </w:r>
      <w:r w:rsidRPr="008F68FA">
        <w:t xml:space="preserve">e 27 de maio de 2024, </w:t>
      </w:r>
      <w:proofErr w:type="spellStart"/>
      <w:r w:rsidRPr="008F68FA">
        <w:t>Alvise</w:t>
      </w:r>
      <w:proofErr w:type="spellEnd"/>
      <w:r w:rsidRPr="008F68FA">
        <w:t xml:space="preserve"> Pérez alegadamente manteve ligações com um consultor que atuava em nome de pessoas singulares e coletivas com vista a obter benefícios económicos através de mecanismos de otimização fiscal, com o objetivo de criar uma «carteira» destinada a angariar fundos para financiar a campanha eleitoral do partido político fundado por </w:t>
      </w:r>
      <w:proofErr w:type="spellStart"/>
      <w:r w:rsidRPr="008F68FA">
        <w:t>Alvise</w:t>
      </w:r>
      <w:proofErr w:type="spellEnd"/>
      <w:r w:rsidRPr="008F68FA">
        <w:t xml:space="preserve"> Pérez, denominado «Se </w:t>
      </w:r>
      <w:proofErr w:type="spellStart"/>
      <w:r w:rsidRPr="008F68FA">
        <w:t>Acabó</w:t>
      </w:r>
      <w:proofErr w:type="spellEnd"/>
      <w:r w:rsidRPr="008F68FA">
        <w:t xml:space="preserve"> La Fiesta»; </w:t>
      </w:r>
      <w:r w:rsidR="005E4571" w:rsidRPr="008F68FA">
        <w:t xml:space="preserve">considerando </w:t>
      </w:r>
      <w:r w:rsidRPr="008F68FA">
        <w:t xml:space="preserve">que, de acordo com o pedido, o consultor que criou esta «carteira» alegadamente transferiu a </w:t>
      </w:r>
      <w:proofErr w:type="spellStart"/>
      <w:r w:rsidRPr="008F68FA">
        <w:t>Alvise</w:t>
      </w:r>
      <w:proofErr w:type="spellEnd"/>
      <w:r w:rsidRPr="008F68FA">
        <w:t xml:space="preserve"> Pérez um adiantamento de 100 000 EUR destinados àquele partido político, com vista às eleições europeias; </w:t>
      </w:r>
      <w:r w:rsidR="005E4571" w:rsidRPr="008F68FA">
        <w:t xml:space="preserve">considerando </w:t>
      </w:r>
      <w:r w:rsidRPr="008F68FA">
        <w:t xml:space="preserve">que os factos alegados são suscetíveis de constituir crime de financiamento ilegal de partidos políticos na aceção do artigo 304.º-A, n.º 1, do Código Penal espanhol e um crime eleitoral nos termos do artigo 149.º, n.º 1, da Lei Orgânica </w:t>
      </w:r>
      <w:r w:rsidR="005E4571" w:rsidRPr="008F68FA">
        <w:t xml:space="preserve">espanhola </w:t>
      </w:r>
      <w:r w:rsidRPr="008F68FA">
        <w:t>n.º 5/1985, de 19 de junho de 1985, relativa ao sistema eleitoral geral;</w:t>
      </w:r>
      <w:r w:rsidR="005E4571" w:rsidRPr="008F68FA">
        <w:t xml:space="preserve"> considerando</w:t>
      </w:r>
      <w:r w:rsidRPr="008F68FA">
        <w:t xml:space="preserve"> que o inquérito foi iniciado por despacho de 20 de setembro de 2024;</w:t>
      </w:r>
    </w:p>
    <w:p w14:paraId="70601752" w14:textId="7D14F795" w:rsidR="002A35AB" w:rsidRPr="008F68FA" w:rsidRDefault="002A35AB" w:rsidP="002A35AB">
      <w:pPr>
        <w:pStyle w:val="NormalHanging12a"/>
      </w:pPr>
      <w:r w:rsidRPr="008F68FA">
        <w:t>C.</w:t>
      </w:r>
      <w:r w:rsidRPr="008F68FA">
        <w:tab/>
        <w:t xml:space="preserve">Considerando que </w:t>
      </w:r>
      <w:proofErr w:type="spellStart"/>
      <w:r w:rsidRPr="008F68FA">
        <w:t>Alvise</w:t>
      </w:r>
      <w:proofErr w:type="spellEnd"/>
      <w:r w:rsidRPr="008F68FA">
        <w:t> Pérez foi eleito para o Parlamento Europeu nas eleições europeias de junho de 2024 e que</w:t>
      </w:r>
      <w:r w:rsidR="006E2C75" w:rsidRPr="008F68FA">
        <w:t>, por conseguinte,</w:t>
      </w:r>
      <w:r w:rsidRPr="008F68FA">
        <w:t xml:space="preserve"> não era deputado ao Parlamento Europeu no momento dos alegados crimes;</w:t>
      </w:r>
    </w:p>
    <w:p w14:paraId="316BA1B2" w14:textId="66F1ED02" w:rsidR="002A35AB" w:rsidRPr="008F68FA" w:rsidRDefault="002A35AB" w:rsidP="002A35AB">
      <w:pPr>
        <w:pStyle w:val="NormalHanging12a"/>
      </w:pPr>
      <w:r w:rsidRPr="008F68FA">
        <w:t>D.</w:t>
      </w:r>
      <w:r w:rsidRPr="008F68FA">
        <w:tab/>
        <w:t>Considerando que os alegados crimes não correspondem a uma opinião ou a um voto emitido</w:t>
      </w:r>
      <w:r w:rsidR="006E3E29" w:rsidRPr="008F68FA">
        <w:t>s</w:t>
      </w:r>
      <w:r w:rsidRPr="008F68FA">
        <w:t xml:space="preserve"> por </w:t>
      </w:r>
      <w:proofErr w:type="spellStart"/>
      <w:r w:rsidRPr="008F68FA">
        <w:t>Alvise</w:t>
      </w:r>
      <w:proofErr w:type="spellEnd"/>
      <w:r w:rsidRPr="008F68FA">
        <w:t xml:space="preserve"> Pérez no exercício das suas funções, na aceção do artigo 8.º do Protocolo n.º 7 relativo aos Privilégios e Imunidades da União Europeia, nem o pedido subsequente de levantamento da imunidade de </w:t>
      </w:r>
      <w:proofErr w:type="spellStart"/>
      <w:r w:rsidRPr="008F68FA">
        <w:t>Alvise</w:t>
      </w:r>
      <w:proofErr w:type="spellEnd"/>
      <w:r w:rsidRPr="008F68FA">
        <w:t> Pérez está relacionado com tal opinião ou voto;</w:t>
      </w:r>
    </w:p>
    <w:p w14:paraId="0926FBB7" w14:textId="1AA2C4F9" w:rsidR="002A35AB" w:rsidRPr="008F68FA" w:rsidRDefault="002A35AB" w:rsidP="002A35AB">
      <w:pPr>
        <w:pStyle w:val="NormalHanging12a"/>
      </w:pPr>
      <w:r w:rsidRPr="008F68FA">
        <w:t>E.</w:t>
      </w:r>
      <w:r w:rsidRPr="008F68FA">
        <w:tab/>
        <w:t xml:space="preserve">Considerando que o artigo 9.º, primeiro parágrafo, alínea a), do Protocolo n.º 7 relativo aos Privilégios e Imunidades da União Europeia prevê que, </w:t>
      </w:r>
      <w:r w:rsidR="00DD3AB6" w:rsidRPr="008F68FA">
        <w:t xml:space="preserve">enquanto durarem </w:t>
      </w:r>
      <w:r w:rsidRPr="008F68FA">
        <w:t xml:space="preserve">as sessões do Parlamento Europeu, os seus </w:t>
      </w:r>
      <w:r w:rsidR="00DD3AB6" w:rsidRPr="008F68FA">
        <w:t>membros beneficiam</w:t>
      </w:r>
      <w:r w:rsidRPr="008F68FA">
        <w:t xml:space="preserve">, no </w:t>
      </w:r>
      <w:r w:rsidR="00DD3AB6" w:rsidRPr="008F68FA">
        <w:t xml:space="preserve">seu </w:t>
      </w:r>
      <w:r w:rsidRPr="008F68FA">
        <w:t>território nacional, das imunidades reconhecidas aos membros do Parlamento do seu país;</w:t>
      </w:r>
    </w:p>
    <w:p w14:paraId="37934AFC" w14:textId="77777777" w:rsidR="002A35AB" w:rsidRPr="008F68FA" w:rsidRDefault="002A35AB" w:rsidP="002A35AB">
      <w:pPr>
        <w:pStyle w:val="NormalHanging12a"/>
      </w:pPr>
      <w:r w:rsidRPr="008F68FA">
        <w:t>F.</w:t>
      </w:r>
      <w:r w:rsidRPr="008F68FA">
        <w:tab/>
        <w:t>Considerando que o artigo 71.º, n.</w:t>
      </w:r>
      <w:r w:rsidRPr="008F68FA">
        <w:rPr>
          <w:vertAlign w:val="superscript"/>
        </w:rPr>
        <w:t>os</w:t>
      </w:r>
      <w:r w:rsidRPr="008F68FA">
        <w:t> 1 e 2, da Constituição espanhola prevê que:</w:t>
      </w:r>
    </w:p>
    <w:p w14:paraId="28B08588" w14:textId="716B33BC" w:rsidR="002A35AB" w:rsidRPr="008F68FA" w:rsidRDefault="002A35AB" w:rsidP="008F68FA">
      <w:pPr>
        <w:pStyle w:val="NormalHanging12a"/>
        <w:ind w:left="1418"/>
        <w:rPr>
          <w:i/>
        </w:rPr>
      </w:pPr>
      <w:r w:rsidRPr="008F68FA">
        <w:rPr>
          <w:i/>
        </w:rPr>
        <w:t>«1.</w:t>
      </w:r>
      <w:r w:rsidRPr="008F68FA">
        <w:rPr>
          <w:i/>
        </w:rPr>
        <w:tab/>
        <w:t>Os deputados e os senadores não podem ser responsabilizados pelas opiniões que emitem no exercício das suas funções.</w:t>
      </w:r>
    </w:p>
    <w:p w14:paraId="16FF8009" w14:textId="38ACA4BD" w:rsidR="002A35AB" w:rsidRPr="008F68FA" w:rsidRDefault="002A35AB" w:rsidP="008F68FA">
      <w:pPr>
        <w:pStyle w:val="NormalHanging12a"/>
        <w:ind w:left="1418"/>
      </w:pPr>
      <w:r w:rsidRPr="008F68FA">
        <w:rPr>
          <w:i/>
        </w:rPr>
        <w:t>2.</w:t>
      </w:r>
      <w:r w:rsidRPr="008F68FA">
        <w:rPr>
          <w:i/>
        </w:rPr>
        <w:tab/>
        <w:t>Durante o respetivo mandato, os deputados e os senadores gozam igualmente de imunidade e só podem ser detidos ou presos em caso de flagrante delito, não podendo ser constituídos arguidos ou acusados sem autorização prévia da Câmara a que pertencem.»;</w:t>
      </w:r>
    </w:p>
    <w:p w14:paraId="62DF93A3" w14:textId="77777777" w:rsidR="002A35AB" w:rsidRPr="008F68FA" w:rsidRDefault="002A35AB" w:rsidP="002A35AB">
      <w:pPr>
        <w:pStyle w:val="NormalHanging12a"/>
      </w:pPr>
      <w:r w:rsidRPr="008F68FA">
        <w:t>G.</w:t>
      </w:r>
      <w:r w:rsidRPr="008F68FA">
        <w:tab/>
        <w:t xml:space="preserve">Considerando que o objetivo da imunidade </w:t>
      </w:r>
      <w:bookmarkStart w:id="9" w:name="_Hlk222405989"/>
      <w:r w:rsidRPr="008F68FA">
        <w:t>prevista no Protocolo n.º 7 relativo aos Privilégios e Imunidades da União Europeia</w:t>
      </w:r>
      <w:bookmarkEnd w:id="9"/>
      <w:r w:rsidRPr="008F68FA">
        <w:t xml:space="preserve"> é proteger o Parlamento e os seus deputados de processos judiciais relacionados com atividades realizadas no desempenho das suas funções parlamentares e que não podem ser separadas dessas funções;</w:t>
      </w:r>
    </w:p>
    <w:p w14:paraId="362FC129" w14:textId="66493FA7" w:rsidR="002A35AB" w:rsidRPr="008F68FA" w:rsidRDefault="002A35AB" w:rsidP="002A35AB">
      <w:pPr>
        <w:pStyle w:val="NormalHanging12a"/>
      </w:pPr>
      <w:r w:rsidRPr="008F68FA">
        <w:t>H.</w:t>
      </w:r>
      <w:r w:rsidRPr="008F68FA">
        <w:tab/>
        <w:t xml:space="preserve">Considerando que, nos termos do artigo 5.º, n.º 2, do seu Regimento, a imunidade </w:t>
      </w:r>
      <w:r w:rsidRPr="008F68FA">
        <w:lastRenderedPageBreak/>
        <w:t>parlamentar não é um privilégio pessoal dos deputados, mas sim uma garantia da independência do Parlamento como um todo, e dos seus membros;</w:t>
      </w:r>
    </w:p>
    <w:p w14:paraId="61121FC7" w14:textId="7E5E3EE8" w:rsidR="002A35AB" w:rsidRPr="008F68FA" w:rsidRDefault="002A35AB" w:rsidP="002A35AB">
      <w:pPr>
        <w:pStyle w:val="NormalHanging12a"/>
      </w:pPr>
      <w:r w:rsidRPr="008F68FA">
        <w:t>I.</w:t>
      </w:r>
      <w:r w:rsidRPr="008F68FA">
        <w:tab/>
        <w:t xml:space="preserve">Considerando que, no caso em apreço, o Parlamento não conseguiu demonstrar a existência de </w:t>
      </w:r>
      <w:proofErr w:type="spellStart"/>
      <w:r w:rsidRPr="008F68FA">
        <w:rPr>
          <w:i/>
          <w:iCs/>
        </w:rPr>
        <w:t>fumus</w:t>
      </w:r>
      <w:proofErr w:type="spellEnd"/>
      <w:r w:rsidRPr="008F68FA">
        <w:rPr>
          <w:i/>
          <w:iCs/>
        </w:rPr>
        <w:t xml:space="preserve"> </w:t>
      </w:r>
      <w:proofErr w:type="spellStart"/>
      <w:r w:rsidRPr="008F68FA">
        <w:rPr>
          <w:i/>
          <w:iCs/>
        </w:rPr>
        <w:t>persecutionis</w:t>
      </w:r>
      <w:proofErr w:type="spellEnd"/>
      <w:r w:rsidRPr="008F68FA">
        <w:t xml:space="preserve">, ou seja, </w:t>
      </w:r>
      <w:r w:rsidR="003B0216" w:rsidRPr="008F68FA">
        <w:t>não parece</w:t>
      </w:r>
      <w:r w:rsidRPr="008F68FA">
        <w:t xml:space="preserve"> que o processo judicial em causa </w:t>
      </w:r>
      <w:r w:rsidR="003B0216" w:rsidRPr="008F68FA">
        <w:t xml:space="preserve">tenha sido </w:t>
      </w:r>
      <w:r w:rsidRPr="008F68FA">
        <w:t xml:space="preserve">instaurado com a intenção de prejudicar a atividade política de </w:t>
      </w:r>
      <w:proofErr w:type="spellStart"/>
      <w:r w:rsidRPr="008F68FA">
        <w:t>Alvise</w:t>
      </w:r>
      <w:proofErr w:type="spellEnd"/>
      <w:r w:rsidRPr="008F68FA">
        <w:t> Pérez enquanto deputado ao Parlamento Europeu</w:t>
      </w:r>
      <w:r w:rsidR="003B0216" w:rsidRPr="008F68FA">
        <w:t xml:space="preserve"> e a independência do Parlamento Europeu</w:t>
      </w:r>
      <w:r w:rsidRPr="008F68FA">
        <w:t>;</w:t>
      </w:r>
    </w:p>
    <w:p w14:paraId="0F5A05FD" w14:textId="21DD3735" w:rsidR="002A35AB" w:rsidRPr="008F68FA" w:rsidRDefault="002A35AB" w:rsidP="002A35AB">
      <w:pPr>
        <w:pStyle w:val="NormalHanging12a"/>
      </w:pPr>
      <w:r w:rsidRPr="008F68FA">
        <w:t>J.</w:t>
      </w:r>
      <w:r w:rsidRPr="008F68FA">
        <w:tab/>
        <w:t>Considerando</w:t>
      </w:r>
      <w:r w:rsidR="00395FE4" w:rsidRPr="008F68FA">
        <w:t xml:space="preserve"> </w:t>
      </w:r>
      <w:r w:rsidRPr="008F68FA">
        <w:t>que o Parlamento não pode ser equiparado a um tribunal e que</w:t>
      </w:r>
      <w:r w:rsidR="00395FE4" w:rsidRPr="008F68FA">
        <w:t xml:space="preserve"> um</w:t>
      </w:r>
      <w:r w:rsidRPr="008F68FA">
        <w:t xml:space="preserve"> deputado, no contexto de um processo de levantamento da imunidade, não pode ser considerado «arguido»</w:t>
      </w:r>
      <w:r w:rsidRPr="008F68FA">
        <w:rPr>
          <w:vertAlign w:val="superscript"/>
        </w:rPr>
        <w:footnoteReference w:id="2"/>
      </w:r>
      <w:r w:rsidRPr="008F68FA">
        <w:t>;</w:t>
      </w:r>
    </w:p>
    <w:p w14:paraId="0BA47595" w14:textId="77777777" w:rsidR="002A35AB" w:rsidRPr="008F68FA" w:rsidRDefault="002A35AB" w:rsidP="002A35AB">
      <w:pPr>
        <w:pStyle w:val="NormalHanging12a"/>
      </w:pPr>
      <w:r w:rsidRPr="008F68FA">
        <w:t>1.</w:t>
      </w:r>
      <w:r w:rsidRPr="008F68FA">
        <w:tab/>
        <w:t xml:space="preserve">Decide levantar a imunidade de </w:t>
      </w:r>
      <w:proofErr w:type="spellStart"/>
      <w:r w:rsidRPr="008F68FA">
        <w:t>Alvise</w:t>
      </w:r>
      <w:proofErr w:type="spellEnd"/>
      <w:r w:rsidRPr="008F68FA">
        <w:t> Pérez;</w:t>
      </w:r>
    </w:p>
    <w:p w14:paraId="3F3F9139" w14:textId="60EA4A99" w:rsidR="00605FDE" w:rsidRPr="008F68FA" w:rsidRDefault="002A35AB" w:rsidP="00605FDE">
      <w:pPr>
        <w:pStyle w:val="NormalHanging12a"/>
      </w:pPr>
      <w:r w:rsidRPr="008F68FA">
        <w:t>2.</w:t>
      </w:r>
      <w:r w:rsidRPr="008F68FA">
        <w:tab/>
        <w:t xml:space="preserve">Encarrega a sua Presidente de transmitir de imediato a presente decisão </w:t>
      </w:r>
      <w:r w:rsidR="00395FE4" w:rsidRPr="008F68FA">
        <w:t>e</w:t>
      </w:r>
      <w:r w:rsidRPr="008F68FA">
        <w:t xml:space="preserve"> o relatório da sua comissão </w:t>
      </w:r>
      <w:r w:rsidR="003B0216" w:rsidRPr="008F68FA">
        <w:t>competente</w:t>
      </w:r>
      <w:r w:rsidRPr="008F68FA">
        <w:t xml:space="preserve">, às autoridades competentes </w:t>
      </w:r>
      <w:r w:rsidR="003B0216" w:rsidRPr="008F68FA">
        <w:t xml:space="preserve">do Reino de Espanha </w:t>
      </w:r>
      <w:r w:rsidRPr="008F68FA">
        <w:t xml:space="preserve">e a </w:t>
      </w:r>
      <w:proofErr w:type="spellStart"/>
      <w:r w:rsidRPr="008F68FA">
        <w:t>Alvise</w:t>
      </w:r>
      <w:proofErr w:type="spellEnd"/>
      <w:r w:rsidRPr="008F68FA">
        <w:t xml:space="preserve"> Pérez. </w:t>
      </w:r>
    </w:p>
    <w:p w14:paraId="6AA62E02" w14:textId="4AE6E5D1" w:rsidR="00E365E1" w:rsidRPr="008F68FA" w:rsidRDefault="00E365E1" w:rsidP="007E283A"/>
    <w:sectPr w:rsidR="00E365E1" w:rsidRPr="008F68FA" w:rsidSect="00605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C0550" w14:textId="77777777" w:rsidR="007E283A" w:rsidRPr="00605FDE" w:rsidRDefault="007E283A">
      <w:r w:rsidRPr="00605FDE">
        <w:separator/>
      </w:r>
    </w:p>
  </w:endnote>
  <w:endnote w:type="continuationSeparator" w:id="0">
    <w:p w14:paraId="544C79D4" w14:textId="77777777" w:rsidR="007E283A" w:rsidRPr="00605FDE" w:rsidRDefault="007E283A">
      <w:r w:rsidRPr="00605F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ECF6" w14:textId="77777777" w:rsidR="00064002" w:rsidRPr="00605F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E3FF" w14:textId="77777777" w:rsidR="00064002" w:rsidRPr="00605F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3013" w14:textId="77777777" w:rsidR="00064002" w:rsidRPr="00605F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4B7E8" w14:textId="77777777" w:rsidR="007E283A" w:rsidRPr="00605FDE" w:rsidRDefault="007E283A">
      <w:r w:rsidRPr="00605FDE">
        <w:separator/>
      </w:r>
    </w:p>
  </w:footnote>
  <w:footnote w:type="continuationSeparator" w:id="0">
    <w:p w14:paraId="546C9CAD" w14:textId="77777777" w:rsidR="007E283A" w:rsidRPr="00605FDE" w:rsidRDefault="007E283A">
      <w:r w:rsidRPr="00605FDE">
        <w:continuationSeparator/>
      </w:r>
    </w:p>
  </w:footnote>
  <w:footnote w:id="1">
    <w:p w14:paraId="62D7CEFF" w14:textId="173CB257" w:rsidR="002A35AB" w:rsidRPr="00605FDE" w:rsidRDefault="002A35AB" w:rsidP="00605FDE">
      <w:pPr>
        <w:pStyle w:val="FootnoteText"/>
        <w:ind w:left="567" w:hanging="567"/>
        <w:rPr>
          <w:sz w:val="24"/>
          <w:lang w:val="pt-PT"/>
        </w:rPr>
      </w:pPr>
      <w:r w:rsidRPr="00605FDE">
        <w:rPr>
          <w:rStyle w:val="FootnoteReference"/>
          <w:sz w:val="24"/>
          <w:lang w:val="pt-PT"/>
        </w:rPr>
        <w:footnoteRef/>
      </w:r>
      <w:r w:rsidR="00605FDE" w:rsidRPr="00605FDE">
        <w:rPr>
          <w:sz w:val="24"/>
          <w:lang w:val="pt-PT"/>
        </w:rPr>
        <w:t xml:space="preserve"> </w:t>
      </w:r>
      <w:r w:rsidR="00605FDE" w:rsidRPr="00605FDE">
        <w:rPr>
          <w:sz w:val="24"/>
          <w:lang w:val="pt-PT"/>
        </w:rPr>
        <w:tab/>
      </w:r>
      <w:r w:rsidRPr="00605FDE">
        <w:rPr>
          <w:sz w:val="24"/>
          <w:lang w:val="pt-PT"/>
        </w:rPr>
        <w:t xml:space="preserve">Acórdão do Tribunal de Justiça, de 21 de outubro de 2008, Marra/De </w:t>
      </w:r>
      <w:proofErr w:type="spellStart"/>
      <w:r w:rsidRPr="00605FDE">
        <w:rPr>
          <w:sz w:val="24"/>
          <w:lang w:val="pt-PT"/>
        </w:rPr>
        <w:t>Gregorio</w:t>
      </w:r>
      <w:proofErr w:type="spellEnd"/>
      <w:r w:rsidRPr="00605FDE">
        <w:rPr>
          <w:sz w:val="24"/>
          <w:lang w:val="pt-PT"/>
        </w:rPr>
        <w:t xml:space="preserve"> e Clemente, C-200/07 e C–201/07, ECLI:EU:C:2008:579; Acórdão do Tribunal Geral de 19 de março de 2010, </w:t>
      </w:r>
      <w:proofErr w:type="spellStart"/>
      <w:r w:rsidRPr="00605FDE">
        <w:rPr>
          <w:sz w:val="24"/>
          <w:lang w:val="pt-PT"/>
        </w:rPr>
        <w:t>Gollnisch</w:t>
      </w:r>
      <w:proofErr w:type="spellEnd"/>
      <w:r w:rsidRPr="00605FDE">
        <w:rPr>
          <w:sz w:val="24"/>
          <w:lang w:val="pt-PT"/>
        </w:rPr>
        <w:t xml:space="preserve">/Parlamento Europeu, T-42/06, ECLI:EU:T:2010:102; Acórdão do Tribunal de Justiça, de 6 de setembro de 2011, </w:t>
      </w:r>
      <w:proofErr w:type="spellStart"/>
      <w:r w:rsidRPr="00605FDE">
        <w:rPr>
          <w:sz w:val="24"/>
          <w:lang w:val="pt-PT"/>
        </w:rPr>
        <w:t>Patriciello</w:t>
      </w:r>
      <w:proofErr w:type="spellEnd"/>
      <w:r w:rsidRPr="00605FDE">
        <w:rPr>
          <w:sz w:val="24"/>
          <w:lang w:val="pt-PT"/>
        </w:rPr>
        <w:t xml:space="preserve">, C‑163/10, ECLI: EU:C:2011:543; Acórdão do Tribunal Geral, de 17 de janeiro de 2013, </w:t>
      </w:r>
      <w:proofErr w:type="spellStart"/>
      <w:r w:rsidRPr="00605FDE">
        <w:rPr>
          <w:sz w:val="24"/>
          <w:lang w:val="pt-PT"/>
        </w:rPr>
        <w:t>Gollnisch</w:t>
      </w:r>
      <w:proofErr w:type="spellEnd"/>
      <w:r w:rsidRPr="00605FDE">
        <w:rPr>
          <w:sz w:val="24"/>
          <w:lang w:val="pt-PT"/>
        </w:rPr>
        <w:t xml:space="preserve">/Parlamento Europeu, T-346/11 e T-347/11, ECLI:EU:T:2013:23; Acórdão do Tribunal de Justiça de 19 de dezembro de 2019, </w:t>
      </w:r>
      <w:proofErr w:type="spellStart"/>
      <w:r w:rsidRPr="00605FDE">
        <w:rPr>
          <w:sz w:val="24"/>
          <w:lang w:val="pt-PT"/>
        </w:rPr>
        <w:t>Junqueras</w:t>
      </w:r>
      <w:proofErr w:type="spellEnd"/>
      <w:r w:rsidRPr="00605FDE">
        <w:rPr>
          <w:sz w:val="24"/>
          <w:lang w:val="pt-PT"/>
        </w:rPr>
        <w:t xml:space="preserve"> </w:t>
      </w:r>
      <w:proofErr w:type="spellStart"/>
      <w:r w:rsidRPr="00605FDE">
        <w:rPr>
          <w:sz w:val="24"/>
          <w:lang w:val="pt-PT"/>
        </w:rPr>
        <w:t>Vies</w:t>
      </w:r>
      <w:proofErr w:type="spellEnd"/>
      <w:r w:rsidRPr="00605FDE">
        <w:rPr>
          <w:sz w:val="24"/>
          <w:lang w:val="pt-PT"/>
        </w:rPr>
        <w:t>, C-502/19, ECLI:EU:C:2019:1115.</w:t>
      </w:r>
    </w:p>
  </w:footnote>
  <w:footnote w:id="2">
    <w:p w14:paraId="0C2D05F3" w14:textId="4EC317CC" w:rsidR="002A35AB" w:rsidRPr="00605FDE" w:rsidRDefault="002A35AB" w:rsidP="00605FDE">
      <w:pPr>
        <w:pStyle w:val="FootnoteText"/>
        <w:ind w:left="567" w:hanging="567"/>
        <w:rPr>
          <w:sz w:val="24"/>
          <w:lang w:val="pt-PT"/>
        </w:rPr>
      </w:pPr>
      <w:r w:rsidRPr="00605FDE">
        <w:rPr>
          <w:rStyle w:val="FootnoteReference"/>
          <w:sz w:val="24"/>
          <w:lang w:val="pt-PT"/>
        </w:rPr>
        <w:footnoteRef/>
      </w:r>
      <w:r w:rsidR="00605FDE" w:rsidRPr="00605FDE">
        <w:rPr>
          <w:sz w:val="24"/>
          <w:lang w:val="pt-PT"/>
        </w:rPr>
        <w:t xml:space="preserve"> </w:t>
      </w:r>
      <w:r w:rsidR="00605FDE" w:rsidRPr="00605FDE">
        <w:rPr>
          <w:sz w:val="24"/>
          <w:lang w:val="pt-PT"/>
        </w:rPr>
        <w:tab/>
      </w:r>
      <w:r w:rsidRPr="00605FDE">
        <w:rPr>
          <w:sz w:val="24"/>
          <w:lang w:val="pt-PT"/>
        </w:rPr>
        <w:t xml:space="preserve">Acórdão do Tribunal Geral de 30 de abril de 2019, </w:t>
      </w:r>
      <w:proofErr w:type="spellStart"/>
      <w:r w:rsidRPr="00605FDE">
        <w:rPr>
          <w:sz w:val="24"/>
          <w:lang w:val="pt-PT"/>
        </w:rPr>
        <w:t>Briois</w:t>
      </w:r>
      <w:proofErr w:type="spellEnd"/>
      <w:r w:rsidRPr="00605FDE">
        <w:rPr>
          <w:sz w:val="24"/>
          <w:lang w:val="pt-PT"/>
        </w:rPr>
        <w:t>/Parlamento Europeu,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0C7F6" w14:textId="77777777" w:rsidR="00064002" w:rsidRPr="00605F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3C9D" w14:textId="77777777" w:rsidR="00064002" w:rsidRPr="00605F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3898" w14:textId="77777777" w:rsidR="00064002" w:rsidRPr="00605F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5644910">
    <w:abstractNumId w:val="9"/>
  </w:num>
  <w:num w:numId="2" w16cid:durableId="798719589">
    <w:abstractNumId w:val="9"/>
  </w:num>
  <w:num w:numId="3" w16cid:durableId="1176847673">
    <w:abstractNumId w:val="7"/>
  </w:num>
  <w:num w:numId="4" w16cid:durableId="609356764">
    <w:abstractNumId w:val="7"/>
  </w:num>
  <w:num w:numId="5" w16cid:durableId="1775979903">
    <w:abstractNumId w:val="6"/>
  </w:num>
  <w:num w:numId="6" w16cid:durableId="1820809123">
    <w:abstractNumId w:val="6"/>
  </w:num>
  <w:num w:numId="7" w16cid:durableId="1054425208">
    <w:abstractNumId w:val="5"/>
  </w:num>
  <w:num w:numId="8" w16cid:durableId="272905694">
    <w:abstractNumId w:val="5"/>
  </w:num>
  <w:num w:numId="9" w16cid:durableId="2004624694">
    <w:abstractNumId w:val="4"/>
  </w:num>
  <w:num w:numId="10" w16cid:durableId="2106681648">
    <w:abstractNumId w:val="4"/>
  </w:num>
  <w:num w:numId="11" w16cid:durableId="1732923850">
    <w:abstractNumId w:val="8"/>
  </w:num>
  <w:num w:numId="12" w16cid:durableId="1926304620">
    <w:abstractNumId w:val="8"/>
  </w:num>
  <w:num w:numId="13" w16cid:durableId="335767938">
    <w:abstractNumId w:val="3"/>
  </w:num>
  <w:num w:numId="14" w16cid:durableId="1573808179">
    <w:abstractNumId w:val="3"/>
  </w:num>
  <w:num w:numId="15" w16cid:durableId="436566363">
    <w:abstractNumId w:val="2"/>
  </w:num>
  <w:num w:numId="16" w16cid:durableId="1751997027">
    <w:abstractNumId w:val="2"/>
  </w:num>
  <w:num w:numId="17" w16cid:durableId="1920207846">
    <w:abstractNumId w:val="1"/>
  </w:num>
  <w:num w:numId="18" w16cid:durableId="1367221132">
    <w:abstractNumId w:val="1"/>
  </w:num>
  <w:num w:numId="19" w16cid:durableId="1219127891">
    <w:abstractNumId w:val="0"/>
  </w:num>
  <w:num w:numId="20" w16cid:durableId="342050487">
    <w:abstractNumId w:val="0"/>
  </w:num>
  <w:num w:numId="21" w16cid:durableId="1250576795">
    <w:abstractNumId w:val="9"/>
  </w:num>
  <w:num w:numId="22" w16cid:durableId="1232692682">
    <w:abstractNumId w:val="7"/>
  </w:num>
  <w:num w:numId="23" w16cid:durableId="446971763">
    <w:abstractNumId w:val="6"/>
  </w:num>
  <w:num w:numId="24" w16cid:durableId="1301305718">
    <w:abstractNumId w:val="5"/>
  </w:num>
  <w:num w:numId="25" w16cid:durableId="591741449">
    <w:abstractNumId w:val="4"/>
  </w:num>
  <w:num w:numId="26" w16cid:durableId="755790167">
    <w:abstractNumId w:val="8"/>
  </w:num>
  <w:num w:numId="27" w16cid:durableId="464129727">
    <w:abstractNumId w:val="3"/>
  </w:num>
  <w:num w:numId="28" w16cid:durableId="1736395700">
    <w:abstractNumId w:val="2"/>
  </w:num>
  <w:num w:numId="29" w16cid:durableId="1450708812">
    <w:abstractNumId w:val="1"/>
  </w:num>
  <w:num w:numId="30" w16cid:durableId="191042801">
    <w:abstractNumId w:val="0"/>
  </w:num>
  <w:num w:numId="31" w16cid:durableId="1829521041">
    <w:abstractNumId w:val="9"/>
  </w:num>
  <w:num w:numId="32" w16cid:durableId="1720475887">
    <w:abstractNumId w:val="7"/>
  </w:num>
  <w:num w:numId="33" w16cid:durableId="1052195209">
    <w:abstractNumId w:val="6"/>
  </w:num>
  <w:num w:numId="34" w16cid:durableId="1816600609">
    <w:abstractNumId w:val="5"/>
  </w:num>
  <w:num w:numId="35" w16cid:durableId="1903710219">
    <w:abstractNumId w:val="4"/>
  </w:num>
  <w:num w:numId="36" w16cid:durableId="272128732">
    <w:abstractNumId w:val="8"/>
  </w:num>
  <w:num w:numId="37" w16cid:durableId="1405253714">
    <w:abstractNumId w:val="3"/>
  </w:num>
  <w:num w:numId="38" w16cid:durableId="1551258748">
    <w:abstractNumId w:val="2"/>
  </w:num>
  <w:num w:numId="39" w16cid:durableId="423455478">
    <w:abstractNumId w:val="1"/>
  </w:num>
  <w:num w:numId="40" w16cid:durableId="840975391">
    <w:abstractNumId w:val="0"/>
  </w:num>
  <w:num w:numId="41" w16cid:durableId="762529098">
    <w:abstractNumId w:val="10"/>
  </w:num>
  <w:num w:numId="42" w16cid:durableId="13463519">
    <w:abstractNumId w:val="10"/>
  </w:num>
  <w:num w:numId="43" w16cid:durableId="239019692">
    <w:abstractNumId w:val="10"/>
  </w:num>
  <w:num w:numId="44" w16cid:durableId="1339308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PT"/>
    <w:docVar w:name="dvnumam" w:val="0"/>
    <w:docVar w:name="dvpe" w:val="785.310"/>
    <w:docVar w:name="dvrapporteur" w:val="Relator: "/>
    <w:docVar w:name="dvtitre" w:val="Decisão do Parlamento Europeu, de ... de ... de 2026,_x000d__x000a_ sobre o pedido de levantamento da imunidade de Alvise Pérez(2025/2236(IMM))"/>
  </w:docVars>
  <w:rsids>
    <w:rsidRoot w:val="007E28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5AB"/>
    <w:rsid w:val="002A5D3A"/>
    <w:rsid w:val="002B18FE"/>
    <w:rsid w:val="002B5493"/>
    <w:rsid w:val="002E3D08"/>
    <w:rsid w:val="00343214"/>
    <w:rsid w:val="00347FDB"/>
    <w:rsid w:val="00361C00"/>
    <w:rsid w:val="00395FA1"/>
    <w:rsid w:val="00395FE4"/>
    <w:rsid w:val="003B0216"/>
    <w:rsid w:val="003E15D4"/>
    <w:rsid w:val="003F787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3C2"/>
    <w:rsid w:val="005C2568"/>
    <w:rsid w:val="005E4571"/>
    <w:rsid w:val="005F1B17"/>
    <w:rsid w:val="006037C0"/>
    <w:rsid w:val="00605FDE"/>
    <w:rsid w:val="00660AD7"/>
    <w:rsid w:val="006631B6"/>
    <w:rsid w:val="00680577"/>
    <w:rsid w:val="006E2C75"/>
    <w:rsid w:val="006E3E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83A"/>
    <w:rsid w:val="00817416"/>
    <w:rsid w:val="00842779"/>
    <w:rsid w:val="00865F67"/>
    <w:rsid w:val="00881A7B"/>
    <w:rsid w:val="008840E5"/>
    <w:rsid w:val="00887B3E"/>
    <w:rsid w:val="008C2AC6"/>
    <w:rsid w:val="008F68F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D86"/>
    <w:rsid w:val="00AE0928"/>
    <w:rsid w:val="00AF3B82"/>
    <w:rsid w:val="00B12E95"/>
    <w:rsid w:val="00B22876"/>
    <w:rsid w:val="00B338EA"/>
    <w:rsid w:val="00B558F0"/>
    <w:rsid w:val="00BD48FE"/>
    <w:rsid w:val="00BD7BD8"/>
    <w:rsid w:val="00BE6ADC"/>
    <w:rsid w:val="00C05BFE"/>
    <w:rsid w:val="00C23CD4"/>
    <w:rsid w:val="00C3420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AB6"/>
    <w:rsid w:val="00E365E1"/>
    <w:rsid w:val="00E73199"/>
    <w:rsid w:val="00E820A4"/>
    <w:rsid w:val="00EB006A"/>
    <w:rsid w:val="00EB4772"/>
    <w:rsid w:val="00ED169E"/>
    <w:rsid w:val="00ED4235"/>
    <w:rsid w:val="00F01AC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37E8F"/>
  <w15:chartTrackingRefBased/>
  <w15:docId w15:val="{0CDADE94-8661-4382-8CD8-C9CB9B81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A35AB"/>
    <w:pPr>
      <w:spacing w:after="240"/>
      <w:ind w:left="567" w:hanging="567"/>
    </w:pPr>
  </w:style>
  <w:style w:type="paragraph" w:customStyle="1" w:styleId="EPComma">
    <w:name w:val="EPComma"/>
    <w:basedOn w:val="Normal"/>
    <w:rsid w:val="002A35AB"/>
    <w:pPr>
      <w:spacing w:before="480" w:after="240"/>
    </w:pPr>
  </w:style>
  <w:style w:type="paragraph" w:styleId="Revision">
    <w:name w:val="Revision"/>
    <w:hidden/>
    <w:uiPriority w:val="99"/>
    <w:semiHidden/>
    <w:rsid w:val="00E73199"/>
    <w:rPr>
      <w:sz w:val="24"/>
      <w:lang w:val="pt-PT"/>
    </w:rPr>
  </w:style>
  <w:style w:type="character" w:styleId="CommentReference">
    <w:name w:val="annotation reference"/>
    <w:basedOn w:val="DefaultParagraphFont"/>
    <w:rsid w:val="006E3E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3E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3E2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E3E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3E29"/>
    <w:rPr>
      <w:b/>
      <w:bCs/>
      <w:lang w:val="pt-PT"/>
    </w:rPr>
  </w:style>
  <w:style w:type="character" w:styleId="Hyperlink">
    <w:name w:val="Hyperlink"/>
    <w:basedOn w:val="DefaultParagraphFont"/>
    <w:rsid w:val="006E3E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4635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2026-05-19T11:06:00Z</dcterms:created>
  <dcterms:modified xsi:type="dcterms:W3CDTF">2026-05-19T11:06:00Z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