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56DF" w14:paraId="438AB1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8E65D9" w14:textId="77777777" w:rsidR="00751A4A" w:rsidRPr="00D856DF" w:rsidRDefault="0070041C" w:rsidP="0010095E">
            <w:pPr>
              <w:pStyle w:val="EPName"/>
            </w:pPr>
            <w:r w:rsidRPr="00D856DF">
              <w:t>Parlamento Europeo</w:t>
            </w:r>
          </w:p>
          <w:p w14:paraId="3EE5F24D" w14:textId="77777777" w:rsidR="00751A4A" w:rsidRPr="00D856D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56DF">
              <w:t>2024</w:t>
            </w:r>
            <w:r w:rsidR="00817416" w:rsidRPr="00D856DF">
              <w:t>-202</w:t>
            </w:r>
            <w:r w:rsidRPr="00D856DF">
              <w:t>9</w:t>
            </w:r>
          </w:p>
        </w:tc>
        <w:tc>
          <w:tcPr>
            <w:tcW w:w="2268" w:type="dxa"/>
            <w:shd w:val="clear" w:color="auto" w:fill="auto"/>
          </w:tcPr>
          <w:p w14:paraId="168D3DDB" w14:textId="77777777" w:rsidR="00751A4A" w:rsidRPr="00D856DF" w:rsidRDefault="00187494" w:rsidP="0010095E">
            <w:pPr>
              <w:pStyle w:val="EPLogo"/>
            </w:pPr>
            <w:r w:rsidRPr="00D856DF">
              <w:rPr>
                <w:noProof/>
                <w:lang w:eastAsia="ja-JP"/>
              </w:rPr>
              <w:drawing>
                <wp:inline distT="0" distB="0" distL="0" distR="0" wp14:anchorId="63A4D5C8" wp14:editId="45AA40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31A7A" w14:textId="77777777" w:rsidR="00D058B8" w:rsidRPr="00D856DF" w:rsidRDefault="00D058B8" w:rsidP="004C5D52">
      <w:pPr>
        <w:pStyle w:val="LineTop"/>
      </w:pPr>
    </w:p>
    <w:p w14:paraId="4FAB8579" w14:textId="77777777" w:rsidR="00680577" w:rsidRPr="00D856DF" w:rsidRDefault="0070041C" w:rsidP="00680577">
      <w:pPr>
        <w:pStyle w:val="EPBodyTA1"/>
      </w:pPr>
      <w:r w:rsidRPr="00D856DF">
        <w:t>TEXTOS APROBADOS</w:t>
      </w:r>
    </w:p>
    <w:p w14:paraId="022C53EB" w14:textId="77777777" w:rsidR="00D058B8" w:rsidRPr="00D856DF" w:rsidRDefault="00D058B8" w:rsidP="00D058B8">
      <w:pPr>
        <w:pStyle w:val="LineBottom"/>
      </w:pPr>
    </w:p>
    <w:p w14:paraId="799C137E" w14:textId="61649524" w:rsidR="0070041C" w:rsidRPr="00D856DF" w:rsidRDefault="0070041C" w:rsidP="0070041C">
      <w:pPr>
        <w:pStyle w:val="ATHeading1"/>
      </w:pPr>
      <w:bookmarkStart w:id="0" w:name="TANumber"/>
      <w:r w:rsidRPr="00D856DF">
        <w:t>P10_</w:t>
      </w:r>
      <w:proofErr w:type="gramStart"/>
      <w:r w:rsidRPr="00D856DF">
        <w:t>TA(</w:t>
      </w:r>
      <w:proofErr w:type="gramEnd"/>
      <w:r w:rsidRPr="00D856DF">
        <w:t>2026)0</w:t>
      </w:r>
      <w:r w:rsidR="000754FD" w:rsidRPr="00D856DF">
        <w:t>169</w:t>
      </w:r>
      <w:bookmarkEnd w:id="0"/>
    </w:p>
    <w:p w14:paraId="73A4C0A9" w14:textId="77777777" w:rsidR="0070041C" w:rsidRPr="00D856DF" w:rsidRDefault="0070041C" w:rsidP="0070041C">
      <w:pPr>
        <w:pStyle w:val="ATHeading2"/>
      </w:pPr>
      <w:bookmarkStart w:id="1" w:name="title"/>
      <w:r w:rsidRPr="00D856DF">
        <w:t>Espacio ferroviario europeo único: uso de la capacidad de infraestructura ferroviaria</w:t>
      </w:r>
      <w:bookmarkEnd w:id="1"/>
    </w:p>
    <w:p w14:paraId="127FF5EE" w14:textId="77777777" w:rsidR="0070041C" w:rsidRPr="00D856DF" w:rsidRDefault="0070041C" w:rsidP="0070041C">
      <w:pPr>
        <w:rPr>
          <w:i/>
          <w:vanish/>
        </w:rPr>
      </w:pPr>
      <w:r w:rsidRPr="00D856DF">
        <w:rPr>
          <w:i/>
        </w:rPr>
        <w:fldChar w:fldCharType="begin"/>
      </w:r>
      <w:r w:rsidRPr="00D856DF">
        <w:rPr>
          <w:i/>
        </w:rPr>
        <w:instrText xml:space="preserve"> TC"(</w:instrText>
      </w:r>
      <w:bookmarkStart w:id="2" w:name="DocNumber"/>
      <w:r w:rsidRPr="00D856DF">
        <w:rPr>
          <w:i/>
        </w:rPr>
        <w:instrText>A10-0126/2026</w:instrText>
      </w:r>
      <w:bookmarkEnd w:id="2"/>
      <w:r w:rsidRPr="00D856DF">
        <w:rPr>
          <w:i/>
        </w:rPr>
        <w:instrText xml:space="preserve"> - Ponente: Tilly Metz)"\l3 \n&gt; \* MERGEFORMAT </w:instrText>
      </w:r>
      <w:r w:rsidRPr="00D856DF">
        <w:rPr>
          <w:i/>
        </w:rPr>
        <w:fldChar w:fldCharType="end"/>
      </w:r>
    </w:p>
    <w:p w14:paraId="520A598B" w14:textId="77777777" w:rsidR="0070041C" w:rsidRPr="00D856DF" w:rsidRDefault="0070041C" w:rsidP="0070041C">
      <w:pPr>
        <w:rPr>
          <w:vanish/>
        </w:rPr>
      </w:pPr>
      <w:bookmarkStart w:id="3" w:name="Commission"/>
      <w:r w:rsidRPr="00D856DF">
        <w:rPr>
          <w:vanish/>
        </w:rPr>
        <w:t>Comisión de Transportes y Turismo</w:t>
      </w:r>
      <w:bookmarkEnd w:id="3"/>
    </w:p>
    <w:p w14:paraId="7219F82B" w14:textId="77777777" w:rsidR="0070041C" w:rsidRPr="00D856DF" w:rsidRDefault="0070041C" w:rsidP="0070041C">
      <w:pPr>
        <w:rPr>
          <w:vanish/>
        </w:rPr>
      </w:pPr>
      <w:bookmarkStart w:id="4" w:name="PE"/>
      <w:r w:rsidRPr="00D856DF">
        <w:rPr>
          <w:vanish/>
        </w:rPr>
        <w:t>PE787.893</w:t>
      </w:r>
      <w:bookmarkEnd w:id="4"/>
    </w:p>
    <w:p w14:paraId="69527F2E" w14:textId="77777777" w:rsidR="0070041C" w:rsidRPr="00D856DF" w:rsidRDefault="0070041C" w:rsidP="0070041C">
      <w:pPr>
        <w:pStyle w:val="ATHeading3"/>
      </w:pPr>
      <w:bookmarkStart w:id="5" w:name="Sujet"/>
      <w:r w:rsidRPr="00D856DF">
        <w:t>Resolución legislativa del Parlamento Europeo, de 19 de mayo de 2026, sobre la Posición del Consejo en primera lectura con vistas a la adopción del Reglamento del Parlamento Europeo y del Consejo relativo al uso de la capacidad de infraestructura ferroviaria en el espacio ferroviario europeo único, por el que se modifica la Directiva 2012/34/UE y se deroga el Reglamento (UE) n.º 913/2010</w:t>
      </w:r>
      <w:bookmarkEnd w:id="5"/>
      <w:r w:rsidRPr="00D856DF">
        <w:t xml:space="preserve"> </w:t>
      </w:r>
      <w:bookmarkStart w:id="6" w:name="References"/>
      <w:r w:rsidRPr="00D856DF">
        <w:t>(16833/1/2025 – C10-0104/2026 – 2023/0271(COD))</w:t>
      </w:r>
      <w:bookmarkEnd w:id="6"/>
    </w:p>
    <w:p w14:paraId="3B511265" w14:textId="77777777" w:rsidR="004F5A90" w:rsidRPr="00D856DF" w:rsidRDefault="004F5A90" w:rsidP="004F5A90">
      <w:pPr>
        <w:pStyle w:val="NormalBold"/>
        <w:widowControl/>
      </w:pPr>
      <w:bookmarkStart w:id="7" w:name="TextBodyBegin"/>
      <w:bookmarkEnd w:id="7"/>
      <w:r w:rsidRPr="00D856DF">
        <w:t>(Procedimiento legislativo ordinario: segunda lectura)</w:t>
      </w:r>
    </w:p>
    <w:p w14:paraId="303B8DBA" w14:textId="77777777" w:rsidR="004F5A90" w:rsidRPr="00D856DF" w:rsidRDefault="004F5A90" w:rsidP="004F5A90">
      <w:pPr>
        <w:pStyle w:val="EPComma"/>
        <w:widowControl/>
      </w:pPr>
      <w:r w:rsidRPr="00D856DF">
        <w:rPr>
          <w:i/>
          <w:iCs/>
        </w:rPr>
        <w:t>El Parlamento Europeo</w:t>
      </w:r>
      <w:r w:rsidRPr="00D856DF">
        <w:t>,</w:t>
      </w:r>
    </w:p>
    <w:p w14:paraId="77B8D4A9" w14:textId="77777777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Vista la Posición del Consejo en primera lectura (16833/1/2025 – C10</w:t>
      </w:r>
      <w:r w:rsidRPr="00D856DF">
        <w:noBreakHyphen/>
        <w:t>0104/2026),</w:t>
      </w:r>
    </w:p>
    <w:p w14:paraId="08C34B2A" w14:textId="01512BFE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Visto el dictamen del Comité Económico y Social Europeo de 25 de octubre de 2023</w:t>
      </w:r>
      <w:r w:rsidRPr="00D856DF">
        <w:rPr>
          <w:rStyle w:val="FootnoteReference"/>
        </w:rPr>
        <w:footnoteReference w:id="1"/>
      </w:r>
      <w:r w:rsidRPr="00D856DF">
        <w:t>,</w:t>
      </w:r>
    </w:p>
    <w:p w14:paraId="47272FCC" w14:textId="1EBE18EE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Visto el dictamen del Comité de las Regiones de 1 de febrero de 2024</w:t>
      </w:r>
      <w:r w:rsidRPr="00D856DF">
        <w:rPr>
          <w:rStyle w:val="FootnoteReference"/>
        </w:rPr>
        <w:footnoteReference w:id="2"/>
      </w:r>
      <w:r w:rsidRPr="00D856DF">
        <w:t>,</w:t>
      </w:r>
    </w:p>
    <w:p w14:paraId="45617F06" w14:textId="77777777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Vista su Posición en primera lectura</w:t>
      </w:r>
      <w:r w:rsidRPr="00D856DF">
        <w:rPr>
          <w:rStyle w:val="FootnoteReference"/>
        </w:rPr>
        <w:footnoteReference w:id="3"/>
      </w:r>
      <w:r w:rsidRPr="00D856DF">
        <w:t xml:space="preserve"> sobre la propuesta de la Comisión al Parlamento Europeo y al Consejo (</w:t>
      </w:r>
      <w:proofErr w:type="gramStart"/>
      <w:r w:rsidRPr="00D856DF">
        <w:t>COM(</w:t>
      </w:r>
      <w:proofErr w:type="gramEnd"/>
      <w:r w:rsidRPr="00D856DF">
        <w:t>2023)0443),</w:t>
      </w:r>
    </w:p>
    <w:p w14:paraId="4852E1D2" w14:textId="77777777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Visto el artículo 294, apartado 7, del Tratado de Funcionamiento de la Unión Europea,</w:t>
      </w:r>
    </w:p>
    <w:p w14:paraId="2EAE0A8F" w14:textId="77777777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Visto el acuerdo provisional aprobado por la comisión competente con arreglo al artículo 75, apartado 4, de su Reglamento interno,</w:t>
      </w:r>
    </w:p>
    <w:p w14:paraId="65D7DE8C" w14:textId="77777777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Visto el artículo 68 de su Reglamento interno,</w:t>
      </w:r>
    </w:p>
    <w:p w14:paraId="25818F75" w14:textId="77777777" w:rsidR="004F5A90" w:rsidRPr="00D856DF" w:rsidRDefault="004F5A90" w:rsidP="004F5A90">
      <w:pPr>
        <w:pStyle w:val="NormalHanging12a"/>
        <w:widowControl/>
      </w:pPr>
      <w:r w:rsidRPr="00D856DF">
        <w:t>–</w:t>
      </w:r>
      <w:r w:rsidRPr="00D856DF">
        <w:tab/>
        <w:t>Vista la Recomendación para la segunda lectura de la Comisión de Transportes y Turismo (A10-0126/2026),</w:t>
      </w:r>
    </w:p>
    <w:p w14:paraId="766932DF" w14:textId="77777777" w:rsidR="004F5A90" w:rsidRPr="00D856DF" w:rsidRDefault="004F5A90" w:rsidP="004F5A90">
      <w:pPr>
        <w:pStyle w:val="NormalHanging12a"/>
        <w:widowControl/>
      </w:pPr>
      <w:r w:rsidRPr="00D856DF">
        <w:lastRenderedPageBreak/>
        <w:t>1.</w:t>
      </w:r>
      <w:r w:rsidRPr="00D856DF">
        <w:tab/>
        <w:t>Aprueba la Posición del Consejo en primera lectura;</w:t>
      </w:r>
    </w:p>
    <w:p w14:paraId="3CD19E22" w14:textId="77777777" w:rsidR="004F5A90" w:rsidRPr="00D856DF" w:rsidRDefault="004F5A90" w:rsidP="004F5A90">
      <w:pPr>
        <w:pStyle w:val="NormalHanging12a"/>
        <w:widowControl/>
      </w:pPr>
      <w:r w:rsidRPr="00D856DF">
        <w:t>2.</w:t>
      </w:r>
      <w:r w:rsidRPr="00D856DF">
        <w:tab/>
        <w:t>Constata que el acto se adopta con arreglo a la Posición del Consejo;</w:t>
      </w:r>
    </w:p>
    <w:p w14:paraId="50AC4169" w14:textId="77777777" w:rsidR="004F5A90" w:rsidRPr="00D856DF" w:rsidRDefault="004F5A90" w:rsidP="004F5A90">
      <w:pPr>
        <w:pStyle w:val="NormalHanging12a"/>
        <w:widowControl/>
      </w:pPr>
      <w:r w:rsidRPr="00D856DF">
        <w:t>3.</w:t>
      </w:r>
      <w:r w:rsidRPr="00D856DF">
        <w:tab/>
        <w:t xml:space="preserve">Encarga a su presidenta que firme el acto, </w:t>
      </w:r>
      <w:proofErr w:type="gramStart"/>
      <w:r w:rsidRPr="00D856DF">
        <w:t>conjuntamente con</w:t>
      </w:r>
      <w:proofErr w:type="gramEnd"/>
      <w:r w:rsidRPr="00D856DF">
        <w:t xml:space="preserve"> el presidente del Consejo, de conformidad con el artículo 297, apartado 1, del Tratado de Funcionamiento de la Unión Europea;</w:t>
      </w:r>
    </w:p>
    <w:p w14:paraId="7B5648C9" w14:textId="77777777" w:rsidR="004F5A90" w:rsidRPr="00D856DF" w:rsidRDefault="004F5A90" w:rsidP="004F5A90">
      <w:pPr>
        <w:pStyle w:val="NormalHanging12a"/>
        <w:widowControl/>
      </w:pPr>
      <w:r w:rsidRPr="00D856DF">
        <w:t>4.</w:t>
      </w:r>
      <w:r w:rsidRPr="00D856DF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D856DF">
        <w:rPr>
          <w:i/>
          <w:iCs/>
        </w:rPr>
        <w:t>Diario Oficial de la Unión Europea</w:t>
      </w:r>
      <w:r w:rsidRPr="00D856DF">
        <w:t>;</w:t>
      </w:r>
    </w:p>
    <w:p w14:paraId="7751B1D1" w14:textId="1FC49C7F" w:rsidR="00E365E1" w:rsidRPr="00D856DF" w:rsidRDefault="004F5A90" w:rsidP="00062FBA">
      <w:pPr>
        <w:pStyle w:val="NormalHanging12a"/>
        <w:widowControl/>
      </w:pPr>
      <w:r w:rsidRPr="00D856DF">
        <w:t>5.</w:t>
      </w:r>
      <w:r w:rsidRPr="00D856DF">
        <w:tab/>
        <w:t>Encarga a su presidenta que transmita la Posición del Parlamento al Consejo y a la Comisión, así como a los Parlamentos nacionales.</w:t>
      </w:r>
    </w:p>
    <w:sectPr w:rsidR="00E365E1" w:rsidRPr="00D856DF" w:rsidSect="001206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5B73" w14:textId="77777777" w:rsidR="0070041C" w:rsidRPr="001206E3" w:rsidRDefault="0070041C">
      <w:r w:rsidRPr="001206E3">
        <w:separator/>
      </w:r>
    </w:p>
  </w:endnote>
  <w:endnote w:type="continuationSeparator" w:id="0">
    <w:p w14:paraId="4300EE5E" w14:textId="77777777" w:rsidR="0070041C" w:rsidRPr="001206E3" w:rsidRDefault="0070041C">
      <w:r w:rsidRPr="001206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F32E9" w14:textId="77777777" w:rsidR="0070041C" w:rsidRPr="001206E3" w:rsidRDefault="0070041C">
      <w:r w:rsidRPr="001206E3">
        <w:separator/>
      </w:r>
    </w:p>
  </w:footnote>
  <w:footnote w:type="continuationSeparator" w:id="0">
    <w:p w14:paraId="3B77E0CD" w14:textId="77777777" w:rsidR="0070041C" w:rsidRPr="001206E3" w:rsidRDefault="0070041C">
      <w:r w:rsidRPr="001206E3">
        <w:continuationSeparator/>
      </w:r>
    </w:p>
  </w:footnote>
  <w:footnote w:id="1">
    <w:p w14:paraId="2C272566" w14:textId="161596CD" w:rsidR="004F5A90" w:rsidRPr="000754FD" w:rsidRDefault="004F5A90" w:rsidP="000754FD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1206E3">
        <w:rPr>
          <w:rStyle w:val="FootnoteReference"/>
          <w:sz w:val="24"/>
          <w:lang w:val="es-ES_tradnl"/>
        </w:rPr>
        <w:footnoteRef/>
      </w:r>
      <w:r w:rsidR="001206E3" w:rsidRPr="000754FD">
        <w:rPr>
          <w:sz w:val="24"/>
          <w:lang w:val="pt-PT"/>
        </w:rPr>
        <w:t xml:space="preserve"> </w:t>
      </w:r>
      <w:r w:rsidR="001206E3" w:rsidRPr="000754FD">
        <w:rPr>
          <w:sz w:val="24"/>
          <w:lang w:val="pt-PT"/>
        </w:rPr>
        <w:tab/>
      </w:r>
      <w:r w:rsidRPr="000754FD">
        <w:rPr>
          <w:sz w:val="24"/>
          <w:lang w:val="pt-PT"/>
        </w:rPr>
        <w:t xml:space="preserve">DO C, C/2024/891, 6.2.2024, ELI: </w:t>
      </w:r>
      <w:hyperlink r:id="rId1" w:history="1">
        <w:r w:rsidRPr="000754FD">
          <w:rPr>
            <w:rStyle w:val="Hyperlink"/>
            <w:sz w:val="24"/>
            <w:lang w:val="pt-PT"/>
          </w:rPr>
          <w:t>http://data.europa.eu/eli/C/2024/891/oj</w:t>
        </w:r>
      </w:hyperlink>
      <w:r w:rsidRPr="000754FD">
        <w:rPr>
          <w:sz w:val="24"/>
          <w:lang w:val="pt-PT"/>
        </w:rPr>
        <w:t>.</w:t>
      </w:r>
    </w:p>
  </w:footnote>
  <w:footnote w:id="2">
    <w:p w14:paraId="74D28CB3" w14:textId="05B1AA96" w:rsidR="004F5A90" w:rsidRPr="000754FD" w:rsidRDefault="004F5A90" w:rsidP="000754FD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1206E3">
        <w:rPr>
          <w:rStyle w:val="FootnoteReference"/>
          <w:sz w:val="24"/>
          <w:lang w:val="es-ES_tradnl"/>
        </w:rPr>
        <w:footnoteRef/>
      </w:r>
      <w:r w:rsidR="001206E3" w:rsidRPr="000754FD">
        <w:rPr>
          <w:sz w:val="24"/>
          <w:lang w:val="pt-PT"/>
        </w:rPr>
        <w:t xml:space="preserve"> </w:t>
      </w:r>
      <w:r w:rsidR="001206E3" w:rsidRPr="000754FD">
        <w:rPr>
          <w:sz w:val="24"/>
          <w:lang w:val="pt-PT"/>
        </w:rPr>
        <w:tab/>
      </w:r>
      <w:r w:rsidRPr="000754FD">
        <w:rPr>
          <w:sz w:val="24"/>
          <w:lang w:val="pt-PT"/>
        </w:rPr>
        <w:t xml:space="preserve">DO C, C/2024/1982, 18.3.2024, ELI: </w:t>
      </w:r>
      <w:r>
        <w:fldChar w:fldCharType="begin"/>
      </w:r>
      <w:r w:rsidRPr="00CC5057">
        <w:rPr>
          <w:lang w:val="pt-PT"/>
        </w:rPr>
        <w:instrText>HYPERLINK "http://data.europa.eu/eli/C/2024/1982/oj"</w:instrText>
      </w:r>
      <w:r>
        <w:fldChar w:fldCharType="separate"/>
      </w:r>
      <w:r w:rsidRPr="000754FD">
        <w:rPr>
          <w:rStyle w:val="Hyperlink"/>
          <w:sz w:val="24"/>
          <w:lang w:val="pt-PT"/>
        </w:rPr>
        <w:t>http://data.europa.eu/eli/C/2024/1982/o</w:t>
      </w:r>
      <w:r>
        <w:fldChar w:fldCharType="end"/>
      </w:r>
      <w:r w:rsidRPr="000754FD">
        <w:rPr>
          <w:sz w:val="24"/>
          <w:lang w:val="pt-PT"/>
        </w:rPr>
        <w:t>j.</w:t>
      </w:r>
    </w:p>
  </w:footnote>
  <w:footnote w:id="3">
    <w:p w14:paraId="4C6C9647" w14:textId="543C8415" w:rsidR="004F5A90" w:rsidRPr="000754FD" w:rsidRDefault="004F5A90" w:rsidP="000754FD">
      <w:pPr>
        <w:pStyle w:val="FootnoteText"/>
        <w:spacing w:line="240" w:lineRule="auto"/>
        <w:ind w:left="567" w:hanging="567"/>
        <w:rPr>
          <w:sz w:val="24"/>
          <w:lang w:val="pt-PT"/>
        </w:rPr>
      </w:pPr>
      <w:r w:rsidRPr="001206E3">
        <w:rPr>
          <w:rStyle w:val="FootnoteReference"/>
          <w:sz w:val="24"/>
          <w:lang w:val="es-ES_tradnl"/>
        </w:rPr>
        <w:footnoteRef/>
      </w:r>
      <w:r w:rsidR="001206E3" w:rsidRPr="000754FD">
        <w:rPr>
          <w:sz w:val="24"/>
          <w:lang w:val="pt-PT"/>
        </w:rPr>
        <w:t xml:space="preserve"> </w:t>
      </w:r>
      <w:r w:rsidR="001206E3" w:rsidRPr="000754FD">
        <w:rPr>
          <w:sz w:val="24"/>
          <w:lang w:val="pt-PT"/>
        </w:rPr>
        <w:tab/>
      </w:r>
      <w:r w:rsidRPr="000754FD">
        <w:rPr>
          <w:sz w:val="24"/>
          <w:lang w:val="pt-PT"/>
        </w:rPr>
        <w:t xml:space="preserve">DO C, C/2025/1020, 27.2.2025, ELI: </w:t>
      </w:r>
      <w:r>
        <w:fldChar w:fldCharType="begin"/>
      </w:r>
      <w:r w:rsidRPr="00CC5057">
        <w:rPr>
          <w:lang w:val="pt-PT"/>
        </w:rPr>
        <w:instrText>HYPERLINK "http://data.europa.eu/eli/C/2025/1020/oj"</w:instrText>
      </w:r>
      <w:r>
        <w:fldChar w:fldCharType="separate"/>
      </w:r>
      <w:r w:rsidRPr="000754FD">
        <w:rPr>
          <w:rStyle w:val="Hyperlink"/>
          <w:sz w:val="24"/>
          <w:lang w:val="pt-PT"/>
        </w:rPr>
        <w:t>http://data.europa.eu/eli/C/2025/1020/oj</w:t>
      </w:r>
      <w:r>
        <w:fldChar w:fldCharType="end"/>
      </w:r>
      <w:r w:rsidRPr="000754FD">
        <w:rPr>
          <w:sz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322000">
    <w:abstractNumId w:val="9"/>
  </w:num>
  <w:num w:numId="2" w16cid:durableId="1897233594">
    <w:abstractNumId w:val="9"/>
  </w:num>
  <w:num w:numId="3" w16cid:durableId="1758667562">
    <w:abstractNumId w:val="7"/>
  </w:num>
  <w:num w:numId="4" w16cid:durableId="1479613731">
    <w:abstractNumId w:val="7"/>
  </w:num>
  <w:num w:numId="5" w16cid:durableId="2128622431">
    <w:abstractNumId w:val="6"/>
  </w:num>
  <w:num w:numId="6" w16cid:durableId="1680813641">
    <w:abstractNumId w:val="6"/>
  </w:num>
  <w:num w:numId="7" w16cid:durableId="203644273">
    <w:abstractNumId w:val="5"/>
  </w:num>
  <w:num w:numId="8" w16cid:durableId="1414082689">
    <w:abstractNumId w:val="5"/>
  </w:num>
  <w:num w:numId="9" w16cid:durableId="2105958453">
    <w:abstractNumId w:val="4"/>
  </w:num>
  <w:num w:numId="10" w16cid:durableId="518008080">
    <w:abstractNumId w:val="4"/>
  </w:num>
  <w:num w:numId="11" w16cid:durableId="400060368">
    <w:abstractNumId w:val="8"/>
  </w:num>
  <w:num w:numId="12" w16cid:durableId="1209105227">
    <w:abstractNumId w:val="8"/>
  </w:num>
  <w:num w:numId="13" w16cid:durableId="1353068667">
    <w:abstractNumId w:val="3"/>
  </w:num>
  <w:num w:numId="14" w16cid:durableId="1090158505">
    <w:abstractNumId w:val="3"/>
  </w:num>
  <w:num w:numId="15" w16cid:durableId="1113599616">
    <w:abstractNumId w:val="2"/>
  </w:num>
  <w:num w:numId="16" w16cid:durableId="1643120299">
    <w:abstractNumId w:val="2"/>
  </w:num>
  <w:num w:numId="17" w16cid:durableId="2075548307">
    <w:abstractNumId w:val="1"/>
  </w:num>
  <w:num w:numId="18" w16cid:durableId="462046865">
    <w:abstractNumId w:val="1"/>
  </w:num>
  <w:num w:numId="19" w16cid:durableId="1316105302">
    <w:abstractNumId w:val="0"/>
  </w:num>
  <w:num w:numId="20" w16cid:durableId="287123620">
    <w:abstractNumId w:val="0"/>
  </w:num>
  <w:num w:numId="21" w16cid:durableId="288752306">
    <w:abstractNumId w:val="9"/>
  </w:num>
  <w:num w:numId="22" w16cid:durableId="485585141">
    <w:abstractNumId w:val="7"/>
  </w:num>
  <w:num w:numId="23" w16cid:durableId="785587513">
    <w:abstractNumId w:val="6"/>
  </w:num>
  <w:num w:numId="24" w16cid:durableId="477576053">
    <w:abstractNumId w:val="5"/>
  </w:num>
  <w:num w:numId="25" w16cid:durableId="116144809">
    <w:abstractNumId w:val="4"/>
  </w:num>
  <w:num w:numId="26" w16cid:durableId="1906910747">
    <w:abstractNumId w:val="8"/>
  </w:num>
  <w:num w:numId="27" w16cid:durableId="1429498233">
    <w:abstractNumId w:val="3"/>
  </w:num>
  <w:num w:numId="28" w16cid:durableId="530457673">
    <w:abstractNumId w:val="2"/>
  </w:num>
  <w:num w:numId="29" w16cid:durableId="805122857">
    <w:abstractNumId w:val="1"/>
  </w:num>
  <w:num w:numId="30" w16cid:durableId="1626497360">
    <w:abstractNumId w:val="0"/>
  </w:num>
  <w:num w:numId="31" w16cid:durableId="1427649501">
    <w:abstractNumId w:val="9"/>
  </w:num>
  <w:num w:numId="32" w16cid:durableId="875386704">
    <w:abstractNumId w:val="7"/>
  </w:num>
  <w:num w:numId="33" w16cid:durableId="50467833">
    <w:abstractNumId w:val="6"/>
  </w:num>
  <w:num w:numId="34" w16cid:durableId="254559484">
    <w:abstractNumId w:val="5"/>
  </w:num>
  <w:num w:numId="35" w16cid:durableId="416680338">
    <w:abstractNumId w:val="4"/>
  </w:num>
  <w:num w:numId="36" w16cid:durableId="1316838015">
    <w:abstractNumId w:val="8"/>
  </w:num>
  <w:num w:numId="37" w16cid:durableId="967081443">
    <w:abstractNumId w:val="3"/>
  </w:num>
  <w:num w:numId="38" w16cid:durableId="680819194">
    <w:abstractNumId w:val="2"/>
  </w:num>
  <w:num w:numId="39" w16cid:durableId="2140881347">
    <w:abstractNumId w:val="1"/>
  </w:num>
  <w:num w:numId="40" w16cid:durableId="486555184">
    <w:abstractNumId w:val="0"/>
  </w:num>
  <w:num w:numId="41" w16cid:durableId="1963925480">
    <w:abstractNumId w:val="10"/>
  </w:num>
  <w:num w:numId="42" w16cid:durableId="350381512">
    <w:abstractNumId w:val="10"/>
  </w:num>
  <w:num w:numId="43" w16cid:durableId="2051027644">
    <w:abstractNumId w:val="10"/>
  </w:num>
  <w:num w:numId="44" w16cid:durableId="65618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ES"/>
    <w:docVar w:name="dvnumam" w:val="0"/>
    <w:docVar w:name="dvpe" w:val="787.893"/>
    <w:docVar w:name="dvrapporteur" w:val="Ponente: "/>
    <w:docVar w:name="dvstar" w:val="***II"/>
    <w:docVar w:name="dvtitre" w:val="Resolución legislativa del Parlamento Europeo, de 19 de mayo de 2026, sobre la Posición del Consejo en primera lectura con vistas a la adopción del Reglamento del Parlamento Europeo y del Consejo relativo al uso de la capacidad de infraestructura ferroviaria en el espacio ferroviario europeo único, por el que se modifica la Directiva 2012/34/UE y se deroga el Reglamento (UE) n.º 913/2010(16833/1/2025 – C10-0104/2026 – 2023/0271(COD))"/>
  </w:docVars>
  <w:rsids>
    <w:rsidRoot w:val="0070041C"/>
    <w:rsid w:val="00002272"/>
    <w:rsid w:val="00062FBA"/>
    <w:rsid w:val="00064002"/>
    <w:rsid w:val="000677B9"/>
    <w:rsid w:val="000754FD"/>
    <w:rsid w:val="000831BA"/>
    <w:rsid w:val="000A42CC"/>
    <w:rsid w:val="000E7DD9"/>
    <w:rsid w:val="0010095E"/>
    <w:rsid w:val="001206E3"/>
    <w:rsid w:val="00125B37"/>
    <w:rsid w:val="00187494"/>
    <w:rsid w:val="001F32AE"/>
    <w:rsid w:val="002767FF"/>
    <w:rsid w:val="002A7B2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A9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57D"/>
    <w:rsid w:val="006F74FA"/>
    <w:rsid w:val="0070041C"/>
    <w:rsid w:val="00720CBB"/>
    <w:rsid w:val="00731ADD"/>
    <w:rsid w:val="00734777"/>
    <w:rsid w:val="00747932"/>
    <w:rsid w:val="00751A4A"/>
    <w:rsid w:val="00756632"/>
    <w:rsid w:val="00762C74"/>
    <w:rsid w:val="00786EC0"/>
    <w:rsid w:val="007D1690"/>
    <w:rsid w:val="007D28D6"/>
    <w:rsid w:val="007E22AD"/>
    <w:rsid w:val="00817416"/>
    <w:rsid w:val="00842779"/>
    <w:rsid w:val="0086246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057"/>
    <w:rsid w:val="00CF071A"/>
    <w:rsid w:val="00D058B8"/>
    <w:rsid w:val="00D56C11"/>
    <w:rsid w:val="00D834A0"/>
    <w:rsid w:val="00D856DF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583BB"/>
  <w15:chartTrackingRefBased/>
  <w15:docId w15:val="{00C0C232-8DF8-4F42-AF30-603063C8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5A90"/>
    <w:pPr>
      <w:spacing w:before="480" w:after="240"/>
    </w:pPr>
  </w:style>
  <w:style w:type="paragraph" w:customStyle="1" w:styleId="NormalBold">
    <w:name w:val="NormalBold"/>
    <w:basedOn w:val="Normal"/>
    <w:rsid w:val="004F5A90"/>
    <w:rPr>
      <w:b/>
    </w:rPr>
  </w:style>
  <w:style w:type="paragraph" w:customStyle="1" w:styleId="NormalHanging12a">
    <w:name w:val="NormalHanging12a"/>
    <w:basedOn w:val="Normal"/>
    <w:rsid w:val="004F5A90"/>
    <w:pPr>
      <w:spacing w:after="240"/>
      <w:ind w:left="567" w:hanging="567"/>
    </w:pPr>
  </w:style>
  <w:style w:type="character" w:styleId="Hyperlink">
    <w:name w:val="Hyperlink"/>
    <w:basedOn w:val="DefaultParagraphFont"/>
    <w:rsid w:val="004F5A9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62465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MLG_PE_Relfinale</dc:creator>
  <cp:keywords/>
  <cp:lastModifiedBy>MLG_PE</cp:lastModifiedBy>
  <cp:revision>2</cp:revision>
  <cp:lastPrinted>2004-11-19T15:42:00Z</cp:lastPrinted>
  <dcterms:created xsi:type="dcterms:W3CDTF">2026-05-19T12:44:00Z</dcterms:created>
  <dcterms:modified xsi:type="dcterms:W3CDTF">2026-05-19T12:44:00Z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