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6481" w14:paraId="5EB6F0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1BC90F" w14:textId="77777777" w:rsidR="00751A4A" w:rsidRPr="00FC6481" w:rsidRDefault="004A51D2" w:rsidP="0010095E">
            <w:pPr>
              <w:pStyle w:val="EPName"/>
            </w:pPr>
            <w:r w:rsidRPr="00FC6481">
              <w:t>Evropski parlament</w:t>
            </w:r>
          </w:p>
          <w:p w14:paraId="51FD306C" w14:textId="77777777" w:rsidR="00751A4A" w:rsidRPr="00FC64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6481">
              <w:t>2024</w:t>
            </w:r>
            <w:r w:rsidR="00817416" w:rsidRPr="00FC6481">
              <w:t>-202</w:t>
            </w:r>
            <w:r w:rsidRPr="00FC6481">
              <w:t>9</w:t>
            </w:r>
          </w:p>
        </w:tc>
        <w:tc>
          <w:tcPr>
            <w:tcW w:w="2268" w:type="dxa"/>
            <w:shd w:val="clear" w:color="auto" w:fill="auto"/>
          </w:tcPr>
          <w:p w14:paraId="79376F54" w14:textId="77777777" w:rsidR="00751A4A" w:rsidRPr="00FC6481" w:rsidRDefault="00187494" w:rsidP="0010095E">
            <w:pPr>
              <w:pStyle w:val="EPLogo"/>
            </w:pPr>
            <w:r w:rsidRPr="00FC6481">
              <w:rPr>
                <w:noProof/>
                <w:lang w:eastAsia="ja-JP"/>
              </w:rPr>
              <w:drawing>
                <wp:inline distT="0" distB="0" distL="0" distR="0" wp14:anchorId="0760BC04" wp14:editId="2519A5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0DE02" w14:textId="77777777" w:rsidR="00D058B8" w:rsidRPr="00FC6481" w:rsidRDefault="00D058B8" w:rsidP="004C5D52">
      <w:pPr>
        <w:pStyle w:val="LineTop"/>
      </w:pPr>
    </w:p>
    <w:p w14:paraId="0CC1B69D" w14:textId="77777777" w:rsidR="00680577" w:rsidRPr="00FC6481" w:rsidRDefault="004A51D2" w:rsidP="00680577">
      <w:pPr>
        <w:pStyle w:val="EPBodyTA1"/>
      </w:pPr>
      <w:r w:rsidRPr="00FC6481">
        <w:t>SPREJETA BESEDILA</w:t>
      </w:r>
    </w:p>
    <w:p w14:paraId="7E876E3D" w14:textId="77777777" w:rsidR="00D058B8" w:rsidRPr="00FC6481" w:rsidRDefault="00D058B8" w:rsidP="00D058B8">
      <w:pPr>
        <w:pStyle w:val="LineBottom"/>
      </w:pPr>
    </w:p>
    <w:p w14:paraId="2C9D05C2" w14:textId="40FB1E5A" w:rsidR="004A51D2" w:rsidRPr="00FC6481" w:rsidRDefault="004A51D2" w:rsidP="004A51D2">
      <w:pPr>
        <w:pStyle w:val="ATHeading1"/>
      </w:pPr>
      <w:bookmarkStart w:id="0" w:name="TANumber"/>
      <w:r w:rsidRPr="00FC6481">
        <w:t>P10_TA(2026)</w:t>
      </w:r>
      <w:bookmarkEnd w:id="0"/>
      <w:r w:rsidR="00136A11">
        <w:t>0169</w:t>
      </w:r>
    </w:p>
    <w:p w14:paraId="1EF2B706" w14:textId="74BFE4C8" w:rsidR="004A51D2" w:rsidRPr="00FC6481" w:rsidRDefault="00242325" w:rsidP="004A51D2">
      <w:pPr>
        <w:pStyle w:val="ATHeading2"/>
      </w:pPr>
      <w:bookmarkStart w:id="1" w:name="title"/>
      <w:r w:rsidRPr="00242325">
        <w:t>Enotno evropsko železniško območje: uporaba železniških infrastrukturnih zmogljivosti</w:t>
      </w:r>
      <w:bookmarkEnd w:id="1"/>
    </w:p>
    <w:p w14:paraId="606428F6" w14:textId="77777777" w:rsidR="004A51D2" w:rsidRPr="00FC6481" w:rsidRDefault="004A51D2" w:rsidP="004A51D2">
      <w:pPr>
        <w:rPr>
          <w:i/>
          <w:vanish/>
        </w:rPr>
      </w:pPr>
      <w:r w:rsidRPr="00FC6481">
        <w:rPr>
          <w:i/>
        </w:rPr>
        <w:fldChar w:fldCharType="begin"/>
      </w:r>
      <w:r w:rsidRPr="00FC6481">
        <w:rPr>
          <w:i/>
        </w:rPr>
        <w:instrText xml:space="preserve"> TC"(</w:instrText>
      </w:r>
      <w:bookmarkStart w:id="2" w:name="DocNumber"/>
      <w:r w:rsidRPr="00FC6481">
        <w:rPr>
          <w:i/>
        </w:rPr>
        <w:instrText>A10-0126/2026</w:instrText>
      </w:r>
      <w:bookmarkEnd w:id="2"/>
      <w:r w:rsidRPr="00FC6481">
        <w:rPr>
          <w:i/>
        </w:rPr>
        <w:instrText xml:space="preserve"> - Poročevalka: </w:instrText>
      </w:r>
      <w:proofErr w:type="spellStart"/>
      <w:r w:rsidRPr="00FC6481">
        <w:rPr>
          <w:i/>
        </w:rPr>
        <w:instrText>Tilly</w:instrText>
      </w:r>
      <w:proofErr w:type="spellEnd"/>
      <w:r w:rsidRPr="00FC6481">
        <w:rPr>
          <w:i/>
        </w:rPr>
        <w:instrText xml:space="preserve"> Metz)"\l3 \n&gt; \* MERGEFORMAT </w:instrText>
      </w:r>
      <w:r w:rsidRPr="00FC6481">
        <w:rPr>
          <w:i/>
        </w:rPr>
        <w:fldChar w:fldCharType="end"/>
      </w:r>
    </w:p>
    <w:p w14:paraId="7D843FA7" w14:textId="77777777" w:rsidR="004A51D2" w:rsidRPr="00FC6481" w:rsidRDefault="004A51D2" w:rsidP="004A51D2">
      <w:pPr>
        <w:rPr>
          <w:vanish/>
        </w:rPr>
      </w:pPr>
      <w:bookmarkStart w:id="3" w:name="Commission"/>
      <w:r w:rsidRPr="00FC6481">
        <w:rPr>
          <w:vanish/>
        </w:rPr>
        <w:t>Odbor za promet in turizem</w:t>
      </w:r>
      <w:bookmarkEnd w:id="3"/>
    </w:p>
    <w:p w14:paraId="558AE526" w14:textId="77777777" w:rsidR="004A51D2" w:rsidRPr="00FC6481" w:rsidRDefault="004A51D2" w:rsidP="004A51D2">
      <w:pPr>
        <w:rPr>
          <w:vanish/>
        </w:rPr>
      </w:pPr>
      <w:bookmarkStart w:id="4" w:name="PE"/>
      <w:r w:rsidRPr="00FC6481">
        <w:rPr>
          <w:vanish/>
        </w:rPr>
        <w:t>PE787.893</w:t>
      </w:r>
      <w:bookmarkEnd w:id="4"/>
    </w:p>
    <w:p w14:paraId="4C85C9D5" w14:textId="27E84764" w:rsidR="004A51D2" w:rsidRPr="00FC6481" w:rsidRDefault="004A51D2" w:rsidP="004A51D2">
      <w:pPr>
        <w:pStyle w:val="ATHeading3"/>
      </w:pPr>
      <w:bookmarkStart w:id="5" w:name="Sujet"/>
      <w:r w:rsidRPr="00FC6481">
        <w:t xml:space="preserve">Zakonodajna resolucija Evropskega parlamenta z dne </w:t>
      </w:r>
      <w:r w:rsidR="00D37553">
        <w:t>19. maja</w:t>
      </w:r>
      <w:r w:rsidR="00D37553" w:rsidRPr="00FC6481">
        <w:t xml:space="preserve"> </w:t>
      </w:r>
      <w:r w:rsidRPr="00FC6481">
        <w:t>2026 o stališču Sveta v prvi obravnavi z namenom sprejetja uredbe Evropskega parlamenta in Sveta o uporabi železniških infrastrukturnih zmogljivosti na enotnem evropskem železniškem območju, spremembi Direktive 2012/34/EU in razveljavitvi Uredbe (EU) št. 913/2010</w:t>
      </w:r>
      <w:bookmarkEnd w:id="5"/>
      <w:r w:rsidRPr="00FC6481">
        <w:t xml:space="preserve"> </w:t>
      </w:r>
      <w:bookmarkStart w:id="6" w:name="References"/>
      <w:r w:rsidRPr="00FC6481">
        <w:t>(16833/1/2025 – C10-0104/2026 – 2023/0271(COD))</w:t>
      </w:r>
      <w:bookmarkEnd w:id="6"/>
    </w:p>
    <w:p w14:paraId="4F56C2CB" w14:textId="77777777" w:rsidR="009C4139" w:rsidRPr="00FC6481" w:rsidRDefault="009C4139" w:rsidP="009C4139">
      <w:pPr>
        <w:pStyle w:val="NormalBold"/>
      </w:pPr>
      <w:r w:rsidRPr="00FC6481">
        <w:t>(Redni zakonodajni postopek: druga obravnava)</w:t>
      </w:r>
    </w:p>
    <w:p w14:paraId="4E7BC847" w14:textId="77777777" w:rsidR="009C4139" w:rsidRPr="00FC6481" w:rsidRDefault="009C4139" w:rsidP="009C4139">
      <w:pPr>
        <w:pStyle w:val="EPComma"/>
      </w:pPr>
      <w:r w:rsidRPr="00FC6481">
        <w:rPr>
          <w:i/>
        </w:rPr>
        <w:t>Evropski parlament</w:t>
      </w:r>
      <w:r w:rsidRPr="00FC6481">
        <w:t>,</w:t>
      </w:r>
    </w:p>
    <w:p w14:paraId="7DBF2029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stališča Sveta v prvi obravnavi (16833/1/2025 – C10</w:t>
      </w:r>
      <w:r w:rsidRPr="00FC6481">
        <w:noBreakHyphen/>
        <w:t>0104/2026),</w:t>
      </w:r>
    </w:p>
    <w:p w14:paraId="2841B2F7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mnenja Evropskega ekonomsko-socialnega odbora z dne 25. oktobra 2023</w:t>
      </w:r>
      <w:r w:rsidRPr="00FC6481">
        <w:rPr>
          <w:rStyle w:val="FootnoteReference"/>
        </w:rPr>
        <w:footnoteReference w:id="1"/>
      </w:r>
      <w:r w:rsidRPr="00FC6481">
        <w:t>,</w:t>
      </w:r>
    </w:p>
    <w:p w14:paraId="7B7B811F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mnenja Odbora regij z dne 1. februarja 2024</w:t>
      </w:r>
      <w:r w:rsidRPr="00FC6481">
        <w:rPr>
          <w:rStyle w:val="FootnoteReference"/>
        </w:rPr>
        <w:footnoteReference w:id="2"/>
      </w:r>
      <w:r w:rsidRPr="00FC6481">
        <w:t>,</w:t>
      </w:r>
    </w:p>
    <w:p w14:paraId="4C1588D5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svojega stališča v prvi obravnavi</w:t>
      </w:r>
      <w:r w:rsidRPr="00FC6481">
        <w:rPr>
          <w:rStyle w:val="FootnoteReference"/>
        </w:rPr>
        <w:footnoteReference w:id="3"/>
      </w:r>
      <w:r w:rsidRPr="00FC6481">
        <w:t xml:space="preserve"> o predlogu Komisije Evropskemu parlamentu in Svetu (COM(2023)0443),</w:t>
      </w:r>
    </w:p>
    <w:p w14:paraId="712F35E8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člena 294(7) Pogodbe o delovanju Evropske unije,</w:t>
      </w:r>
    </w:p>
    <w:p w14:paraId="3B340004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začasnega dogovora, ki ga je odobril pristojni odbor v skladu s členom 75(4) Poslovnika,</w:t>
      </w:r>
    </w:p>
    <w:p w14:paraId="54F1614F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člena 68 Poslovnika,</w:t>
      </w:r>
    </w:p>
    <w:p w14:paraId="4B2EF4F5" w14:textId="77777777" w:rsidR="009C4139" w:rsidRPr="00FC6481" w:rsidRDefault="009C4139" w:rsidP="009C4139">
      <w:pPr>
        <w:pStyle w:val="NormalHanging12a"/>
      </w:pPr>
      <w:r w:rsidRPr="00FC6481">
        <w:t>–</w:t>
      </w:r>
      <w:r w:rsidRPr="00FC6481">
        <w:tab/>
        <w:t>ob upoštevanju priporočila za drugo obravnavo Odbora za promet in turizem (A10</w:t>
      </w:r>
      <w:r w:rsidRPr="00FC6481">
        <w:noBreakHyphen/>
        <w:t>0126/2026),</w:t>
      </w:r>
    </w:p>
    <w:p w14:paraId="63782C00" w14:textId="77777777" w:rsidR="009C4139" w:rsidRPr="00FC6481" w:rsidRDefault="009C4139" w:rsidP="009C4139">
      <w:pPr>
        <w:pStyle w:val="NormalHanging12a"/>
      </w:pPr>
      <w:r w:rsidRPr="00FC6481">
        <w:lastRenderedPageBreak/>
        <w:t>1.</w:t>
      </w:r>
      <w:r w:rsidRPr="00FC6481">
        <w:tab/>
        <w:t>odobri stališče Sveta v prvi obravnavi;</w:t>
      </w:r>
    </w:p>
    <w:p w14:paraId="143CE367" w14:textId="77777777" w:rsidR="009C4139" w:rsidRPr="00FC6481" w:rsidRDefault="009C4139" w:rsidP="009C4139">
      <w:pPr>
        <w:pStyle w:val="NormalHanging12a"/>
      </w:pPr>
      <w:r w:rsidRPr="00FC6481">
        <w:t>2.</w:t>
      </w:r>
      <w:r w:rsidRPr="00FC6481">
        <w:tab/>
        <w:t>ugotavlja, da je akt sprejet v skladu s stališčem Sveta;</w:t>
      </w:r>
    </w:p>
    <w:p w14:paraId="7EECB35E" w14:textId="77777777" w:rsidR="009C4139" w:rsidRPr="00FC6481" w:rsidRDefault="009C4139" w:rsidP="009C4139">
      <w:pPr>
        <w:pStyle w:val="NormalHanging12a"/>
      </w:pPr>
      <w:r w:rsidRPr="00FC6481">
        <w:t>3.</w:t>
      </w:r>
      <w:r w:rsidRPr="00FC6481">
        <w:tab/>
        <w:t>naroči svoji predsednici, naj skupaj s predsednikom Sveta podpiše akt v skladu s členom 297(1) Pogodbe o delovanju Evropske unije;</w:t>
      </w:r>
    </w:p>
    <w:p w14:paraId="59AA0BE4" w14:textId="77777777" w:rsidR="009C4139" w:rsidRPr="00FC6481" w:rsidRDefault="009C4139" w:rsidP="009C4139">
      <w:pPr>
        <w:pStyle w:val="NormalHanging12a"/>
      </w:pPr>
      <w:r w:rsidRPr="00FC6481">
        <w:t>4.</w:t>
      </w:r>
      <w:r w:rsidRPr="00FC6481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FC6481">
        <w:rPr>
          <w:i/>
        </w:rPr>
        <w:t>Uradnem listu Evropske unije</w:t>
      </w:r>
      <w:r w:rsidRPr="00FC6481">
        <w:t>;</w:t>
      </w:r>
    </w:p>
    <w:p w14:paraId="4CA0F682" w14:textId="0FC3AC82" w:rsidR="00E365E1" w:rsidRPr="00FC6481" w:rsidRDefault="009C4139" w:rsidP="00D37553">
      <w:pPr>
        <w:pStyle w:val="NormalHanging12a"/>
      </w:pPr>
      <w:r w:rsidRPr="00FC6481">
        <w:t>5.</w:t>
      </w:r>
      <w:r w:rsidRPr="00FC6481">
        <w:tab/>
        <w:t>naroči svoji predsednici, naj stališče Parlamenta posreduje Svetu</w:t>
      </w:r>
      <w:r w:rsidR="00D37553">
        <w:t>,</w:t>
      </w:r>
      <w:r w:rsidRPr="00FC6481">
        <w:t xml:space="preserve"> Komisiji </w:t>
      </w:r>
      <w:r w:rsidR="00D37553">
        <w:t>in</w:t>
      </w:r>
      <w:r w:rsidR="00D37553" w:rsidRPr="00FC6481">
        <w:t xml:space="preserve"> </w:t>
      </w:r>
      <w:r w:rsidRPr="00FC6481">
        <w:t>nacionalnim parlamentom.</w:t>
      </w:r>
    </w:p>
    <w:sectPr w:rsidR="00E365E1" w:rsidRPr="00FC6481" w:rsidSect="00FC64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A30FA" w14:textId="77777777" w:rsidR="004A51D2" w:rsidRPr="00FC6481" w:rsidRDefault="004A51D2">
      <w:r w:rsidRPr="00FC6481">
        <w:separator/>
      </w:r>
    </w:p>
  </w:endnote>
  <w:endnote w:type="continuationSeparator" w:id="0">
    <w:p w14:paraId="0CCADEC0" w14:textId="77777777" w:rsidR="004A51D2" w:rsidRPr="00FC6481" w:rsidRDefault="004A51D2">
      <w:r w:rsidRPr="00FC64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DE91" w14:textId="77777777" w:rsidR="00064002" w:rsidRPr="00FC64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8329" w14:textId="77777777" w:rsidR="00064002" w:rsidRPr="00FC64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CA12" w14:textId="77777777" w:rsidR="00064002" w:rsidRPr="00FC64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95B4" w14:textId="77777777" w:rsidR="004A51D2" w:rsidRPr="00FC6481" w:rsidRDefault="004A51D2">
      <w:r w:rsidRPr="00FC6481">
        <w:separator/>
      </w:r>
    </w:p>
  </w:footnote>
  <w:footnote w:type="continuationSeparator" w:id="0">
    <w:p w14:paraId="612CBAE3" w14:textId="77777777" w:rsidR="004A51D2" w:rsidRPr="00FC6481" w:rsidRDefault="004A51D2">
      <w:r w:rsidRPr="00FC6481">
        <w:continuationSeparator/>
      </w:r>
    </w:p>
  </w:footnote>
  <w:footnote w:id="1">
    <w:p w14:paraId="1F4ED6A5" w14:textId="431E5727" w:rsidR="009C4139" w:rsidRPr="00FC6481" w:rsidRDefault="009C4139" w:rsidP="00FC6481">
      <w:pPr>
        <w:pStyle w:val="FootnoteText"/>
        <w:ind w:left="567" w:hanging="567"/>
        <w:rPr>
          <w:sz w:val="24"/>
          <w:lang w:val="sl-SI"/>
        </w:rPr>
      </w:pPr>
      <w:r w:rsidRPr="00FC6481">
        <w:rPr>
          <w:rStyle w:val="FootnoteReference"/>
          <w:sz w:val="24"/>
          <w:lang w:val="sl-SI"/>
        </w:rPr>
        <w:footnoteRef/>
      </w:r>
      <w:r w:rsidR="00FC6481" w:rsidRPr="00FC6481">
        <w:rPr>
          <w:sz w:val="24"/>
          <w:lang w:val="sl-SI"/>
        </w:rPr>
        <w:t xml:space="preserve"> </w:t>
      </w:r>
      <w:r w:rsidR="00FC6481" w:rsidRPr="00FC6481">
        <w:rPr>
          <w:sz w:val="24"/>
          <w:lang w:val="sl-SI"/>
        </w:rPr>
        <w:tab/>
      </w:r>
      <w:r w:rsidRPr="00FC6481">
        <w:rPr>
          <w:sz w:val="24"/>
          <w:lang w:val="sl-SI"/>
        </w:rPr>
        <w:t xml:space="preserve">UL C, C/2024/891, 6.2.2024, ELI: </w:t>
      </w:r>
      <w:hyperlink r:id="rId1" w:history="1">
        <w:r w:rsidRPr="00FC6481">
          <w:rPr>
            <w:rStyle w:val="Hyperlink"/>
            <w:sz w:val="24"/>
            <w:lang w:val="sl-SI"/>
          </w:rPr>
          <w:t>http://data.europa.eu/eli/C/2024/891/oj</w:t>
        </w:r>
      </w:hyperlink>
      <w:r w:rsidRPr="00FC6481">
        <w:rPr>
          <w:sz w:val="24"/>
          <w:lang w:val="sl-SI"/>
        </w:rPr>
        <w:t>.</w:t>
      </w:r>
    </w:p>
  </w:footnote>
  <w:footnote w:id="2">
    <w:p w14:paraId="2E8D4844" w14:textId="37A1EACC" w:rsidR="009C4139" w:rsidRPr="00FC6481" w:rsidRDefault="009C4139" w:rsidP="00FC6481">
      <w:pPr>
        <w:pStyle w:val="FootnoteText"/>
        <w:ind w:left="567" w:hanging="567"/>
        <w:rPr>
          <w:sz w:val="24"/>
          <w:lang w:val="sl-SI"/>
        </w:rPr>
      </w:pPr>
      <w:r w:rsidRPr="00FC6481">
        <w:rPr>
          <w:rStyle w:val="FootnoteReference"/>
          <w:sz w:val="24"/>
          <w:lang w:val="sl-SI"/>
        </w:rPr>
        <w:footnoteRef/>
      </w:r>
      <w:r w:rsidR="00FC6481" w:rsidRPr="00FC6481">
        <w:rPr>
          <w:sz w:val="24"/>
          <w:lang w:val="sl-SI"/>
        </w:rPr>
        <w:t xml:space="preserve"> </w:t>
      </w:r>
      <w:r w:rsidR="00FC6481" w:rsidRPr="00FC6481">
        <w:rPr>
          <w:sz w:val="24"/>
          <w:lang w:val="sl-SI"/>
        </w:rPr>
        <w:tab/>
      </w:r>
      <w:r w:rsidRPr="00FC6481">
        <w:rPr>
          <w:sz w:val="24"/>
          <w:lang w:val="sl-SI"/>
        </w:rPr>
        <w:t xml:space="preserve">UL C, C/2024/1982, 18.3.2024, ELI: </w:t>
      </w:r>
      <w:hyperlink r:id="rId2" w:history="1">
        <w:r w:rsidRPr="00FC6481">
          <w:rPr>
            <w:rStyle w:val="Hyperlink"/>
            <w:sz w:val="24"/>
            <w:lang w:val="sl-SI"/>
          </w:rPr>
          <w:t>http://data.europa.eu/eli/C/2024/1982/oj</w:t>
        </w:r>
      </w:hyperlink>
      <w:r w:rsidRPr="00FC6481">
        <w:rPr>
          <w:sz w:val="24"/>
          <w:lang w:val="sl-SI"/>
        </w:rPr>
        <w:t>.</w:t>
      </w:r>
    </w:p>
  </w:footnote>
  <w:footnote w:id="3">
    <w:p w14:paraId="7D1A27C0" w14:textId="3A514E3A" w:rsidR="009C4139" w:rsidRPr="00FC6481" w:rsidRDefault="009C4139" w:rsidP="00FC6481">
      <w:pPr>
        <w:pStyle w:val="FootnoteText"/>
        <w:ind w:left="567" w:hanging="567"/>
        <w:rPr>
          <w:sz w:val="24"/>
          <w:lang w:val="sl-SI"/>
        </w:rPr>
      </w:pPr>
      <w:r w:rsidRPr="00FC6481">
        <w:rPr>
          <w:rStyle w:val="FootnoteReference"/>
          <w:sz w:val="24"/>
          <w:lang w:val="sl-SI"/>
        </w:rPr>
        <w:footnoteRef/>
      </w:r>
      <w:r w:rsidR="00FC6481" w:rsidRPr="00FC6481">
        <w:rPr>
          <w:sz w:val="24"/>
          <w:lang w:val="sl-SI"/>
        </w:rPr>
        <w:t xml:space="preserve"> </w:t>
      </w:r>
      <w:r w:rsidR="00FC6481" w:rsidRPr="00FC6481">
        <w:rPr>
          <w:sz w:val="24"/>
          <w:lang w:val="sl-SI"/>
        </w:rPr>
        <w:tab/>
      </w:r>
      <w:r w:rsidRPr="00FC6481">
        <w:rPr>
          <w:sz w:val="24"/>
          <w:lang w:val="sl-SI"/>
        </w:rPr>
        <w:t xml:space="preserve">UL C, C/2025/1020, 27.2.2025, ELI: </w:t>
      </w:r>
      <w:hyperlink r:id="rId3" w:history="1">
        <w:r w:rsidRPr="00FC6481">
          <w:rPr>
            <w:rStyle w:val="Hyperlink"/>
            <w:sz w:val="24"/>
            <w:lang w:val="sl-SI"/>
          </w:rPr>
          <w:t>http://data.europa.eu/eli/C/2025/1020/oj</w:t>
        </w:r>
      </w:hyperlink>
      <w:r w:rsidRPr="00FC6481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4C78" w14:textId="77777777" w:rsidR="00064002" w:rsidRPr="00FC64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DD31" w14:textId="77777777" w:rsidR="00064002" w:rsidRPr="00FC64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07B59" w14:textId="77777777" w:rsidR="00064002" w:rsidRPr="00FC64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5115477">
    <w:abstractNumId w:val="9"/>
  </w:num>
  <w:num w:numId="2" w16cid:durableId="1048188694">
    <w:abstractNumId w:val="9"/>
  </w:num>
  <w:num w:numId="3" w16cid:durableId="864558869">
    <w:abstractNumId w:val="7"/>
  </w:num>
  <w:num w:numId="4" w16cid:durableId="1626085559">
    <w:abstractNumId w:val="7"/>
  </w:num>
  <w:num w:numId="5" w16cid:durableId="667828897">
    <w:abstractNumId w:val="6"/>
  </w:num>
  <w:num w:numId="6" w16cid:durableId="693045600">
    <w:abstractNumId w:val="6"/>
  </w:num>
  <w:num w:numId="7" w16cid:durableId="94598942">
    <w:abstractNumId w:val="5"/>
  </w:num>
  <w:num w:numId="8" w16cid:durableId="511186444">
    <w:abstractNumId w:val="5"/>
  </w:num>
  <w:num w:numId="9" w16cid:durableId="948582479">
    <w:abstractNumId w:val="4"/>
  </w:num>
  <w:num w:numId="10" w16cid:durableId="1084765619">
    <w:abstractNumId w:val="4"/>
  </w:num>
  <w:num w:numId="11" w16cid:durableId="93668019">
    <w:abstractNumId w:val="8"/>
  </w:num>
  <w:num w:numId="12" w16cid:durableId="368385014">
    <w:abstractNumId w:val="8"/>
  </w:num>
  <w:num w:numId="13" w16cid:durableId="1106119586">
    <w:abstractNumId w:val="3"/>
  </w:num>
  <w:num w:numId="14" w16cid:durableId="1693922671">
    <w:abstractNumId w:val="3"/>
  </w:num>
  <w:num w:numId="15" w16cid:durableId="1972635998">
    <w:abstractNumId w:val="2"/>
  </w:num>
  <w:num w:numId="16" w16cid:durableId="1470704251">
    <w:abstractNumId w:val="2"/>
  </w:num>
  <w:num w:numId="17" w16cid:durableId="1845045274">
    <w:abstractNumId w:val="1"/>
  </w:num>
  <w:num w:numId="18" w16cid:durableId="561671619">
    <w:abstractNumId w:val="1"/>
  </w:num>
  <w:num w:numId="19" w16cid:durableId="194004878">
    <w:abstractNumId w:val="0"/>
  </w:num>
  <w:num w:numId="20" w16cid:durableId="1947495173">
    <w:abstractNumId w:val="0"/>
  </w:num>
  <w:num w:numId="21" w16cid:durableId="1260917655">
    <w:abstractNumId w:val="9"/>
  </w:num>
  <w:num w:numId="22" w16cid:durableId="1448232780">
    <w:abstractNumId w:val="7"/>
  </w:num>
  <w:num w:numId="23" w16cid:durableId="1267881957">
    <w:abstractNumId w:val="6"/>
  </w:num>
  <w:num w:numId="24" w16cid:durableId="1252590899">
    <w:abstractNumId w:val="5"/>
  </w:num>
  <w:num w:numId="25" w16cid:durableId="1164707478">
    <w:abstractNumId w:val="4"/>
  </w:num>
  <w:num w:numId="26" w16cid:durableId="448551291">
    <w:abstractNumId w:val="8"/>
  </w:num>
  <w:num w:numId="27" w16cid:durableId="1950963127">
    <w:abstractNumId w:val="3"/>
  </w:num>
  <w:num w:numId="28" w16cid:durableId="1198159307">
    <w:abstractNumId w:val="2"/>
  </w:num>
  <w:num w:numId="29" w16cid:durableId="1761872249">
    <w:abstractNumId w:val="1"/>
  </w:num>
  <w:num w:numId="30" w16cid:durableId="491802616">
    <w:abstractNumId w:val="0"/>
  </w:num>
  <w:num w:numId="31" w16cid:durableId="1876625264">
    <w:abstractNumId w:val="9"/>
  </w:num>
  <w:num w:numId="32" w16cid:durableId="1796681449">
    <w:abstractNumId w:val="7"/>
  </w:num>
  <w:num w:numId="33" w16cid:durableId="1769619634">
    <w:abstractNumId w:val="6"/>
  </w:num>
  <w:num w:numId="34" w16cid:durableId="1301613370">
    <w:abstractNumId w:val="5"/>
  </w:num>
  <w:num w:numId="35" w16cid:durableId="1921793399">
    <w:abstractNumId w:val="4"/>
  </w:num>
  <w:num w:numId="36" w16cid:durableId="302465508">
    <w:abstractNumId w:val="8"/>
  </w:num>
  <w:num w:numId="37" w16cid:durableId="1781534808">
    <w:abstractNumId w:val="3"/>
  </w:num>
  <w:num w:numId="38" w16cid:durableId="1207109406">
    <w:abstractNumId w:val="2"/>
  </w:num>
  <w:num w:numId="39" w16cid:durableId="1669751850">
    <w:abstractNumId w:val="1"/>
  </w:num>
  <w:num w:numId="40" w16cid:durableId="406809894">
    <w:abstractNumId w:val="0"/>
  </w:num>
  <w:num w:numId="41" w16cid:durableId="1283804235">
    <w:abstractNumId w:val="10"/>
  </w:num>
  <w:num w:numId="42" w16cid:durableId="947930617">
    <w:abstractNumId w:val="10"/>
  </w:num>
  <w:num w:numId="43" w16cid:durableId="551428077">
    <w:abstractNumId w:val="10"/>
  </w:num>
  <w:num w:numId="44" w16cid:durableId="10358852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SL"/>
    <w:docVar w:name="dvnumam" w:val="0"/>
    <w:docVar w:name="dvpe" w:val="787.893"/>
    <w:docVar w:name="dvrapporteur" w:val="Poročevalka: "/>
    <w:docVar w:name="dvstar" w:val="***II"/>
    <w:docVar w:name="dvtitre" w:val="Zakonodajna resolucija Evropskega parlamenta z dne … 2026 o stališču Sveta v prvi obravnavi z namenom sprejetja uredbe Evropskega parlamenta in Sveta o uporabi železniških infrastrukturnih zmogljivosti na enotnem evropskem železniškem območju, spremembi Direktive 2012/34/EU in razveljavitvi Uredbe (EU) št. 913/2010(16833/1/2025 – C10-0104/2026 – 2023/0271(COD))"/>
  </w:docVars>
  <w:rsids>
    <w:rsidRoot w:val="004A51D2"/>
    <w:rsid w:val="00002272"/>
    <w:rsid w:val="00064002"/>
    <w:rsid w:val="000677B9"/>
    <w:rsid w:val="000779C3"/>
    <w:rsid w:val="000831BA"/>
    <w:rsid w:val="000A42CC"/>
    <w:rsid w:val="000E7DD9"/>
    <w:rsid w:val="0010095E"/>
    <w:rsid w:val="00125B37"/>
    <w:rsid w:val="00136A11"/>
    <w:rsid w:val="00187494"/>
    <w:rsid w:val="001F32AE"/>
    <w:rsid w:val="0024232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1D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13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553"/>
    <w:rsid w:val="00D56C11"/>
    <w:rsid w:val="00D834A0"/>
    <w:rsid w:val="00D872DF"/>
    <w:rsid w:val="00D91E21"/>
    <w:rsid w:val="00DA7FCD"/>
    <w:rsid w:val="00E365E1"/>
    <w:rsid w:val="00E820A4"/>
    <w:rsid w:val="00EA11F1"/>
    <w:rsid w:val="00EB006A"/>
    <w:rsid w:val="00EB4772"/>
    <w:rsid w:val="00EC13D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48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0D736"/>
  <w15:chartTrackingRefBased/>
  <w15:docId w15:val="{EC6A8C2C-5C15-4165-94A1-2B5E4918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4139"/>
    <w:pPr>
      <w:spacing w:before="480" w:after="240"/>
    </w:pPr>
  </w:style>
  <w:style w:type="paragraph" w:customStyle="1" w:styleId="NormalBold">
    <w:name w:val="NormalBold"/>
    <w:basedOn w:val="Normal"/>
    <w:rsid w:val="009C4139"/>
    <w:rPr>
      <w:b/>
    </w:rPr>
  </w:style>
  <w:style w:type="paragraph" w:customStyle="1" w:styleId="NormalHanging12a">
    <w:name w:val="NormalHanging12a"/>
    <w:basedOn w:val="Normal"/>
    <w:rsid w:val="009C4139"/>
    <w:pPr>
      <w:spacing w:after="240"/>
      <w:ind w:left="567" w:hanging="567"/>
    </w:pPr>
  </w:style>
  <w:style w:type="character" w:styleId="Hyperlink">
    <w:name w:val="Hyperlink"/>
    <w:basedOn w:val="DefaultParagraphFont"/>
    <w:rsid w:val="009C413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37553"/>
    <w:rPr>
      <w:sz w:val="24"/>
      <w:lang w:val="sl-SI"/>
    </w:rPr>
  </w:style>
  <w:style w:type="character" w:styleId="CommentReference">
    <w:name w:val="annotation reference"/>
    <w:basedOn w:val="DefaultParagraphFont"/>
    <w:rsid w:val="000779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79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79C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779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79C3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77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0/oj" TargetMode="External"/><Relationship Id="rId2" Type="http://schemas.openxmlformats.org/officeDocument/2006/relationships/hyperlink" Target="http://data.europa.eu/eli/C/2024/1982/oj" TargetMode="External"/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2026-05-19T11:37:00Z</dcterms:created>
  <dcterms:modified xsi:type="dcterms:W3CDTF">2026-05-19T11:37:00Z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