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FA2" w14:paraId="0509E5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93D39B" w14:textId="77777777" w:rsidR="00751A4A" w:rsidRPr="00AA6FA2" w:rsidRDefault="003922AA" w:rsidP="0010095E">
            <w:pPr>
              <w:pStyle w:val="EPName"/>
            </w:pPr>
            <w:r w:rsidRPr="00AA6FA2">
              <w:t>Europaparlamentet</w:t>
            </w:r>
          </w:p>
          <w:p w14:paraId="5F29B8AC" w14:textId="77777777" w:rsidR="00751A4A" w:rsidRPr="00AA6F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FA2">
              <w:t>2024</w:t>
            </w:r>
            <w:r w:rsidR="00817416" w:rsidRPr="00AA6FA2">
              <w:t>-202</w:t>
            </w:r>
            <w:r w:rsidRPr="00AA6FA2">
              <w:t>9</w:t>
            </w:r>
          </w:p>
        </w:tc>
        <w:tc>
          <w:tcPr>
            <w:tcW w:w="2268" w:type="dxa"/>
            <w:shd w:val="clear" w:color="auto" w:fill="auto"/>
          </w:tcPr>
          <w:p w14:paraId="5E9E96BE" w14:textId="77777777" w:rsidR="00751A4A" w:rsidRPr="00AA6FA2" w:rsidRDefault="00187494" w:rsidP="0010095E">
            <w:pPr>
              <w:pStyle w:val="EPLogo"/>
            </w:pPr>
            <w:r w:rsidRPr="00AA6FA2">
              <w:rPr>
                <w:noProof/>
                <w:lang w:eastAsia="ja-JP"/>
              </w:rPr>
              <w:drawing>
                <wp:inline distT="0" distB="0" distL="0" distR="0" wp14:anchorId="1A4770DB" wp14:editId="41C13A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AF3CA6" w14:textId="77777777" w:rsidR="00D058B8" w:rsidRPr="00AA6FA2" w:rsidRDefault="00D058B8" w:rsidP="004C5D52">
      <w:pPr>
        <w:pStyle w:val="LineTop"/>
      </w:pPr>
    </w:p>
    <w:p w14:paraId="48B69F8B" w14:textId="77777777" w:rsidR="00680577" w:rsidRPr="00AA6FA2" w:rsidRDefault="003922AA" w:rsidP="00680577">
      <w:pPr>
        <w:pStyle w:val="EPBodyTA1"/>
      </w:pPr>
      <w:r w:rsidRPr="00AA6FA2">
        <w:t>ANTAGNA TEXTER</w:t>
      </w:r>
    </w:p>
    <w:p w14:paraId="21137F46" w14:textId="77777777" w:rsidR="00D058B8" w:rsidRPr="00AA6FA2" w:rsidRDefault="00D058B8" w:rsidP="00D058B8">
      <w:pPr>
        <w:pStyle w:val="LineBottom"/>
      </w:pPr>
    </w:p>
    <w:p w14:paraId="040669DD" w14:textId="2CD72C51" w:rsidR="003922AA" w:rsidRPr="00AA6FA2" w:rsidRDefault="003922AA" w:rsidP="003922AA">
      <w:pPr>
        <w:pStyle w:val="ATHeading1"/>
      </w:pPr>
      <w:bookmarkStart w:id="0" w:name="TANumber"/>
      <w:r w:rsidRPr="00AA6FA2">
        <w:t>P10_TA(2026)0</w:t>
      </w:r>
      <w:bookmarkEnd w:id="0"/>
      <w:r w:rsidR="00DC3182">
        <w:t>169</w:t>
      </w:r>
    </w:p>
    <w:p w14:paraId="0517F711" w14:textId="77777777" w:rsidR="003922AA" w:rsidRPr="00AA6FA2" w:rsidRDefault="003922AA" w:rsidP="003922AA">
      <w:pPr>
        <w:pStyle w:val="ATHeading2"/>
      </w:pPr>
      <w:bookmarkStart w:id="1" w:name="title"/>
      <w:r w:rsidRPr="00AA6FA2">
        <w:t>Det gemensamma europeiska järnvägsområdet: utnyttjande av järnvägsinfrastrukturkapacitet</w:t>
      </w:r>
      <w:bookmarkEnd w:id="1"/>
    </w:p>
    <w:p w14:paraId="036DE800" w14:textId="77777777" w:rsidR="003922AA" w:rsidRPr="00AA6FA2" w:rsidRDefault="003922AA" w:rsidP="003922AA">
      <w:pPr>
        <w:rPr>
          <w:i/>
          <w:vanish/>
        </w:rPr>
      </w:pPr>
      <w:r w:rsidRPr="00AA6FA2">
        <w:rPr>
          <w:i/>
        </w:rPr>
        <w:fldChar w:fldCharType="begin"/>
      </w:r>
      <w:r w:rsidRPr="00AA6FA2">
        <w:rPr>
          <w:i/>
        </w:rPr>
        <w:instrText xml:space="preserve"> TC"(</w:instrText>
      </w:r>
      <w:bookmarkStart w:id="2" w:name="DocNumber"/>
      <w:r w:rsidRPr="00AA6FA2">
        <w:rPr>
          <w:i/>
        </w:rPr>
        <w:instrText>A10-0126/2026</w:instrText>
      </w:r>
      <w:bookmarkEnd w:id="2"/>
      <w:r w:rsidRPr="00AA6FA2">
        <w:rPr>
          <w:i/>
        </w:rPr>
        <w:instrText xml:space="preserve"> - Föredragande: Tilly Metz)"\l3 \n&gt; \* MERGEFORMAT </w:instrText>
      </w:r>
      <w:r w:rsidRPr="00AA6FA2">
        <w:rPr>
          <w:i/>
        </w:rPr>
        <w:fldChar w:fldCharType="end"/>
      </w:r>
    </w:p>
    <w:p w14:paraId="2A69EA8B" w14:textId="77777777" w:rsidR="003922AA" w:rsidRPr="00AA6FA2" w:rsidRDefault="003922AA" w:rsidP="003922AA">
      <w:pPr>
        <w:rPr>
          <w:vanish/>
        </w:rPr>
      </w:pPr>
      <w:bookmarkStart w:id="3" w:name="Commission"/>
      <w:r w:rsidRPr="00AA6FA2">
        <w:rPr>
          <w:vanish/>
        </w:rPr>
        <w:t>Utskottet för transport och turism</w:t>
      </w:r>
      <w:bookmarkEnd w:id="3"/>
    </w:p>
    <w:p w14:paraId="3C57A638" w14:textId="77777777" w:rsidR="003922AA" w:rsidRPr="00AA6FA2" w:rsidRDefault="003922AA" w:rsidP="003922AA">
      <w:pPr>
        <w:rPr>
          <w:vanish/>
        </w:rPr>
      </w:pPr>
      <w:bookmarkStart w:id="4" w:name="PE"/>
      <w:r w:rsidRPr="00AA6FA2">
        <w:rPr>
          <w:vanish/>
        </w:rPr>
        <w:t>PE787.893</w:t>
      </w:r>
      <w:bookmarkEnd w:id="4"/>
    </w:p>
    <w:p w14:paraId="09909660" w14:textId="60F87652" w:rsidR="003922AA" w:rsidRPr="00AA6FA2" w:rsidRDefault="003922AA" w:rsidP="003922AA">
      <w:pPr>
        <w:pStyle w:val="ATHeading3"/>
      </w:pPr>
      <w:bookmarkStart w:id="5" w:name="Sujet"/>
      <w:r w:rsidRPr="00AA6FA2">
        <w:t xml:space="preserve">Europaparlamentets lagstiftningsresolution av den </w:t>
      </w:r>
      <w:r w:rsidR="009176CF">
        <w:t>19</w:t>
      </w:r>
      <w:r w:rsidR="009176CF" w:rsidRPr="00AA6FA2">
        <w:t xml:space="preserve"> </w:t>
      </w:r>
      <w:r w:rsidR="009176CF">
        <w:t>maj</w:t>
      </w:r>
      <w:r w:rsidR="009176CF" w:rsidRPr="00AA6FA2">
        <w:t xml:space="preserve"> </w:t>
      </w:r>
      <w:r w:rsidRPr="00AA6FA2">
        <w:t>2026 om rådets ståndpunkt vid första behandlingen inför antagandet av Europaparlamentets och rådets förordning om utnyttjande av järnvägsinfrastrukturkapacitet i det gemensamma europeiska järnvägsområdet, ändring av direktiv 2012/34/EU och upphävande av förordning (EU) nr 913/2010</w:t>
      </w:r>
      <w:bookmarkEnd w:id="5"/>
      <w:r w:rsidRPr="00AA6FA2">
        <w:t xml:space="preserve"> </w:t>
      </w:r>
      <w:bookmarkStart w:id="6" w:name="References"/>
      <w:r w:rsidRPr="00AA6FA2">
        <w:t>(16833/1/2025 – C10-0104/2026 – 2023/0271(COD))</w:t>
      </w:r>
      <w:bookmarkEnd w:id="6"/>
    </w:p>
    <w:p w14:paraId="765F2585" w14:textId="401DEC05" w:rsidR="00301137" w:rsidRPr="00AA6FA2" w:rsidRDefault="009176CF" w:rsidP="00301137">
      <w:pPr>
        <w:pStyle w:val="NormalBold"/>
      </w:pPr>
      <w:r>
        <w:t>(</w:t>
      </w:r>
      <w:r w:rsidR="00301137" w:rsidRPr="00AA6FA2">
        <w:t>Ordinarie lagstiftningsförfarande</w:t>
      </w:r>
      <w:r>
        <w:t>:</w:t>
      </w:r>
      <w:r w:rsidR="00301137" w:rsidRPr="00AA6FA2">
        <w:t xml:space="preserve"> andra behandlingen)</w:t>
      </w:r>
    </w:p>
    <w:p w14:paraId="3B2F6969" w14:textId="77777777" w:rsidR="00301137" w:rsidRPr="00AA6FA2" w:rsidRDefault="00301137" w:rsidP="00301137">
      <w:pPr>
        <w:pStyle w:val="EPComma"/>
      </w:pPr>
      <w:r w:rsidRPr="00AA6FA2">
        <w:rPr>
          <w:i/>
          <w:iCs/>
        </w:rPr>
        <w:t>Europaparlamentet utfärdar denna resolution</w:t>
      </w:r>
    </w:p>
    <w:p w14:paraId="24EBB1FE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rådets ståndpunkt vid första behandlingen (16833/1/2025 – C10</w:t>
      </w:r>
      <w:r w:rsidRPr="00AA6FA2">
        <w:noBreakHyphen/>
        <w:t>0104/2026),</w:t>
      </w:r>
    </w:p>
    <w:p w14:paraId="011836BE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Europeiska ekonomiska och sociala kommitténs yttrande av den 25 oktober 2023</w:t>
      </w:r>
      <w:r w:rsidRPr="00AA6FA2">
        <w:rPr>
          <w:rStyle w:val="FootnoteReference"/>
        </w:rPr>
        <w:footnoteReference w:id="1"/>
      </w:r>
      <w:r w:rsidRPr="00AA6FA2">
        <w:t>,</w:t>
      </w:r>
    </w:p>
    <w:p w14:paraId="18F8C5DB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Regionkommitténs yttrande av den 1 februari 2024</w:t>
      </w:r>
      <w:r w:rsidRPr="00AA6FA2">
        <w:rPr>
          <w:rStyle w:val="FootnoteReference"/>
        </w:rPr>
        <w:footnoteReference w:id="2"/>
      </w:r>
      <w:r w:rsidRPr="00AA6FA2">
        <w:t>,</w:t>
      </w:r>
    </w:p>
    <w:p w14:paraId="1ACB2A32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sin ståndpunkt vid första behandlingen</w:t>
      </w:r>
      <w:r w:rsidRPr="00AA6FA2">
        <w:rPr>
          <w:rStyle w:val="FootnoteReference"/>
        </w:rPr>
        <w:footnoteReference w:id="3"/>
      </w:r>
      <w:r w:rsidRPr="00AA6FA2">
        <w:t xml:space="preserve"> av ärendet, en behandling som avsåg kommissionens förslag till Europaparlamentet och rådet (COM(2023)0443),</w:t>
      </w:r>
    </w:p>
    <w:p w14:paraId="7F1E71A7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artikel 294.7 i fördraget om Europeiska unionens funktionssätt,</w:t>
      </w:r>
    </w:p>
    <w:p w14:paraId="4DFAFFAD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den preliminära överenskommelse som godkänts av det ansvariga utskottet i enlighet med artikel 75.4 i arbetsordningen,</w:t>
      </w:r>
    </w:p>
    <w:p w14:paraId="312F7693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>med beaktande av artikel 68 i arbetsordningen,</w:t>
      </w:r>
    </w:p>
    <w:p w14:paraId="04E4C05F" w14:textId="77777777" w:rsidR="00301137" w:rsidRPr="00AA6FA2" w:rsidRDefault="00301137" w:rsidP="00301137">
      <w:pPr>
        <w:pStyle w:val="NormalHanging12a"/>
      </w:pPr>
      <w:r w:rsidRPr="00AA6FA2">
        <w:t>–</w:t>
      </w:r>
      <w:r w:rsidRPr="00AA6FA2">
        <w:tab/>
        <w:t xml:space="preserve">med beaktande av andrabehandlingsrekommendationen från utskottet för transport och </w:t>
      </w:r>
      <w:r w:rsidRPr="00AA6FA2">
        <w:lastRenderedPageBreak/>
        <w:t>turism (A10-0126/2026).</w:t>
      </w:r>
    </w:p>
    <w:p w14:paraId="56B49D41" w14:textId="77777777" w:rsidR="00301137" w:rsidRPr="00AA6FA2" w:rsidRDefault="00301137" w:rsidP="00301137">
      <w:pPr>
        <w:pStyle w:val="NormalHanging12a"/>
      </w:pPr>
      <w:r w:rsidRPr="00AA6FA2">
        <w:t>1.</w:t>
      </w:r>
      <w:r w:rsidRPr="00AA6FA2">
        <w:tab/>
        <w:t>Europaparlamentet godkänner rådets ståndpunkt vid första behandlingen.</w:t>
      </w:r>
    </w:p>
    <w:p w14:paraId="6A01AEE9" w14:textId="77777777" w:rsidR="00301137" w:rsidRPr="00AA6FA2" w:rsidRDefault="00301137" w:rsidP="00301137">
      <w:pPr>
        <w:pStyle w:val="NormalHanging12a"/>
      </w:pPr>
      <w:r w:rsidRPr="00AA6FA2">
        <w:t>2.</w:t>
      </w:r>
      <w:r w:rsidRPr="00AA6FA2">
        <w:tab/>
        <w:t>Europaparlamentet konstaterar att rättsakten är antagen i enlighet med rådets ståndpunkt.</w:t>
      </w:r>
    </w:p>
    <w:p w14:paraId="5DA01ADA" w14:textId="77777777" w:rsidR="00301137" w:rsidRPr="00AA6FA2" w:rsidRDefault="00301137" w:rsidP="00301137">
      <w:pPr>
        <w:pStyle w:val="NormalHanging12a"/>
      </w:pPr>
      <w:r w:rsidRPr="00AA6FA2">
        <w:t>3.</w:t>
      </w:r>
      <w:r w:rsidRPr="00AA6FA2">
        <w:tab/>
        <w:t>Europaparlamentet uppdrar åt talmannen att tillsammans med rådets ordförande underteckna akten i enlighet med artikel 297.1 i fördraget om Europeiska unionens funktionssätt.</w:t>
      </w:r>
    </w:p>
    <w:p w14:paraId="623300D9" w14:textId="77777777" w:rsidR="00301137" w:rsidRPr="00AA6FA2" w:rsidRDefault="00301137" w:rsidP="00301137">
      <w:pPr>
        <w:pStyle w:val="NormalHanging12a"/>
        <w:keepNext/>
        <w:keepLines/>
        <w:widowControl/>
      </w:pPr>
      <w:r w:rsidRPr="00AA6FA2">
        <w:t>4.</w:t>
      </w:r>
      <w:r w:rsidRPr="00AA6FA2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AA6FA2">
        <w:rPr>
          <w:i/>
          <w:iCs/>
        </w:rPr>
        <w:t>Europeiska unionens officiella tidning</w:t>
      </w:r>
      <w:r w:rsidRPr="00AA6FA2">
        <w:t>.</w:t>
      </w:r>
    </w:p>
    <w:p w14:paraId="59B47500" w14:textId="7DE81B53" w:rsidR="00AA6FA2" w:rsidRPr="00AA6FA2" w:rsidRDefault="00301137" w:rsidP="00AA6FA2">
      <w:pPr>
        <w:pStyle w:val="NormalHanging12a"/>
      </w:pPr>
      <w:r w:rsidRPr="00AA6FA2">
        <w:t>5.</w:t>
      </w:r>
      <w:r w:rsidRPr="00AA6FA2">
        <w:tab/>
        <w:t>Europaparlamentet uppdrar åt talmannen att översända parlamentets ståndpunkt till rådet, kommissionen och de nationella parlamenten.</w:t>
      </w:r>
    </w:p>
    <w:p w14:paraId="72CC4C17" w14:textId="28F58E4F" w:rsidR="00E365E1" w:rsidRPr="00AA6FA2" w:rsidRDefault="00E365E1" w:rsidP="003922AA"/>
    <w:sectPr w:rsidR="00E365E1" w:rsidRPr="00AA6FA2" w:rsidSect="00AA6F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3AFB" w14:textId="77777777" w:rsidR="003922AA" w:rsidRPr="00AA6FA2" w:rsidRDefault="003922AA">
      <w:r w:rsidRPr="00AA6FA2">
        <w:separator/>
      </w:r>
    </w:p>
  </w:endnote>
  <w:endnote w:type="continuationSeparator" w:id="0">
    <w:p w14:paraId="1CD24A1A" w14:textId="77777777" w:rsidR="003922AA" w:rsidRPr="00AA6FA2" w:rsidRDefault="003922AA">
      <w:r w:rsidRPr="00AA6F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02F6" w14:textId="77777777" w:rsidR="00064002" w:rsidRPr="00AA6F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B4C4F" w14:textId="77777777" w:rsidR="00064002" w:rsidRPr="00AA6F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A0DC" w14:textId="77777777" w:rsidR="00064002" w:rsidRPr="00AA6F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342D" w14:textId="77777777" w:rsidR="003922AA" w:rsidRPr="00AA6FA2" w:rsidRDefault="003922AA">
      <w:r w:rsidRPr="00AA6FA2">
        <w:separator/>
      </w:r>
    </w:p>
  </w:footnote>
  <w:footnote w:type="continuationSeparator" w:id="0">
    <w:p w14:paraId="5FA2F551" w14:textId="77777777" w:rsidR="003922AA" w:rsidRPr="00AA6FA2" w:rsidRDefault="003922AA">
      <w:r w:rsidRPr="00AA6FA2">
        <w:continuationSeparator/>
      </w:r>
    </w:p>
  </w:footnote>
  <w:footnote w:id="1">
    <w:p w14:paraId="716A60F3" w14:textId="21135195" w:rsidR="00301137" w:rsidRPr="008038B4" w:rsidRDefault="00301137" w:rsidP="00AA6FA2">
      <w:pPr>
        <w:pStyle w:val="FootnoteText"/>
        <w:ind w:left="567" w:hanging="567"/>
        <w:rPr>
          <w:sz w:val="24"/>
          <w:szCs w:val="24"/>
          <w:lang w:val="fi-FI"/>
        </w:rPr>
      </w:pPr>
      <w:r w:rsidRPr="00AA6FA2">
        <w:rPr>
          <w:rStyle w:val="FootnoteReference"/>
          <w:sz w:val="24"/>
          <w:szCs w:val="24"/>
          <w:lang w:val="sv-SE"/>
        </w:rPr>
        <w:footnoteRef/>
      </w:r>
      <w:r w:rsidR="00AA6FA2" w:rsidRPr="008038B4">
        <w:rPr>
          <w:sz w:val="24"/>
          <w:lang w:val="fi-FI"/>
        </w:rPr>
        <w:t xml:space="preserve"> </w:t>
      </w:r>
      <w:r w:rsidR="00AA6FA2" w:rsidRPr="008038B4">
        <w:rPr>
          <w:sz w:val="24"/>
          <w:lang w:val="fi-FI"/>
        </w:rPr>
        <w:tab/>
      </w:r>
      <w:r w:rsidRPr="008038B4">
        <w:rPr>
          <w:sz w:val="24"/>
          <w:lang w:val="fi-FI"/>
        </w:rPr>
        <w:t xml:space="preserve">EUT C, C/2024/891, 6.2.2024, ELI: </w:t>
      </w:r>
      <w:hyperlink r:id="rId1" w:history="1">
        <w:r w:rsidRPr="008038B4">
          <w:rPr>
            <w:rStyle w:val="Hyperlink"/>
            <w:sz w:val="24"/>
            <w:lang w:val="fi-FI"/>
          </w:rPr>
          <w:t>http://data.europa.eu/eli/C/2024/891/oj</w:t>
        </w:r>
      </w:hyperlink>
      <w:r w:rsidRPr="008038B4">
        <w:rPr>
          <w:sz w:val="24"/>
          <w:lang w:val="fi-FI"/>
        </w:rPr>
        <w:t>.</w:t>
      </w:r>
    </w:p>
  </w:footnote>
  <w:footnote w:id="2">
    <w:p w14:paraId="19163667" w14:textId="45DB02BA" w:rsidR="00301137" w:rsidRPr="008038B4" w:rsidRDefault="00301137" w:rsidP="00AA6FA2">
      <w:pPr>
        <w:pStyle w:val="FootnoteText"/>
        <w:ind w:left="567" w:hanging="567"/>
        <w:rPr>
          <w:sz w:val="24"/>
          <w:szCs w:val="24"/>
          <w:lang w:val="fi-FI"/>
        </w:rPr>
      </w:pPr>
      <w:r w:rsidRPr="00AA6FA2">
        <w:rPr>
          <w:rStyle w:val="FootnoteReference"/>
          <w:sz w:val="24"/>
          <w:szCs w:val="24"/>
          <w:lang w:val="sv-SE"/>
        </w:rPr>
        <w:footnoteRef/>
      </w:r>
      <w:r w:rsidR="00AA6FA2" w:rsidRPr="008038B4">
        <w:rPr>
          <w:sz w:val="24"/>
          <w:lang w:val="fi-FI"/>
        </w:rPr>
        <w:t xml:space="preserve"> </w:t>
      </w:r>
      <w:r w:rsidR="00AA6FA2" w:rsidRPr="008038B4">
        <w:rPr>
          <w:sz w:val="24"/>
          <w:lang w:val="fi-FI"/>
        </w:rPr>
        <w:tab/>
      </w:r>
      <w:r w:rsidRPr="008038B4">
        <w:rPr>
          <w:sz w:val="24"/>
          <w:lang w:val="fi-FI"/>
        </w:rPr>
        <w:t xml:space="preserve">EUT C, C/2024/1982, 18.3.2024, ELI: </w:t>
      </w:r>
      <w:hyperlink r:id="rId2" w:history="1">
        <w:r w:rsidRPr="008038B4">
          <w:rPr>
            <w:rStyle w:val="Hyperlink"/>
            <w:sz w:val="24"/>
            <w:lang w:val="fi-FI"/>
          </w:rPr>
          <w:t>http://data.europa.eu/eli/C/2024/1982/o</w:t>
        </w:r>
      </w:hyperlink>
      <w:r w:rsidRPr="008038B4">
        <w:rPr>
          <w:sz w:val="24"/>
          <w:lang w:val="fi-FI"/>
        </w:rPr>
        <w:t>j.</w:t>
      </w:r>
    </w:p>
  </w:footnote>
  <w:footnote w:id="3">
    <w:p w14:paraId="0431C518" w14:textId="5E9616FE" w:rsidR="00301137" w:rsidRPr="008038B4" w:rsidRDefault="00301137" w:rsidP="00AA6FA2">
      <w:pPr>
        <w:pStyle w:val="FootnoteText"/>
        <w:ind w:left="567" w:hanging="567"/>
        <w:rPr>
          <w:sz w:val="24"/>
          <w:szCs w:val="24"/>
          <w:lang w:val="fi-FI"/>
        </w:rPr>
      </w:pPr>
      <w:r w:rsidRPr="00AA6FA2">
        <w:rPr>
          <w:rStyle w:val="FootnoteReference"/>
          <w:sz w:val="24"/>
          <w:szCs w:val="24"/>
          <w:lang w:val="sv-SE"/>
        </w:rPr>
        <w:footnoteRef/>
      </w:r>
      <w:r w:rsidR="00AA6FA2" w:rsidRPr="008038B4">
        <w:rPr>
          <w:sz w:val="24"/>
          <w:lang w:val="fi-FI"/>
        </w:rPr>
        <w:t xml:space="preserve"> </w:t>
      </w:r>
      <w:r w:rsidR="00AA6FA2" w:rsidRPr="008038B4">
        <w:rPr>
          <w:sz w:val="24"/>
          <w:lang w:val="fi-FI"/>
        </w:rPr>
        <w:tab/>
      </w:r>
      <w:r w:rsidRPr="008038B4">
        <w:rPr>
          <w:sz w:val="24"/>
          <w:lang w:val="fi-FI"/>
        </w:rPr>
        <w:t xml:space="preserve">EUT C, C/2025/1020, 27.2.2025, ELI:  </w:t>
      </w:r>
      <w:hyperlink r:id="rId3" w:history="1">
        <w:r w:rsidRPr="008038B4">
          <w:rPr>
            <w:rStyle w:val="Hyperlink"/>
            <w:sz w:val="24"/>
            <w:lang w:val="fi-FI"/>
          </w:rPr>
          <w:t>http://data.europa.eu/eli/C/2025/1020/oj</w:t>
        </w:r>
      </w:hyperlink>
      <w:r w:rsidRPr="008038B4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061F" w14:textId="77777777" w:rsidR="00064002" w:rsidRPr="00AA6F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1CFF" w14:textId="77777777" w:rsidR="00064002" w:rsidRPr="00AA6F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5F0E" w14:textId="77777777" w:rsidR="00064002" w:rsidRPr="00AA6F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3680571">
    <w:abstractNumId w:val="9"/>
  </w:num>
  <w:num w:numId="2" w16cid:durableId="1595553014">
    <w:abstractNumId w:val="9"/>
  </w:num>
  <w:num w:numId="3" w16cid:durableId="2082365462">
    <w:abstractNumId w:val="7"/>
  </w:num>
  <w:num w:numId="4" w16cid:durableId="177087183">
    <w:abstractNumId w:val="7"/>
  </w:num>
  <w:num w:numId="5" w16cid:durableId="950861999">
    <w:abstractNumId w:val="6"/>
  </w:num>
  <w:num w:numId="6" w16cid:durableId="1759793565">
    <w:abstractNumId w:val="6"/>
  </w:num>
  <w:num w:numId="7" w16cid:durableId="1898392982">
    <w:abstractNumId w:val="5"/>
  </w:num>
  <w:num w:numId="8" w16cid:durableId="538980699">
    <w:abstractNumId w:val="5"/>
  </w:num>
  <w:num w:numId="9" w16cid:durableId="1952662387">
    <w:abstractNumId w:val="4"/>
  </w:num>
  <w:num w:numId="10" w16cid:durableId="1543518410">
    <w:abstractNumId w:val="4"/>
  </w:num>
  <w:num w:numId="11" w16cid:durableId="443962157">
    <w:abstractNumId w:val="8"/>
  </w:num>
  <w:num w:numId="12" w16cid:durableId="676228129">
    <w:abstractNumId w:val="8"/>
  </w:num>
  <w:num w:numId="13" w16cid:durableId="1894385235">
    <w:abstractNumId w:val="3"/>
  </w:num>
  <w:num w:numId="14" w16cid:durableId="710956485">
    <w:abstractNumId w:val="3"/>
  </w:num>
  <w:num w:numId="15" w16cid:durableId="1263492123">
    <w:abstractNumId w:val="2"/>
  </w:num>
  <w:num w:numId="16" w16cid:durableId="1677532825">
    <w:abstractNumId w:val="2"/>
  </w:num>
  <w:num w:numId="17" w16cid:durableId="72971640">
    <w:abstractNumId w:val="1"/>
  </w:num>
  <w:num w:numId="18" w16cid:durableId="35551446">
    <w:abstractNumId w:val="1"/>
  </w:num>
  <w:num w:numId="19" w16cid:durableId="628784108">
    <w:abstractNumId w:val="0"/>
  </w:num>
  <w:num w:numId="20" w16cid:durableId="472597004">
    <w:abstractNumId w:val="0"/>
  </w:num>
  <w:num w:numId="21" w16cid:durableId="1650555616">
    <w:abstractNumId w:val="9"/>
  </w:num>
  <w:num w:numId="22" w16cid:durableId="457725360">
    <w:abstractNumId w:val="7"/>
  </w:num>
  <w:num w:numId="23" w16cid:durableId="1730767135">
    <w:abstractNumId w:val="6"/>
  </w:num>
  <w:num w:numId="24" w16cid:durableId="794525427">
    <w:abstractNumId w:val="5"/>
  </w:num>
  <w:num w:numId="25" w16cid:durableId="740062631">
    <w:abstractNumId w:val="4"/>
  </w:num>
  <w:num w:numId="26" w16cid:durableId="34276298">
    <w:abstractNumId w:val="8"/>
  </w:num>
  <w:num w:numId="27" w16cid:durableId="1538228220">
    <w:abstractNumId w:val="3"/>
  </w:num>
  <w:num w:numId="28" w16cid:durableId="480270787">
    <w:abstractNumId w:val="2"/>
  </w:num>
  <w:num w:numId="29" w16cid:durableId="1994335255">
    <w:abstractNumId w:val="1"/>
  </w:num>
  <w:num w:numId="30" w16cid:durableId="1259027248">
    <w:abstractNumId w:val="0"/>
  </w:num>
  <w:num w:numId="31" w16cid:durableId="2115201179">
    <w:abstractNumId w:val="9"/>
  </w:num>
  <w:num w:numId="32" w16cid:durableId="1964385873">
    <w:abstractNumId w:val="7"/>
  </w:num>
  <w:num w:numId="33" w16cid:durableId="292247888">
    <w:abstractNumId w:val="6"/>
  </w:num>
  <w:num w:numId="34" w16cid:durableId="1010376884">
    <w:abstractNumId w:val="5"/>
  </w:num>
  <w:num w:numId="35" w16cid:durableId="1648165637">
    <w:abstractNumId w:val="4"/>
  </w:num>
  <w:num w:numId="36" w16cid:durableId="34349845">
    <w:abstractNumId w:val="8"/>
  </w:num>
  <w:num w:numId="37" w16cid:durableId="616303262">
    <w:abstractNumId w:val="3"/>
  </w:num>
  <w:num w:numId="38" w16cid:durableId="1938978798">
    <w:abstractNumId w:val="2"/>
  </w:num>
  <w:num w:numId="39" w16cid:durableId="83498274">
    <w:abstractNumId w:val="1"/>
  </w:num>
  <w:num w:numId="40" w16cid:durableId="55974047">
    <w:abstractNumId w:val="0"/>
  </w:num>
  <w:num w:numId="41" w16cid:durableId="1859615219">
    <w:abstractNumId w:val="10"/>
  </w:num>
  <w:num w:numId="42" w16cid:durableId="692654726">
    <w:abstractNumId w:val="10"/>
  </w:num>
  <w:num w:numId="43" w16cid:durableId="1033189730">
    <w:abstractNumId w:val="10"/>
  </w:num>
  <w:num w:numId="44" w16cid:durableId="7997361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SV"/>
    <w:docVar w:name="dvnumam" w:val="0"/>
    <w:docVar w:name="dvpe" w:val="787.893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förordning om utnyttjande av järnvägsinfrastrukturkapacitet i det gemensamma europeiska järnvägsområdet, ändring av direktiv 2012/34/EU och upphävande av förordning (EU) nr 913/2010(16833/1/2025 – C10-0104/2026 – 2023/0271(COD))"/>
  </w:docVars>
  <w:rsids>
    <w:rsidRoot w:val="003922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385"/>
    <w:rsid w:val="002767FF"/>
    <w:rsid w:val="002B18FE"/>
    <w:rsid w:val="002B5493"/>
    <w:rsid w:val="00301137"/>
    <w:rsid w:val="00343214"/>
    <w:rsid w:val="00361C00"/>
    <w:rsid w:val="003922A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8B4"/>
    <w:rsid w:val="00817416"/>
    <w:rsid w:val="00842779"/>
    <w:rsid w:val="00865F67"/>
    <w:rsid w:val="00881A7B"/>
    <w:rsid w:val="008840E5"/>
    <w:rsid w:val="00887B3E"/>
    <w:rsid w:val="008C2AC6"/>
    <w:rsid w:val="009079D3"/>
    <w:rsid w:val="009176CF"/>
    <w:rsid w:val="00930C23"/>
    <w:rsid w:val="0093193B"/>
    <w:rsid w:val="009509D8"/>
    <w:rsid w:val="00950B64"/>
    <w:rsid w:val="009601EE"/>
    <w:rsid w:val="00981893"/>
    <w:rsid w:val="009E42D0"/>
    <w:rsid w:val="00A1687D"/>
    <w:rsid w:val="00A43E52"/>
    <w:rsid w:val="00A4678D"/>
    <w:rsid w:val="00A778C7"/>
    <w:rsid w:val="00AA6FA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1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19059"/>
  <w15:chartTrackingRefBased/>
  <w15:docId w15:val="{AC97976F-0289-4C72-ACC1-930D9129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1137"/>
    <w:pPr>
      <w:spacing w:before="480" w:after="240"/>
    </w:pPr>
  </w:style>
  <w:style w:type="paragraph" w:customStyle="1" w:styleId="NormalBold">
    <w:name w:val="NormalBold"/>
    <w:basedOn w:val="Normal"/>
    <w:rsid w:val="00301137"/>
    <w:rPr>
      <w:b/>
    </w:rPr>
  </w:style>
  <w:style w:type="paragraph" w:customStyle="1" w:styleId="NormalHanging12a">
    <w:name w:val="NormalHanging12a"/>
    <w:basedOn w:val="Normal"/>
    <w:rsid w:val="00301137"/>
    <w:pPr>
      <w:spacing w:after="240"/>
      <w:ind w:left="567" w:hanging="567"/>
    </w:pPr>
  </w:style>
  <w:style w:type="character" w:styleId="Hyperlink">
    <w:name w:val="Hyperlink"/>
    <w:basedOn w:val="DefaultParagraphFont"/>
    <w:rsid w:val="0030113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76CF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0/oj" TargetMode="External"/><Relationship Id="rId2" Type="http://schemas.openxmlformats.org/officeDocument/2006/relationships/hyperlink" Target="http://data.europa.eu/eli/C/2024/1982/o" TargetMode="External"/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2026-05-19T11:34:00Z</dcterms:created>
  <dcterms:modified xsi:type="dcterms:W3CDTF">2026-05-19T11:34:00Z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