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4491" w14:paraId="535F3C4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9D5D41" w14:textId="691EBAB2" w:rsidR="00751A4A" w:rsidRPr="00594491" w:rsidRDefault="003C5DBA" w:rsidP="0010095E">
            <w:pPr>
              <w:pStyle w:val="EPName"/>
            </w:pPr>
            <w:r w:rsidRPr="00594491">
              <w:t>Европейски</w:t>
            </w:r>
            <w:r w:rsidR="00081C6C" w:rsidRPr="00594491">
              <w:t xml:space="preserve"> парламент</w:t>
            </w:r>
          </w:p>
          <w:p w14:paraId="450F4E65" w14:textId="08EA04A6" w:rsidR="00751A4A" w:rsidRPr="0059449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4491">
              <w:t>2024</w:t>
            </w:r>
            <w:r w:rsidR="003C5DBA" w:rsidRPr="00594491">
              <w:t> – </w:t>
            </w:r>
            <w:r w:rsidR="00817416" w:rsidRPr="00594491">
              <w:t>202</w:t>
            </w:r>
            <w:r w:rsidRPr="00594491">
              <w:t>9</w:t>
            </w:r>
          </w:p>
        </w:tc>
        <w:tc>
          <w:tcPr>
            <w:tcW w:w="2268" w:type="dxa"/>
            <w:shd w:val="clear" w:color="auto" w:fill="auto"/>
          </w:tcPr>
          <w:p w14:paraId="773F52FA" w14:textId="77777777" w:rsidR="00751A4A" w:rsidRPr="00594491" w:rsidRDefault="00187494" w:rsidP="0010095E">
            <w:pPr>
              <w:pStyle w:val="EPLogo"/>
            </w:pPr>
            <w:r w:rsidRPr="00594491">
              <w:rPr>
                <w:noProof/>
                <w:lang w:eastAsia="ja-JP"/>
              </w:rPr>
              <w:drawing>
                <wp:inline distT="0" distB="0" distL="0" distR="0" wp14:anchorId="2B0341B9" wp14:editId="36FD23C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993D01" w14:textId="77777777" w:rsidR="00D058B8" w:rsidRPr="00594491" w:rsidRDefault="00D058B8" w:rsidP="004C5D52">
      <w:pPr>
        <w:pStyle w:val="LineTop"/>
      </w:pPr>
    </w:p>
    <w:p w14:paraId="1CC5F97A" w14:textId="77777777" w:rsidR="00680577" w:rsidRPr="00594491" w:rsidRDefault="00081C6C" w:rsidP="00680577">
      <w:pPr>
        <w:pStyle w:val="EPBodyTA1"/>
      </w:pPr>
      <w:r w:rsidRPr="00594491">
        <w:t>ПРИЕТИ ТЕКСТОВЕ</w:t>
      </w:r>
    </w:p>
    <w:p w14:paraId="720073F1" w14:textId="77777777" w:rsidR="00D058B8" w:rsidRPr="00594491" w:rsidRDefault="00D058B8" w:rsidP="00D058B8">
      <w:pPr>
        <w:pStyle w:val="LineBottom"/>
      </w:pPr>
    </w:p>
    <w:p w14:paraId="166CCE5A" w14:textId="770D3A6A" w:rsidR="00081C6C" w:rsidRPr="00594491" w:rsidRDefault="00081C6C" w:rsidP="00081C6C">
      <w:pPr>
        <w:pStyle w:val="ATHeading1"/>
        <w:rPr>
          <w:lang w:val="en-GB"/>
        </w:rPr>
      </w:pPr>
      <w:bookmarkStart w:id="0" w:name="TANumber"/>
      <w:r w:rsidRPr="00594491">
        <w:t>P10_TA(2026)0</w:t>
      </w:r>
      <w:r w:rsidR="00594491" w:rsidRPr="00594491">
        <w:rPr>
          <w:lang w:val="en-GB"/>
        </w:rPr>
        <w:t>170</w:t>
      </w:r>
      <w:bookmarkEnd w:id="0"/>
    </w:p>
    <w:p w14:paraId="67351874" w14:textId="77777777" w:rsidR="00081C6C" w:rsidRPr="00594491" w:rsidRDefault="00081C6C" w:rsidP="00081C6C">
      <w:pPr>
        <w:pStyle w:val="ATHeading2"/>
      </w:pPr>
      <w:bookmarkStart w:id="1" w:name="title"/>
      <w:r w:rsidRPr="00594491">
        <w:t>Свързаните с търговията неблагоприятни последици от свръхкапацитета в световен мащаб за пазара на стомана в Съюза</w:t>
      </w:r>
      <w:bookmarkEnd w:id="1"/>
    </w:p>
    <w:p w14:paraId="7AF7F819" w14:textId="77777777" w:rsidR="00081C6C" w:rsidRPr="00594491" w:rsidRDefault="00081C6C" w:rsidP="00081C6C">
      <w:pPr>
        <w:rPr>
          <w:i/>
          <w:vanish/>
        </w:rPr>
      </w:pPr>
      <w:r w:rsidRPr="00594491">
        <w:rPr>
          <w:i/>
        </w:rPr>
        <w:fldChar w:fldCharType="begin"/>
      </w:r>
      <w:r w:rsidRPr="00594491">
        <w:rPr>
          <w:i/>
        </w:rPr>
        <w:instrText xml:space="preserve"> TC"(</w:instrText>
      </w:r>
      <w:bookmarkStart w:id="2" w:name="DocNumber"/>
      <w:r w:rsidRPr="00594491">
        <w:rPr>
          <w:i/>
        </w:rPr>
        <w:instrText>A10-0012/2026</w:instrText>
      </w:r>
      <w:bookmarkEnd w:id="2"/>
      <w:r w:rsidRPr="00594491">
        <w:rPr>
          <w:i/>
        </w:rPr>
        <w:instrText xml:space="preserve"> - Докладчик: Карин </w:instrText>
      </w:r>
      <w:proofErr w:type="spellStart"/>
      <w:r w:rsidRPr="00594491">
        <w:rPr>
          <w:i/>
        </w:rPr>
        <w:instrText>Карлсбро</w:instrText>
      </w:r>
      <w:proofErr w:type="spellEnd"/>
      <w:r w:rsidRPr="00594491">
        <w:rPr>
          <w:i/>
        </w:rPr>
        <w:instrText xml:space="preserve">)"\l3 \n&gt; \* MERGEFORMAT </w:instrText>
      </w:r>
      <w:r w:rsidRPr="00594491">
        <w:rPr>
          <w:i/>
        </w:rPr>
        <w:fldChar w:fldCharType="end"/>
      </w:r>
    </w:p>
    <w:p w14:paraId="15F5CEBF" w14:textId="77777777" w:rsidR="00081C6C" w:rsidRPr="00594491" w:rsidRDefault="00081C6C" w:rsidP="00081C6C">
      <w:pPr>
        <w:rPr>
          <w:vanish/>
        </w:rPr>
      </w:pPr>
      <w:bookmarkStart w:id="3" w:name="Commission"/>
      <w:r w:rsidRPr="00594491">
        <w:rPr>
          <w:vanish/>
        </w:rPr>
        <w:t>Комисия по международна търговия</w:t>
      </w:r>
      <w:bookmarkEnd w:id="3"/>
    </w:p>
    <w:p w14:paraId="12092C03" w14:textId="77777777" w:rsidR="00081C6C" w:rsidRPr="00594491" w:rsidRDefault="00081C6C" w:rsidP="00081C6C">
      <w:pPr>
        <w:rPr>
          <w:vanish/>
        </w:rPr>
      </w:pPr>
      <w:bookmarkStart w:id="4" w:name="PE"/>
      <w:r w:rsidRPr="00594491">
        <w:rPr>
          <w:vanish/>
        </w:rPr>
        <w:t>PE779.727</w:t>
      </w:r>
      <w:bookmarkEnd w:id="4"/>
    </w:p>
    <w:p w14:paraId="04EA3287" w14:textId="238360C8" w:rsidR="00081C6C" w:rsidRPr="00594491" w:rsidRDefault="00081C6C" w:rsidP="00081C6C">
      <w:pPr>
        <w:pStyle w:val="ATHeading3"/>
      </w:pPr>
      <w:bookmarkStart w:id="5" w:name="Sujet"/>
      <w:r w:rsidRPr="00594491">
        <w:t xml:space="preserve">Законодателна резолюция на Европейския парламент от </w:t>
      </w:r>
      <w:r w:rsidR="003C5DBA" w:rsidRPr="00594491">
        <w:t>1</w:t>
      </w:r>
      <w:r w:rsidR="00594491" w:rsidRPr="00594491">
        <w:rPr>
          <w:lang w:val="en-GB"/>
        </w:rPr>
        <w:t>9</w:t>
      </w:r>
      <w:r w:rsidR="003C5DBA" w:rsidRPr="00594491">
        <w:t xml:space="preserve"> май</w:t>
      </w:r>
      <w:r w:rsidRPr="00594491">
        <w:t xml:space="preserve"> 2026 г. относно предложението за регламент на Европейския парламент и на Съвета за справяне със свързаните с търговията неблагоприятни последици от свръхкапацитета в световен мащаб за пазара на стомана в Съюза</w:t>
      </w:r>
      <w:bookmarkEnd w:id="5"/>
      <w:r w:rsidRPr="00594491">
        <w:t xml:space="preserve"> </w:t>
      </w:r>
      <w:bookmarkStart w:id="6" w:name="References"/>
      <w:r w:rsidRPr="00594491">
        <w:t>(COM(2025)0726 – C10-0245/2025 – 2025/0726(COD))</w:t>
      </w:r>
      <w:bookmarkEnd w:id="6"/>
    </w:p>
    <w:p w14:paraId="4892C9B1" w14:textId="77777777" w:rsidR="006C1E49" w:rsidRPr="00594491" w:rsidRDefault="006C1E49" w:rsidP="006C1E49">
      <w:pPr>
        <w:pStyle w:val="NormalBold"/>
      </w:pPr>
      <w:r w:rsidRPr="00594491">
        <w:t>(Обикновена законодателна процедура: първо четене)</w:t>
      </w:r>
    </w:p>
    <w:p w14:paraId="42506CA2" w14:textId="77777777" w:rsidR="006C1E49" w:rsidRPr="00594491" w:rsidRDefault="006C1E49" w:rsidP="006C1E49">
      <w:pPr>
        <w:pStyle w:val="EPComma"/>
      </w:pPr>
      <w:r w:rsidRPr="00594491">
        <w:rPr>
          <w:i/>
          <w:iCs/>
        </w:rPr>
        <w:t>Европейският парламент</w:t>
      </w:r>
      <w:r w:rsidRPr="00594491">
        <w:t>,</w:t>
      </w:r>
    </w:p>
    <w:p w14:paraId="22645AD2" w14:textId="2F3E9C23" w:rsidR="006C1E49" w:rsidRPr="00594491" w:rsidRDefault="006C1E49" w:rsidP="006C1E49">
      <w:pPr>
        <w:pStyle w:val="NormalHanging12a"/>
      </w:pPr>
      <w:r w:rsidRPr="00594491">
        <w:t>–</w:t>
      </w:r>
      <w:r w:rsidRPr="00594491">
        <w:tab/>
        <w:t xml:space="preserve">като взе предвид предложението на Комисията до </w:t>
      </w:r>
      <w:r w:rsidR="003C5DBA" w:rsidRPr="00594491">
        <w:t>П</w:t>
      </w:r>
      <w:r w:rsidRPr="00594491">
        <w:t>арламент</w:t>
      </w:r>
      <w:r w:rsidR="003C5DBA" w:rsidRPr="00594491">
        <w:t>а</w:t>
      </w:r>
      <w:r w:rsidRPr="00594491">
        <w:t xml:space="preserve"> и до Съвета (COM(2025)0726),</w:t>
      </w:r>
    </w:p>
    <w:p w14:paraId="7EFCE734" w14:textId="77777777" w:rsidR="006C1E49" w:rsidRPr="00594491" w:rsidRDefault="006C1E49" w:rsidP="006C1E49">
      <w:pPr>
        <w:pStyle w:val="NormalHanging12a"/>
      </w:pPr>
      <w:r w:rsidRPr="00594491">
        <w:t>–</w:t>
      </w:r>
      <w:r w:rsidRPr="00594491">
        <w:tab/>
        <w:t>като взе предвид член 294, параграф 2 и член 207, параграф 2 от Договора за функционирането на Европейския съюз, съгласно които Комисията е внесла предложението в Парламента (C10</w:t>
      </w:r>
      <w:r w:rsidRPr="00594491">
        <w:noBreakHyphen/>
        <w:t>0245/2025),</w:t>
      </w:r>
    </w:p>
    <w:p w14:paraId="473EA994" w14:textId="77777777" w:rsidR="006C1E49" w:rsidRPr="00594491" w:rsidRDefault="006C1E49" w:rsidP="006C1E49">
      <w:pPr>
        <w:pStyle w:val="NormalHanging12a"/>
        <w:rPr>
          <w:lang w:val="en-GB"/>
        </w:rPr>
      </w:pPr>
      <w:r w:rsidRPr="00594491">
        <w:t>–</w:t>
      </w:r>
      <w:r w:rsidRPr="00594491">
        <w:tab/>
        <w:t>като взе предвид член 294, параграф 3 от Договора за функционирането на Европейския съюз,</w:t>
      </w:r>
    </w:p>
    <w:p w14:paraId="7899957C" w14:textId="4CA49252" w:rsidR="00F036D2" w:rsidRPr="00594491" w:rsidRDefault="00F036D2" w:rsidP="006C1E49">
      <w:pPr>
        <w:pStyle w:val="NormalHanging12a"/>
      </w:pPr>
      <w:r w:rsidRPr="00594491">
        <w:t>–</w:t>
      </w:r>
      <w:r w:rsidRPr="00594491">
        <w:tab/>
        <w:t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23 април 2026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49FC7DFD" w14:textId="77777777" w:rsidR="006C1E49" w:rsidRPr="00594491" w:rsidRDefault="006C1E49" w:rsidP="006C1E49">
      <w:pPr>
        <w:pStyle w:val="NormalHanging12a"/>
      </w:pPr>
      <w:r w:rsidRPr="00594491">
        <w:t>–</w:t>
      </w:r>
      <w:r w:rsidRPr="00594491">
        <w:tab/>
        <w:t>като взе предвид член 60 от своя Правилник за дейността,</w:t>
      </w:r>
    </w:p>
    <w:p w14:paraId="767A29F9" w14:textId="77777777" w:rsidR="006C1E49" w:rsidRPr="00594491" w:rsidRDefault="006C1E49" w:rsidP="006C1E49">
      <w:pPr>
        <w:pStyle w:val="NormalHanging12a"/>
      </w:pPr>
      <w:r w:rsidRPr="00594491">
        <w:t>–</w:t>
      </w:r>
      <w:r w:rsidRPr="00594491">
        <w:tab/>
        <w:t>като взе предвид становището на комисията по промишленост, изследвания и енергетика,</w:t>
      </w:r>
    </w:p>
    <w:p w14:paraId="47A93835" w14:textId="77777777" w:rsidR="006C1E49" w:rsidRPr="00594491" w:rsidRDefault="006C1E49" w:rsidP="006C1E49">
      <w:pPr>
        <w:pStyle w:val="NormalHanging12a"/>
      </w:pPr>
      <w:r w:rsidRPr="00594491">
        <w:t>–</w:t>
      </w:r>
      <w:r w:rsidRPr="00594491">
        <w:tab/>
        <w:t>като взе предвид доклада на комисията по международна търговия (A10-0012/2026),</w:t>
      </w:r>
    </w:p>
    <w:p w14:paraId="41DE21BF" w14:textId="4812929B" w:rsidR="006C1E49" w:rsidRPr="00594491" w:rsidRDefault="003C0F5B" w:rsidP="003C0F5B">
      <w:pPr>
        <w:pStyle w:val="NormalHanging12a"/>
        <w:rPr>
          <w:lang w:val="en-GB"/>
        </w:rPr>
      </w:pPr>
      <w:r w:rsidRPr="00594491">
        <w:lastRenderedPageBreak/>
        <w:t>1.</w:t>
      </w:r>
      <w:r w:rsidRPr="00594491">
        <w:tab/>
      </w:r>
      <w:r w:rsidR="006C1E49" w:rsidRPr="00594491">
        <w:t>приема изложената по-долу позиция на първо четене;</w:t>
      </w:r>
    </w:p>
    <w:p w14:paraId="5F285831" w14:textId="3DFE3721" w:rsidR="003C0F5B" w:rsidRPr="00594491" w:rsidRDefault="003C0F5B" w:rsidP="003C0F5B">
      <w:pPr>
        <w:pStyle w:val="NormalHanging12a"/>
      </w:pPr>
      <w:r w:rsidRPr="00594491">
        <w:rPr>
          <w:lang w:val="en-GB"/>
        </w:rPr>
        <w:t>2.</w:t>
      </w:r>
      <w:r w:rsidRPr="00594491">
        <w:rPr>
          <w:lang w:val="en-GB"/>
        </w:rPr>
        <w:tab/>
      </w:r>
      <w:r w:rsidRPr="00594491">
        <w:t xml:space="preserve">одобрява съвместното изявление на Парламента, Съвета и Комисията, приложено към настоящата резолюция, което ще бъде публикувано в серия C на </w:t>
      </w:r>
      <w:r w:rsidRPr="00594491">
        <w:rPr>
          <w:i/>
          <w:iCs/>
        </w:rPr>
        <w:t xml:space="preserve">Официален вестник на Европейския </w:t>
      </w:r>
      <w:proofErr w:type="gramStart"/>
      <w:r w:rsidRPr="00594491">
        <w:rPr>
          <w:i/>
          <w:iCs/>
        </w:rPr>
        <w:t>съюз</w:t>
      </w:r>
      <w:r w:rsidRPr="00594491">
        <w:t>;</w:t>
      </w:r>
      <w:proofErr w:type="gramEnd"/>
    </w:p>
    <w:p w14:paraId="01C163B9" w14:textId="563A4604" w:rsidR="006C1E49" w:rsidRPr="00594491" w:rsidRDefault="003C0F5B" w:rsidP="006C1E49">
      <w:pPr>
        <w:pStyle w:val="NormalHanging12a"/>
      </w:pPr>
      <w:r w:rsidRPr="00594491">
        <w:rPr>
          <w:lang w:val="en-GB"/>
        </w:rPr>
        <w:t>3</w:t>
      </w:r>
      <w:r w:rsidR="006C1E49" w:rsidRPr="00594491">
        <w:t>.</w:t>
      </w:r>
      <w:r w:rsidR="006C1E49" w:rsidRPr="00594491">
        <w:tab/>
        <w:t>приканва Комисията отново да се отнесе до него, в случай че замени своето предложение с друг текст</w:t>
      </w:r>
      <w:r w:rsidR="003C5DBA" w:rsidRPr="00594491">
        <w:t>,</w:t>
      </w:r>
      <w:r w:rsidR="006C1E49" w:rsidRPr="00594491">
        <w:t xml:space="preserve"> внесе или възнамерява да внесе съществени изменения в това </w:t>
      </w:r>
      <w:proofErr w:type="gramStart"/>
      <w:r w:rsidR="006C1E49" w:rsidRPr="00594491">
        <w:t>предложение;</w:t>
      </w:r>
      <w:proofErr w:type="gramEnd"/>
    </w:p>
    <w:p w14:paraId="731B60AF" w14:textId="149CE03F" w:rsidR="006C1E49" w:rsidRPr="00594491" w:rsidRDefault="003C0F5B" w:rsidP="006C1E49">
      <w:pPr>
        <w:pStyle w:val="NormalHanging12a"/>
      </w:pPr>
      <w:r w:rsidRPr="00594491">
        <w:rPr>
          <w:lang w:val="en-GB"/>
        </w:rPr>
        <w:t>4</w:t>
      </w:r>
      <w:r w:rsidR="006C1E49" w:rsidRPr="00594491">
        <w:t>.</w:t>
      </w:r>
      <w:r w:rsidR="006C1E49" w:rsidRPr="00594491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0C5FC347" w14:textId="77777777" w:rsidR="003C0F5B" w:rsidRPr="00594491" w:rsidRDefault="006C1E49" w:rsidP="003C0F5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en-GB"/>
        </w:rPr>
      </w:pPr>
      <w:r w:rsidRPr="00594491">
        <w:br w:type="page"/>
      </w:r>
      <w:r w:rsidR="003C0F5B" w:rsidRPr="00594491">
        <w:rPr>
          <w:rFonts w:eastAsia="Calibri"/>
          <w:b/>
          <w:bCs/>
          <w:color w:val="000000"/>
          <w:szCs w:val="24"/>
          <w:lang w:val="en-GB"/>
        </w:rPr>
        <w:lastRenderedPageBreak/>
        <w:t>P10_TC1-</w:t>
      </w:r>
      <w:proofErr w:type="gramStart"/>
      <w:r w:rsidR="003C0F5B" w:rsidRPr="00594491">
        <w:rPr>
          <w:rFonts w:eastAsia="Calibri"/>
          <w:b/>
          <w:bCs/>
          <w:color w:val="000000"/>
          <w:szCs w:val="24"/>
          <w:lang w:val="en-GB"/>
        </w:rPr>
        <w:t>COD(</w:t>
      </w:r>
      <w:proofErr w:type="gramEnd"/>
      <w:r w:rsidR="003C0F5B" w:rsidRPr="00594491">
        <w:rPr>
          <w:rFonts w:eastAsia="Calibri"/>
          <w:b/>
          <w:bCs/>
          <w:color w:val="000000"/>
          <w:szCs w:val="24"/>
          <w:lang w:val="en-GB"/>
        </w:rPr>
        <w:t>2025)0726</w:t>
      </w:r>
    </w:p>
    <w:p w14:paraId="4A329FBC" w14:textId="65F2932B" w:rsidR="003C0F5B" w:rsidRPr="00B15C39" w:rsidRDefault="003C0F5B" w:rsidP="003C0F5B">
      <w:pPr>
        <w:widowControl/>
        <w:rPr>
          <w:b/>
          <w:szCs w:val="24"/>
          <w:lang w:val="en-GB"/>
        </w:rPr>
      </w:pPr>
      <w:r w:rsidRPr="00594491">
        <w:rPr>
          <w:b/>
          <w:szCs w:val="24"/>
        </w:rPr>
        <w:t xml:space="preserve">Позиция на Европейския парламент, приета на първо четене на </w:t>
      </w:r>
      <w:r w:rsidRPr="00594491">
        <w:rPr>
          <w:b/>
          <w:szCs w:val="24"/>
          <w:lang w:val="en-GB"/>
        </w:rPr>
        <w:t xml:space="preserve">19 </w:t>
      </w:r>
      <w:r w:rsidRPr="00594491">
        <w:rPr>
          <w:b/>
          <w:szCs w:val="24"/>
        </w:rPr>
        <w:t>май</w:t>
      </w:r>
      <w:r w:rsidRPr="00594491">
        <w:rPr>
          <w:b/>
          <w:szCs w:val="24"/>
          <w:lang w:val="en-GB"/>
        </w:rPr>
        <w:t xml:space="preserve"> </w:t>
      </w:r>
      <w:r w:rsidRPr="00594491">
        <w:rPr>
          <w:b/>
          <w:szCs w:val="24"/>
        </w:rPr>
        <w:t xml:space="preserve">2026 г. с оглед на приемането на Регламент (ЕС) 2026/... на Европейския парламент и на Съвета </w:t>
      </w:r>
      <w:r w:rsidRPr="00594491">
        <w:rPr>
          <w:b/>
          <w:color w:val="000000"/>
          <w:szCs w:val="24"/>
          <w:lang w:eastAsia="en-US"/>
        </w:rPr>
        <w:t xml:space="preserve">за справяне със свързаните с търговията неблагоприятни последици от свръхкапацитета в световен мащаб за пазара на стомана в </w:t>
      </w:r>
      <w:r w:rsidRPr="00B15C39">
        <w:rPr>
          <w:b/>
          <w:color w:val="000000"/>
          <w:szCs w:val="24"/>
          <w:lang w:eastAsia="en-US"/>
        </w:rPr>
        <w:t>Съюза и за изменение на Регламент (ЕС) 2020/2170</w:t>
      </w:r>
    </w:p>
    <w:p w14:paraId="7139BE77" w14:textId="202714CF" w:rsidR="00B15C39" w:rsidRPr="00594491" w:rsidRDefault="00B15C39" w:rsidP="00B15C39">
      <w:pPr>
        <w:keepNext/>
        <w:widowControl/>
        <w:spacing w:before="600" w:after="120"/>
        <w:rPr>
          <w:color w:val="000000"/>
          <w:szCs w:val="24"/>
          <w:lang w:eastAsia="en-US"/>
        </w:rPr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</w:t>
      </w:r>
      <w:r w:rsidRPr="00B15C39">
        <w:rPr>
          <w:i/>
          <w:szCs w:val="24"/>
        </w:rPr>
        <w:t xml:space="preserve">законодателен акт, </w:t>
      </w:r>
      <w:proofErr w:type="spellStart"/>
      <w:r w:rsidRPr="00B15C39">
        <w:rPr>
          <w:i/>
          <w:szCs w:val="24"/>
          <w:lang w:val="lt-LT"/>
        </w:rPr>
        <w:t>Регламент</w:t>
      </w:r>
      <w:proofErr w:type="spellEnd"/>
      <w:r w:rsidRPr="00B15C39">
        <w:rPr>
          <w:i/>
          <w:szCs w:val="24"/>
          <w:lang w:val="lt-LT"/>
        </w:rPr>
        <w:t xml:space="preserve"> (ЕС) </w:t>
      </w:r>
      <w:r w:rsidRPr="00B15C39">
        <w:rPr>
          <w:i/>
          <w:szCs w:val="24"/>
          <w:lang w:val="lt-LT"/>
        </w:rPr>
        <w:t>2026/1384</w:t>
      </w:r>
      <w:r w:rsidRPr="00B15C39">
        <w:rPr>
          <w:i/>
          <w:szCs w:val="24"/>
          <w:lang w:val="lt-LT"/>
        </w:rPr>
        <w:t>.)</w:t>
      </w:r>
    </w:p>
    <w:p w14:paraId="366EDB0C" w14:textId="3751B445" w:rsidR="003C0F5B" w:rsidRPr="00594491" w:rsidRDefault="003C0F5B" w:rsidP="003C0F5B">
      <w:pPr>
        <w:widowControl/>
        <w:spacing w:before="120" w:after="120" w:line="360" w:lineRule="auto"/>
        <w:rPr>
          <w:color w:val="000000"/>
          <w:szCs w:val="24"/>
          <w:lang w:eastAsia="en-US"/>
        </w:rPr>
      </w:pPr>
    </w:p>
    <w:p w14:paraId="19C9FC21" w14:textId="77777777" w:rsidR="003C0F5B" w:rsidRPr="00594491" w:rsidRDefault="003C0F5B" w:rsidP="006C1E49">
      <w:pPr>
        <w:widowControl/>
        <w:sectPr w:rsidR="003C0F5B" w:rsidRPr="00594491" w:rsidSect="001A0CD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B127DD2" w14:textId="4964B816" w:rsidR="003C0F5B" w:rsidRPr="00594491" w:rsidRDefault="003C0F5B" w:rsidP="003C0F5B">
      <w:pPr>
        <w:widowControl/>
        <w:jc w:val="right"/>
      </w:pPr>
      <w:r w:rsidRPr="00594491">
        <w:lastRenderedPageBreak/>
        <w:t>ПРИЛОЖЕНИЕ КЪМ ЗАКОНОДАТЕЛНАТА РЕЗОЛЮЦИЯ</w:t>
      </w:r>
    </w:p>
    <w:p w14:paraId="1FAC5964" w14:textId="77777777" w:rsidR="003C0F5B" w:rsidRPr="00594491" w:rsidRDefault="003C0F5B" w:rsidP="003C0F5B">
      <w:pPr>
        <w:rPr>
          <w:b/>
          <w:szCs w:val="24"/>
        </w:rPr>
      </w:pPr>
    </w:p>
    <w:p w14:paraId="7F46B65D" w14:textId="7F98B032" w:rsidR="003C0F5B" w:rsidRPr="00594491" w:rsidRDefault="003C0F5B" w:rsidP="003C0F5B">
      <w:pPr>
        <w:spacing w:after="240"/>
        <w:rPr>
          <w:b/>
          <w:bCs/>
          <w:szCs w:val="24"/>
        </w:rPr>
      </w:pPr>
      <w:r w:rsidRPr="00594491">
        <w:rPr>
          <w:b/>
          <w:szCs w:val="24"/>
        </w:rPr>
        <w:t xml:space="preserve">Съвместно изявление на Европейския парламент, Съвета и Комисията относно вноса на стоманени продукти от Русия </w:t>
      </w:r>
    </w:p>
    <w:p w14:paraId="625DDD60" w14:textId="77777777" w:rsidR="003C0F5B" w:rsidRPr="00594491" w:rsidRDefault="003C0F5B" w:rsidP="003C0F5B">
      <w:pPr>
        <w:widowControl/>
        <w:spacing w:after="240"/>
        <w:rPr>
          <w:szCs w:val="24"/>
        </w:rPr>
      </w:pPr>
      <w:r w:rsidRPr="00594491">
        <w:rPr>
          <w:szCs w:val="24"/>
        </w:rPr>
        <w:t>От началото на войната Съюзът и неговите държави членки предприеха безпрецедентни мерки, за да намалят икономическата зависимост от Русия и за работят за това да се гарантира, че икономическата дейност на Съюза не допринася за поддържане на военните усилия на Русия.</w:t>
      </w:r>
    </w:p>
    <w:p w14:paraId="6E9BF7ED" w14:textId="77777777" w:rsidR="003C0F5B" w:rsidRPr="00594491" w:rsidRDefault="003C0F5B" w:rsidP="003C0F5B">
      <w:pPr>
        <w:widowControl/>
        <w:spacing w:after="240"/>
        <w:rPr>
          <w:szCs w:val="24"/>
        </w:rPr>
      </w:pPr>
      <w:r w:rsidRPr="00594491">
        <w:rPr>
          <w:szCs w:val="24"/>
        </w:rPr>
        <w:t>Тези мерки значително намалиха търговските потоци в широк кръг от сектори, включително стоманодобива, ускориха отделянето и допринесоха за устойчивостта на Съюза, като същевременно демонстрираха способността на Съюза да действа по единен и решителен начин, когато неговите ценности и стратегически интереси са изложени на риск.</w:t>
      </w:r>
    </w:p>
    <w:p w14:paraId="76CF96C1" w14:textId="77777777" w:rsidR="003C0F5B" w:rsidRPr="00594491" w:rsidRDefault="003C0F5B" w:rsidP="003C0F5B">
      <w:pPr>
        <w:widowControl/>
        <w:spacing w:after="240"/>
        <w:rPr>
          <w:szCs w:val="24"/>
        </w:rPr>
      </w:pPr>
      <w:r w:rsidRPr="00594491">
        <w:rPr>
          <w:szCs w:val="24"/>
        </w:rPr>
        <w:t>Същевременно Съюзът трябва да продължи да следи внимателно областите, в които продължават да съществуват зависимости, по-специално по отношение на някои стоманени продукти, чийто внос все още не е напълно забранен.</w:t>
      </w:r>
    </w:p>
    <w:p w14:paraId="23DA9C6C" w14:textId="77777777" w:rsidR="003C0F5B" w:rsidRPr="00594491" w:rsidRDefault="003C0F5B" w:rsidP="003C0F5B">
      <w:pPr>
        <w:widowControl/>
        <w:spacing w:after="240"/>
        <w:rPr>
          <w:szCs w:val="24"/>
        </w:rPr>
      </w:pPr>
      <w:r w:rsidRPr="00594491">
        <w:rPr>
          <w:szCs w:val="24"/>
        </w:rPr>
        <w:t>По-специално, в стоманодобивния сектор продължава да има ограничен внос с произход от Русия до 30 септември 2028 г., в съответствие с преходните разпоредби, предвидени в съответните ограничителни мерки, приети от Съвета</w:t>
      </w:r>
      <w:r w:rsidRPr="00594491">
        <w:rPr>
          <w:szCs w:val="24"/>
          <w:vertAlign w:val="superscript"/>
        </w:rPr>
        <w:footnoteReference w:id="1"/>
      </w:r>
      <w:r w:rsidRPr="00594491">
        <w:rPr>
          <w:szCs w:val="24"/>
        </w:rPr>
        <w:t>. За да се гарантира постепенна и стабилна диверсификация, този внос е ограничен от квоти, като обемите намаляват ежегодно.</w:t>
      </w:r>
    </w:p>
    <w:p w14:paraId="48FE6F3A" w14:textId="46D2FF6C" w:rsidR="003C0F5B" w:rsidRPr="001A0CD0" w:rsidRDefault="003C0F5B" w:rsidP="00B15C39">
      <w:pPr>
        <w:widowControl/>
        <w:spacing w:after="240"/>
      </w:pPr>
      <w:r w:rsidRPr="00594491">
        <w:rPr>
          <w:szCs w:val="24"/>
        </w:rPr>
        <w:t>Като припомнят институционалната рамка, приложима за ограничителните мерки, Европейският парламент, Съветът и Комисията подчертават, че съответните ограничителни мерки, приети от Съвета, са в основата на курс към пълно прекратяване на оставащия внос на руски стоманени продукти, по-специално стоманени плочи, към 30 септември 2028 г.</w:t>
      </w:r>
    </w:p>
    <w:sectPr w:rsidR="003C0F5B" w:rsidRPr="001A0CD0" w:rsidSect="001A0CD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76015" w14:textId="77777777" w:rsidR="00081C6C" w:rsidRPr="001A0CD0" w:rsidRDefault="00081C6C">
      <w:r w:rsidRPr="001A0CD0">
        <w:separator/>
      </w:r>
    </w:p>
  </w:endnote>
  <w:endnote w:type="continuationSeparator" w:id="0">
    <w:p w14:paraId="3078E521" w14:textId="77777777" w:rsidR="00081C6C" w:rsidRPr="001A0CD0" w:rsidRDefault="00081C6C">
      <w:r w:rsidRPr="001A0C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CFE92" w14:textId="77777777" w:rsidR="00064002" w:rsidRPr="001A0C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2C27B" w14:textId="77777777" w:rsidR="00064002" w:rsidRPr="001A0C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FAC25" w14:textId="77777777" w:rsidR="00064002" w:rsidRPr="001A0C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04C3A" w14:textId="77777777" w:rsidR="00081C6C" w:rsidRPr="001A0CD0" w:rsidRDefault="00081C6C">
      <w:r w:rsidRPr="001A0CD0">
        <w:separator/>
      </w:r>
    </w:p>
  </w:footnote>
  <w:footnote w:type="continuationSeparator" w:id="0">
    <w:p w14:paraId="4BD363FB" w14:textId="77777777" w:rsidR="00081C6C" w:rsidRPr="001A0CD0" w:rsidRDefault="00081C6C">
      <w:r w:rsidRPr="001A0CD0">
        <w:continuationSeparator/>
      </w:r>
    </w:p>
  </w:footnote>
  <w:footnote w:id="1">
    <w:p w14:paraId="68F2B7C2" w14:textId="550F4B92" w:rsidR="003C0F5B" w:rsidRPr="003C0F5B" w:rsidRDefault="003C0F5B" w:rsidP="003C0F5B">
      <w:pPr>
        <w:pStyle w:val="FootnoteText"/>
        <w:ind w:left="850" w:hanging="850"/>
        <w:rPr>
          <w:sz w:val="24"/>
          <w:szCs w:val="24"/>
          <w:lang w:val="bg-BG"/>
        </w:rPr>
      </w:pPr>
      <w:r w:rsidRPr="003C0F5B">
        <w:rPr>
          <w:rStyle w:val="FootnoteReference"/>
          <w:sz w:val="24"/>
          <w:szCs w:val="24"/>
          <w:lang w:val="bg-BG"/>
        </w:rPr>
        <w:footnoteRef/>
      </w:r>
      <w:r w:rsidRPr="003C0F5B">
        <w:rPr>
          <w:sz w:val="24"/>
          <w:szCs w:val="24"/>
          <w:lang w:val="bg-BG"/>
        </w:rPr>
        <w:t xml:space="preserve"> </w:t>
      </w:r>
      <w:r w:rsidRPr="003C0F5B">
        <w:rPr>
          <w:sz w:val="24"/>
          <w:szCs w:val="24"/>
          <w:lang w:val="bg-BG"/>
        </w:rPr>
        <w:tab/>
        <w:t>Решение 2014/512/ОВППС на Съвета от 31 юли 2014 г. относно ограничителни мерки с оглед на действията на Русия, дестабилизиращи положението в Украйна</w:t>
      </w:r>
      <w:r w:rsidR="00B15C39">
        <w:rPr>
          <w:sz w:val="24"/>
          <w:szCs w:val="24"/>
          <w:lang w:val="en-GB"/>
        </w:rPr>
        <w:t xml:space="preserve"> </w:t>
      </w:r>
      <w:r w:rsidR="00B15C39" w:rsidRPr="00B15C39">
        <w:rPr>
          <w:sz w:val="24"/>
          <w:szCs w:val="24"/>
          <w:lang w:val="en-GB"/>
        </w:rPr>
        <w:t>(</w:t>
      </w:r>
      <w:r w:rsidR="00B15C39">
        <w:rPr>
          <w:sz w:val="24"/>
          <w:szCs w:val="24"/>
          <w:lang w:val="bg-BG"/>
        </w:rPr>
        <w:t>ОВ</w:t>
      </w:r>
      <w:r w:rsidR="00B15C39" w:rsidRPr="00B15C39">
        <w:rPr>
          <w:sz w:val="24"/>
          <w:szCs w:val="24"/>
          <w:lang w:val="en-GB"/>
        </w:rPr>
        <w:t xml:space="preserve"> L 229, 31.7.2014</w:t>
      </w:r>
      <w:r w:rsidR="00B15C39">
        <w:rPr>
          <w:sz w:val="24"/>
          <w:szCs w:val="24"/>
          <w:lang w:val="bg-BG"/>
        </w:rPr>
        <w:t> г.</w:t>
      </w:r>
      <w:r w:rsidR="00B15C39" w:rsidRPr="00B15C39">
        <w:rPr>
          <w:sz w:val="24"/>
          <w:szCs w:val="24"/>
          <w:lang w:val="en-GB"/>
        </w:rPr>
        <w:t xml:space="preserve">, </w:t>
      </w:r>
      <w:proofErr w:type="spellStart"/>
      <w:r w:rsidR="00B15C39">
        <w:rPr>
          <w:sz w:val="24"/>
          <w:szCs w:val="24"/>
          <w:lang w:val="bg-BG"/>
        </w:rPr>
        <w:t>стр</w:t>
      </w:r>
      <w:proofErr w:type="spellEnd"/>
      <w:r w:rsidR="00B15C39" w:rsidRPr="00B15C39">
        <w:rPr>
          <w:sz w:val="24"/>
          <w:szCs w:val="24"/>
          <w:lang w:val="en-GB"/>
        </w:rPr>
        <w:t xml:space="preserve">. 13, ELI: </w:t>
      </w:r>
      <w:hyperlink r:id="rId1" w:history="1">
        <w:r w:rsidR="00B15C39" w:rsidRPr="00B15C39">
          <w:rPr>
            <w:rStyle w:val="Hyperlink"/>
            <w:sz w:val="24"/>
            <w:szCs w:val="24"/>
            <w:lang w:val="en-GB"/>
          </w:rPr>
          <w:t>http://data.europa.eu/eli/dec/2014/512/oj</w:t>
        </w:r>
      </w:hyperlink>
      <w:r w:rsidR="00B15C39" w:rsidRPr="00B15C39">
        <w:rPr>
          <w:sz w:val="24"/>
          <w:szCs w:val="24"/>
          <w:lang w:val="en-GB"/>
        </w:rPr>
        <w:t xml:space="preserve">) </w:t>
      </w:r>
      <w:r w:rsidRPr="003C0F5B">
        <w:rPr>
          <w:sz w:val="24"/>
          <w:szCs w:val="24"/>
          <w:lang w:val="bg-BG"/>
        </w:rPr>
        <w:t>и Регламент (ЕС) № 833/2014 на Съвета от 31 юли 2014 г. относно ограничителни мерки с оглед на действията на Русия, дестабилизиращи положението в Украйна</w:t>
      </w:r>
      <w:r w:rsidR="00B15C39" w:rsidRPr="00B15C39">
        <w:rPr>
          <w:sz w:val="24"/>
          <w:szCs w:val="24"/>
          <w:lang w:val="bg-BG"/>
        </w:rPr>
        <w:t xml:space="preserve"> (</w:t>
      </w:r>
      <w:r w:rsidR="00B15C39">
        <w:rPr>
          <w:sz w:val="24"/>
          <w:szCs w:val="24"/>
          <w:lang w:val="bg-BG"/>
        </w:rPr>
        <w:t>ОВ</w:t>
      </w:r>
      <w:r w:rsidR="00B15C39" w:rsidRPr="00B15C39">
        <w:rPr>
          <w:sz w:val="24"/>
          <w:szCs w:val="24"/>
          <w:lang w:val="bg-BG"/>
        </w:rPr>
        <w:t xml:space="preserve"> L 229, 31.7.2014</w:t>
      </w:r>
      <w:r w:rsidR="00B15C39">
        <w:rPr>
          <w:sz w:val="24"/>
          <w:szCs w:val="24"/>
          <w:lang w:val="bg-BG"/>
        </w:rPr>
        <w:t> г.</w:t>
      </w:r>
      <w:r w:rsidR="00B15C39" w:rsidRPr="00B15C39">
        <w:rPr>
          <w:sz w:val="24"/>
          <w:szCs w:val="24"/>
          <w:lang w:val="bg-BG"/>
        </w:rPr>
        <w:t xml:space="preserve">, </w:t>
      </w:r>
      <w:r w:rsidR="00B15C39">
        <w:rPr>
          <w:sz w:val="24"/>
          <w:szCs w:val="24"/>
          <w:lang w:val="bg-BG"/>
        </w:rPr>
        <w:t>стр</w:t>
      </w:r>
      <w:r w:rsidR="00B15C39" w:rsidRPr="00B15C39">
        <w:rPr>
          <w:sz w:val="24"/>
          <w:szCs w:val="24"/>
          <w:lang w:val="bg-BG"/>
        </w:rPr>
        <w:t xml:space="preserve">. 1, ELI: </w:t>
      </w:r>
      <w:hyperlink r:id="rId2" w:history="1">
        <w:r w:rsidR="00B15C39" w:rsidRPr="00B15C39">
          <w:rPr>
            <w:rStyle w:val="Hyperlink"/>
            <w:sz w:val="24"/>
            <w:szCs w:val="24"/>
            <w:lang w:val="bg-BG"/>
          </w:rPr>
          <w:t>http://data.europa.eu/eli/reg/2014/833/oj</w:t>
        </w:r>
      </w:hyperlink>
      <w:r w:rsidR="00B15C39" w:rsidRPr="00B15C39">
        <w:rPr>
          <w:sz w:val="24"/>
          <w:szCs w:val="24"/>
          <w:lang w:val="bg-BG"/>
        </w:rPr>
        <w:t>)</w:t>
      </w:r>
      <w:r w:rsidRPr="003C0F5B">
        <w:rPr>
          <w:sz w:val="24"/>
          <w:szCs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25EC0" w14:textId="77777777" w:rsidR="00064002" w:rsidRPr="001A0C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5CFBE" w14:textId="77777777" w:rsidR="00064002" w:rsidRPr="001A0C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55508" w14:textId="77777777" w:rsidR="00064002" w:rsidRPr="001A0C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3C77951"/>
    <w:multiLevelType w:val="hybridMultilevel"/>
    <w:tmpl w:val="CF046FD2"/>
    <w:lvl w:ilvl="0" w:tplc="09CC2986">
      <w:start w:val="1"/>
      <w:numFmt w:val="decimal"/>
      <w:lvlText w:val="%1."/>
      <w:lvlJc w:val="left"/>
      <w:pPr>
        <w:ind w:left="966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9B4633C">
      <w:start w:val="1"/>
      <w:numFmt w:val="lowerLetter"/>
      <w:lvlText w:val="(%2)"/>
      <w:lvlJc w:val="left"/>
      <w:pPr>
        <w:ind w:left="153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6ADAC962">
      <w:numFmt w:val="bullet"/>
      <w:lvlText w:val="•"/>
      <w:lvlJc w:val="left"/>
      <w:pPr>
        <w:ind w:left="2402" w:hanging="567"/>
      </w:pPr>
      <w:rPr>
        <w:lang w:val="en-US" w:eastAsia="en-US" w:bidi="ar-SA"/>
      </w:rPr>
    </w:lvl>
    <w:lvl w:ilvl="3" w:tplc="3CB08D34">
      <w:numFmt w:val="bullet"/>
      <w:lvlText w:val="•"/>
      <w:lvlJc w:val="left"/>
      <w:pPr>
        <w:ind w:left="3265" w:hanging="567"/>
      </w:pPr>
      <w:rPr>
        <w:lang w:val="en-US" w:eastAsia="en-US" w:bidi="ar-SA"/>
      </w:rPr>
    </w:lvl>
    <w:lvl w:ilvl="4" w:tplc="B0AAE848">
      <w:numFmt w:val="bullet"/>
      <w:lvlText w:val="•"/>
      <w:lvlJc w:val="left"/>
      <w:pPr>
        <w:ind w:left="4128" w:hanging="567"/>
      </w:pPr>
      <w:rPr>
        <w:lang w:val="en-US" w:eastAsia="en-US" w:bidi="ar-SA"/>
      </w:rPr>
    </w:lvl>
    <w:lvl w:ilvl="5" w:tplc="B0F40F6E">
      <w:numFmt w:val="bullet"/>
      <w:lvlText w:val="•"/>
      <w:lvlJc w:val="left"/>
      <w:pPr>
        <w:ind w:left="4991" w:hanging="567"/>
      </w:pPr>
      <w:rPr>
        <w:lang w:val="en-US" w:eastAsia="en-US" w:bidi="ar-SA"/>
      </w:rPr>
    </w:lvl>
    <w:lvl w:ilvl="6" w:tplc="4FA01598">
      <w:numFmt w:val="bullet"/>
      <w:lvlText w:val="•"/>
      <w:lvlJc w:val="left"/>
      <w:pPr>
        <w:ind w:left="5854" w:hanging="567"/>
      </w:pPr>
      <w:rPr>
        <w:lang w:val="en-US" w:eastAsia="en-US" w:bidi="ar-SA"/>
      </w:rPr>
    </w:lvl>
    <w:lvl w:ilvl="7" w:tplc="BBA43BF8">
      <w:numFmt w:val="bullet"/>
      <w:lvlText w:val="•"/>
      <w:lvlJc w:val="left"/>
      <w:pPr>
        <w:ind w:left="6717" w:hanging="567"/>
      </w:pPr>
      <w:rPr>
        <w:lang w:val="en-US" w:eastAsia="en-US" w:bidi="ar-SA"/>
      </w:rPr>
    </w:lvl>
    <w:lvl w:ilvl="8" w:tplc="123E446A">
      <w:numFmt w:val="bullet"/>
      <w:lvlText w:val="•"/>
      <w:lvlJc w:val="left"/>
      <w:pPr>
        <w:ind w:left="7580" w:hanging="567"/>
      </w:pPr>
      <w:rPr>
        <w:lang w:val="en-US" w:eastAsia="en-US" w:bidi="ar-SA"/>
      </w:rPr>
    </w:lvl>
  </w:abstractNum>
  <w:abstractNum w:abstractNumId="13" w15:restartNumberingAfterBreak="0">
    <w:nsid w:val="4D3C337A"/>
    <w:multiLevelType w:val="hybridMultilevel"/>
    <w:tmpl w:val="F398A9F8"/>
    <w:lvl w:ilvl="0" w:tplc="673A743A">
      <w:start w:val="1"/>
      <w:numFmt w:val="decimal"/>
      <w:lvlText w:val="%1."/>
      <w:lvlJc w:val="left"/>
      <w:pPr>
        <w:ind w:left="966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420AACA">
      <w:numFmt w:val="bullet"/>
      <w:lvlText w:val="•"/>
      <w:lvlJc w:val="left"/>
      <w:pPr>
        <w:ind w:left="1794" w:hanging="850"/>
      </w:pPr>
      <w:rPr>
        <w:lang w:val="en-US" w:eastAsia="en-US" w:bidi="ar-SA"/>
      </w:rPr>
    </w:lvl>
    <w:lvl w:ilvl="2" w:tplc="72049468">
      <w:numFmt w:val="bullet"/>
      <w:lvlText w:val="•"/>
      <w:lvlJc w:val="left"/>
      <w:pPr>
        <w:ind w:left="2629" w:hanging="850"/>
      </w:pPr>
      <w:rPr>
        <w:lang w:val="en-US" w:eastAsia="en-US" w:bidi="ar-SA"/>
      </w:rPr>
    </w:lvl>
    <w:lvl w:ilvl="3" w:tplc="DACC4352">
      <w:numFmt w:val="bullet"/>
      <w:lvlText w:val="•"/>
      <w:lvlJc w:val="left"/>
      <w:pPr>
        <w:ind w:left="3463" w:hanging="850"/>
      </w:pPr>
      <w:rPr>
        <w:lang w:val="en-US" w:eastAsia="en-US" w:bidi="ar-SA"/>
      </w:rPr>
    </w:lvl>
    <w:lvl w:ilvl="4" w:tplc="2F0A203E">
      <w:numFmt w:val="bullet"/>
      <w:lvlText w:val="•"/>
      <w:lvlJc w:val="left"/>
      <w:pPr>
        <w:ind w:left="4298" w:hanging="850"/>
      </w:pPr>
      <w:rPr>
        <w:lang w:val="en-US" w:eastAsia="en-US" w:bidi="ar-SA"/>
      </w:rPr>
    </w:lvl>
    <w:lvl w:ilvl="5" w:tplc="59544EC8">
      <w:numFmt w:val="bullet"/>
      <w:lvlText w:val="•"/>
      <w:lvlJc w:val="left"/>
      <w:pPr>
        <w:ind w:left="5133" w:hanging="850"/>
      </w:pPr>
      <w:rPr>
        <w:lang w:val="en-US" w:eastAsia="en-US" w:bidi="ar-SA"/>
      </w:rPr>
    </w:lvl>
    <w:lvl w:ilvl="6" w:tplc="B0B24768">
      <w:numFmt w:val="bullet"/>
      <w:lvlText w:val="•"/>
      <w:lvlJc w:val="left"/>
      <w:pPr>
        <w:ind w:left="5967" w:hanging="850"/>
      </w:pPr>
      <w:rPr>
        <w:lang w:val="en-US" w:eastAsia="en-US" w:bidi="ar-SA"/>
      </w:rPr>
    </w:lvl>
    <w:lvl w:ilvl="7" w:tplc="E2EC1A8E">
      <w:numFmt w:val="bullet"/>
      <w:lvlText w:val="•"/>
      <w:lvlJc w:val="left"/>
      <w:pPr>
        <w:ind w:left="6802" w:hanging="850"/>
      </w:pPr>
      <w:rPr>
        <w:lang w:val="en-US" w:eastAsia="en-US" w:bidi="ar-SA"/>
      </w:rPr>
    </w:lvl>
    <w:lvl w:ilvl="8" w:tplc="2D6CF010">
      <w:numFmt w:val="bullet"/>
      <w:lvlText w:val="•"/>
      <w:lvlJc w:val="left"/>
      <w:pPr>
        <w:ind w:left="7637" w:hanging="850"/>
      </w:pPr>
      <w:rPr>
        <w:lang w:val="en-US" w:eastAsia="en-US" w:bidi="ar-SA"/>
      </w:rPr>
    </w:lvl>
  </w:abstractNum>
  <w:abstractNum w:abstractNumId="14" w15:restartNumberingAfterBreak="0">
    <w:nsid w:val="5D0F5AD5"/>
    <w:multiLevelType w:val="hybridMultilevel"/>
    <w:tmpl w:val="BC62B074"/>
    <w:lvl w:ilvl="0" w:tplc="3A5A06F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B67A4F"/>
    <w:multiLevelType w:val="hybridMultilevel"/>
    <w:tmpl w:val="F996A700"/>
    <w:lvl w:ilvl="0" w:tplc="1BAA8876">
      <w:start w:val="1"/>
      <w:numFmt w:val="decimal"/>
      <w:lvlText w:val="(%1)"/>
      <w:lvlJc w:val="left"/>
      <w:pPr>
        <w:ind w:left="82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D1613EC">
      <w:numFmt w:val="bullet"/>
      <w:lvlText w:val="•"/>
      <w:lvlJc w:val="left"/>
      <w:pPr>
        <w:ind w:left="1668" w:hanging="708"/>
      </w:pPr>
      <w:rPr>
        <w:lang w:val="en-US" w:eastAsia="en-US" w:bidi="ar-SA"/>
      </w:rPr>
    </w:lvl>
    <w:lvl w:ilvl="2" w:tplc="876E1F1A">
      <w:numFmt w:val="bullet"/>
      <w:lvlText w:val="•"/>
      <w:lvlJc w:val="left"/>
      <w:pPr>
        <w:ind w:left="2517" w:hanging="708"/>
      </w:pPr>
      <w:rPr>
        <w:lang w:val="en-US" w:eastAsia="en-US" w:bidi="ar-SA"/>
      </w:rPr>
    </w:lvl>
    <w:lvl w:ilvl="3" w:tplc="9664DDCA">
      <w:numFmt w:val="bullet"/>
      <w:lvlText w:val="•"/>
      <w:lvlJc w:val="left"/>
      <w:pPr>
        <w:ind w:left="3365" w:hanging="708"/>
      </w:pPr>
      <w:rPr>
        <w:lang w:val="en-US" w:eastAsia="en-US" w:bidi="ar-SA"/>
      </w:rPr>
    </w:lvl>
    <w:lvl w:ilvl="4" w:tplc="3B9E69D4">
      <w:numFmt w:val="bullet"/>
      <w:lvlText w:val="•"/>
      <w:lvlJc w:val="left"/>
      <w:pPr>
        <w:ind w:left="4214" w:hanging="708"/>
      </w:pPr>
      <w:rPr>
        <w:lang w:val="en-US" w:eastAsia="en-US" w:bidi="ar-SA"/>
      </w:rPr>
    </w:lvl>
    <w:lvl w:ilvl="5" w:tplc="4752909E">
      <w:numFmt w:val="bullet"/>
      <w:lvlText w:val="•"/>
      <w:lvlJc w:val="left"/>
      <w:pPr>
        <w:ind w:left="5063" w:hanging="708"/>
      </w:pPr>
      <w:rPr>
        <w:lang w:val="en-US" w:eastAsia="en-US" w:bidi="ar-SA"/>
      </w:rPr>
    </w:lvl>
    <w:lvl w:ilvl="6" w:tplc="636EE49E">
      <w:numFmt w:val="bullet"/>
      <w:lvlText w:val="•"/>
      <w:lvlJc w:val="left"/>
      <w:pPr>
        <w:ind w:left="5911" w:hanging="708"/>
      </w:pPr>
      <w:rPr>
        <w:lang w:val="en-US" w:eastAsia="en-US" w:bidi="ar-SA"/>
      </w:rPr>
    </w:lvl>
    <w:lvl w:ilvl="7" w:tplc="375E91FA">
      <w:numFmt w:val="bullet"/>
      <w:lvlText w:val="•"/>
      <w:lvlJc w:val="left"/>
      <w:pPr>
        <w:ind w:left="6760" w:hanging="708"/>
      </w:pPr>
      <w:rPr>
        <w:lang w:val="en-US" w:eastAsia="en-US" w:bidi="ar-SA"/>
      </w:rPr>
    </w:lvl>
    <w:lvl w:ilvl="8" w:tplc="8F02D784">
      <w:numFmt w:val="bullet"/>
      <w:lvlText w:val="•"/>
      <w:lvlJc w:val="left"/>
      <w:pPr>
        <w:ind w:left="7609" w:hanging="708"/>
      </w:pPr>
      <w:rPr>
        <w:lang w:val="en-US" w:eastAsia="en-US" w:bidi="ar-SA"/>
      </w:rPr>
    </w:lvl>
  </w:abstractNum>
  <w:abstractNum w:abstractNumId="16" w15:restartNumberingAfterBreak="0">
    <w:nsid w:val="66D377C0"/>
    <w:multiLevelType w:val="hybridMultilevel"/>
    <w:tmpl w:val="898671CA"/>
    <w:lvl w:ilvl="0" w:tplc="5106A68E">
      <w:start w:val="1"/>
      <w:numFmt w:val="decimal"/>
      <w:lvlText w:val="%1."/>
      <w:lvlJc w:val="left"/>
      <w:pPr>
        <w:ind w:left="966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69A2D58">
      <w:start w:val="1"/>
      <w:numFmt w:val="lowerLetter"/>
      <w:lvlText w:val="(%2)"/>
      <w:lvlJc w:val="left"/>
      <w:pPr>
        <w:ind w:left="153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E04AFC8A">
      <w:numFmt w:val="bullet"/>
      <w:lvlText w:val="•"/>
      <w:lvlJc w:val="left"/>
      <w:pPr>
        <w:ind w:left="2402" w:hanging="567"/>
      </w:pPr>
      <w:rPr>
        <w:lang w:val="en-US" w:eastAsia="en-US" w:bidi="ar-SA"/>
      </w:rPr>
    </w:lvl>
    <w:lvl w:ilvl="3" w:tplc="D15C4248">
      <w:numFmt w:val="bullet"/>
      <w:lvlText w:val="•"/>
      <w:lvlJc w:val="left"/>
      <w:pPr>
        <w:ind w:left="3265" w:hanging="567"/>
      </w:pPr>
      <w:rPr>
        <w:lang w:val="en-US" w:eastAsia="en-US" w:bidi="ar-SA"/>
      </w:rPr>
    </w:lvl>
    <w:lvl w:ilvl="4" w:tplc="4F6C60F0">
      <w:numFmt w:val="bullet"/>
      <w:lvlText w:val="•"/>
      <w:lvlJc w:val="left"/>
      <w:pPr>
        <w:ind w:left="4128" w:hanging="567"/>
      </w:pPr>
      <w:rPr>
        <w:lang w:val="en-US" w:eastAsia="en-US" w:bidi="ar-SA"/>
      </w:rPr>
    </w:lvl>
    <w:lvl w:ilvl="5" w:tplc="5C488BD0">
      <w:numFmt w:val="bullet"/>
      <w:lvlText w:val="•"/>
      <w:lvlJc w:val="left"/>
      <w:pPr>
        <w:ind w:left="4991" w:hanging="567"/>
      </w:pPr>
      <w:rPr>
        <w:lang w:val="en-US" w:eastAsia="en-US" w:bidi="ar-SA"/>
      </w:rPr>
    </w:lvl>
    <w:lvl w:ilvl="6" w:tplc="3FBC9FD8">
      <w:numFmt w:val="bullet"/>
      <w:lvlText w:val="•"/>
      <w:lvlJc w:val="left"/>
      <w:pPr>
        <w:ind w:left="5854" w:hanging="567"/>
      </w:pPr>
      <w:rPr>
        <w:lang w:val="en-US" w:eastAsia="en-US" w:bidi="ar-SA"/>
      </w:rPr>
    </w:lvl>
    <w:lvl w:ilvl="7" w:tplc="CFB83A42">
      <w:numFmt w:val="bullet"/>
      <w:lvlText w:val="•"/>
      <w:lvlJc w:val="left"/>
      <w:pPr>
        <w:ind w:left="6717" w:hanging="567"/>
      </w:pPr>
      <w:rPr>
        <w:lang w:val="en-US" w:eastAsia="en-US" w:bidi="ar-SA"/>
      </w:rPr>
    </w:lvl>
    <w:lvl w:ilvl="8" w:tplc="52C0FBDE">
      <w:numFmt w:val="bullet"/>
      <w:lvlText w:val="•"/>
      <w:lvlJc w:val="left"/>
      <w:pPr>
        <w:ind w:left="7580" w:hanging="567"/>
      </w:pPr>
      <w:rPr>
        <w:lang w:val="en-US" w:eastAsia="en-US" w:bidi="ar-SA"/>
      </w:rPr>
    </w:lvl>
  </w:abstractNum>
  <w:num w:numId="1" w16cid:durableId="67463401">
    <w:abstractNumId w:val="9"/>
  </w:num>
  <w:num w:numId="2" w16cid:durableId="913473157">
    <w:abstractNumId w:val="9"/>
  </w:num>
  <w:num w:numId="3" w16cid:durableId="1574896493">
    <w:abstractNumId w:val="7"/>
  </w:num>
  <w:num w:numId="4" w16cid:durableId="797532994">
    <w:abstractNumId w:val="7"/>
  </w:num>
  <w:num w:numId="5" w16cid:durableId="532959773">
    <w:abstractNumId w:val="6"/>
  </w:num>
  <w:num w:numId="6" w16cid:durableId="1166018148">
    <w:abstractNumId w:val="6"/>
  </w:num>
  <w:num w:numId="7" w16cid:durableId="1261452177">
    <w:abstractNumId w:val="5"/>
  </w:num>
  <w:num w:numId="8" w16cid:durableId="957836283">
    <w:abstractNumId w:val="5"/>
  </w:num>
  <w:num w:numId="9" w16cid:durableId="1982494370">
    <w:abstractNumId w:val="4"/>
  </w:num>
  <w:num w:numId="10" w16cid:durableId="1715696591">
    <w:abstractNumId w:val="4"/>
  </w:num>
  <w:num w:numId="11" w16cid:durableId="1155417943">
    <w:abstractNumId w:val="8"/>
  </w:num>
  <w:num w:numId="12" w16cid:durableId="750466018">
    <w:abstractNumId w:val="8"/>
  </w:num>
  <w:num w:numId="13" w16cid:durableId="2059281814">
    <w:abstractNumId w:val="3"/>
  </w:num>
  <w:num w:numId="14" w16cid:durableId="1373769825">
    <w:abstractNumId w:val="3"/>
  </w:num>
  <w:num w:numId="15" w16cid:durableId="1212814166">
    <w:abstractNumId w:val="2"/>
  </w:num>
  <w:num w:numId="16" w16cid:durableId="1314332626">
    <w:abstractNumId w:val="2"/>
  </w:num>
  <w:num w:numId="17" w16cid:durableId="63383669">
    <w:abstractNumId w:val="1"/>
  </w:num>
  <w:num w:numId="18" w16cid:durableId="1062411592">
    <w:abstractNumId w:val="1"/>
  </w:num>
  <w:num w:numId="19" w16cid:durableId="1698852607">
    <w:abstractNumId w:val="0"/>
  </w:num>
  <w:num w:numId="20" w16cid:durableId="1406412072">
    <w:abstractNumId w:val="0"/>
  </w:num>
  <w:num w:numId="21" w16cid:durableId="1253780879">
    <w:abstractNumId w:val="9"/>
  </w:num>
  <w:num w:numId="22" w16cid:durableId="1668702441">
    <w:abstractNumId w:val="7"/>
  </w:num>
  <w:num w:numId="23" w16cid:durableId="1042290157">
    <w:abstractNumId w:val="6"/>
  </w:num>
  <w:num w:numId="24" w16cid:durableId="391272029">
    <w:abstractNumId w:val="5"/>
  </w:num>
  <w:num w:numId="25" w16cid:durableId="579295677">
    <w:abstractNumId w:val="4"/>
  </w:num>
  <w:num w:numId="26" w16cid:durableId="345063275">
    <w:abstractNumId w:val="8"/>
  </w:num>
  <w:num w:numId="27" w16cid:durableId="998969454">
    <w:abstractNumId w:val="3"/>
  </w:num>
  <w:num w:numId="28" w16cid:durableId="1685981866">
    <w:abstractNumId w:val="2"/>
  </w:num>
  <w:num w:numId="29" w16cid:durableId="1013410558">
    <w:abstractNumId w:val="1"/>
  </w:num>
  <w:num w:numId="30" w16cid:durableId="1167744012">
    <w:abstractNumId w:val="0"/>
  </w:num>
  <w:num w:numId="31" w16cid:durableId="1981374376">
    <w:abstractNumId w:val="9"/>
  </w:num>
  <w:num w:numId="32" w16cid:durableId="902570956">
    <w:abstractNumId w:val="7"/>
  </w:num>
  <w:num w:numId="33" w16cid:durableId="969240698">
    <w:abstractNumId w:val="6"/>
  </w:num>
  <w:num w:numId="34" w16cid:durableId="442113931">
    <w:abstractNumId w:val="5"/>
  </w:num>
  <w:num w:numId="35" w16cid:durableId="2041589718">
    <w:abstractNumId w:val="4"/>
  </w:num>
  <w:num w:numId="36" w16cid:durableId="903297168">
    <w:abstractNumId w:val="8"/>
  </w:num>
  <w:num w:numId="37" w16cid:durableId="1538544323">
    <w:abstractNumId w:val="3"/>
  </w:num>
  <w:num w:numId="38" w16cid:durableId="1286307683">
    <w:abstractNumId w:val="2"/>
  </w:num>
  <w:num w:numId="39" w16cid:durableId="976881143">
    <w:abstractNumId w:val="1"/>
  </w:num>
  <w:num w:numId="40" w16cid:durableId="1933737765">
    <w:abstractNumId w:val="0"/>
  </w:num>
  <w:num w:numId="41" w16cid:durableId="648558260">
    <w:abstractNumId w:val="10"/>
  </w:num>
  <w:num w:numId="42" w16cid:durableId="210308390">
    <w:abstractNumId w:val="10"/>
  </w:num>
  <w:num w:numId="43" w16cid:durableId="402684285">
    <w:abstractNumId w:val="10"/>
  </w:num>
  <w:num w:numId="44" w16cid:durableId="603611584">
    <w:abstractNumId w:val="11"/>
  </w:num>
  <w:num w:numId="45" w16cid:durableId="177623198">
    <w:abstractNumId w:val="1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6" w16cid:durableId="822936252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7" w16cid:durableId="759564492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 w16cid:durableId="1725374262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 w16cid:durableId="19628530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2/2026"/>
    <w:docVar w:name="dvlangue" w:val="BG"/>
    <w:docVar w:name="dvnumam" w:val="88"/>
    <w:docVar w:name="dvpe" w:val="779.727"/>
    <w:docVar w:name="dvrapporteur" w:val="Докладчик: "/>
    <w:docVar w:name="dvstar" w:val="***I"/>
    <w:docVar w:name="dvtitre" w:val="Законодателна резолюция на Европейския парламент от ... 2026 г. относно предложението за регламент на Европейския парламент и на Съвета за справяне със свързаните с търговията неблагоприятни последици от свръхкапацитета в световен мащаб за пазара на стомана в Съюза(COM(2025)0726 – C10-0245/2025 – 2025/0726(COD))"/>
  </w:docVars>
  <w:rsids>
    <w:rsidRoot w:val="00081C6C"/>
    <w:rsid w:val="00002272"/>
    <w:rsid w:val="00064002"/>
    <w:rsid w:val="000677B9"/>
    <w:rsid w:val="00071F15"/>
    <w:rsid w:val="00081C6C"/>
    <w:rsid w:val="000831BA"/>
    <w:rsid w:val="000A42CC"/>
    <w:rsid w:val="000E7DD9"/>
    <w:rsid w:val="0010095E"/>
    <w:rsid w:val="00125B37"/>
    <w:rsid w:val="001420B2"/>
    <w:rsid w:val="00187494"/>
    <w:rsid w:val="0019781C"/>
    <w:rsid w:val="001A0CD0"/>
    <w:rsid w:val="001F32AE"/>
    <w:rsid w:val="002767FF"/>
    <w:rsid w:val="002B18FE"/>
    <w:rsid w:val="002B5493"/>
    <w:rsid w:val="00343214"/>
    <w:rsid w:val="00361C00"/>
    <w:rsid w:val="00395FA1"/>
    <w:rsid w:val="003C0F5B"/>
    <w:rsid w:val="003C5DB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4491"/>
    <w:rsid w:val="005C2568"/>
    <w:rsid w:val="005C6D22"/>
    <w:rsid w:val="005F1B17"/>
    <w:rsid w:val="006037C0"/>
    <w:rsid w:val="006631B6"/>
    <w:rsid w:val="00680577"/>
    <w:rsid w:val="006C1E49"/>
    <w:rsid w:val="006F74FA"/>
    <w:rsid w:val="007316EA"/>
    <w:rsid w:val="00731ADD"/>
    <w:rsid w:val="00734777"/>
    <w:rsid w:val="00747932"/>
    <w:rsid w:val="00751A4A"/>
    <w:rsid w:val="00756632"/>
    <w:rsid w:val="00762C74"/>
    <w:rsid w:val="00786EC0"/>
    <w:rsid w:val="007A335B"/>
    <w:rsid w:val="007D1690"/>
    <w:rsid w:val="007E22AD"/>
    <w:rsid w:val="00817416"/>
    <w:rsid w:val="00842779"/>
    <w:rsid w:val="0085326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028D"/>
    <w:rsid w:val="00B12E95"/>
    <w:rsid w:val="00B15C39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2DE"/>
    <w:rsid w:val="00F036D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F8986E"/>
  <w15:chartTrackingRefBased/>
  <w15:docId w15:val="{0235A8BF-14FB-4BDF-87C0-26A106CA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C1E4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C1E4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C1E4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C1E4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C1E4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C1E49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6C1E49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6C1E49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6C1E49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nhideWhenUsed/>
    <w:qFormat/>
    <w:rsid w:val="006C1E4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C1E4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C1E4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C1E49"/>
    <w:pPr>
      <w:spacing w:after="120"/>
    </w:pPr>
  </w:style>
  <w:style w:type="paragraph" w:customStyle="1" w:styleId="PageHeading">
    <w:name w:val="PageHeading"/>
    <w:basedOn w:val="Normal"/>
    <w:qFormat/>
    <w:rsid w:val="006C1E4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C1E49"/>
    <w:rPr>
      <w:b/>
    </w:rPr>
  </w:style>
  <w:style w:type="paragraph" w:customStyle="1" w:styleId="NormalBold12a">
    <w:name w:val="NormalBold12a"/>
    <w:basedOn w:val="Normal"/>
    <w:rsid w:val="006C1E49"/>
    <w:pPr>
      <w:spacing w:after="240"/>
    </w:pPr>
    <w:rPr>
      <w:b/>
    </w:rPr>
  </w:style>
  <w:style w:type="paragraph" w:customStyle="1" w:styleId="AmJustText">
    <w:name w:val="AmJustText"/>
    <w:basedOn w:val="Normal"/>
    <w:rsid w:val="006C1E4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C1E4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C1E49"/>
    <w:pPr>
      <w:spacing w:after="480"/>
      <w:ind w:left="1417"/>
    </w:pPr>
  </w:style>
  <w:style w:type="paragraph" w:customStyle="1" w:styleId="CoverNormal">
    <w:name w:val="CoverNormal"/>
    <w:basedOn w:val="Normal"/>
    <w:rsid w:val="006C1E49"/>
    <w:pPr>
      <w:ind w:left="1418"/>
    </w:pPr>
  </w:style>
  <w:style w:type="paragraph" w:customStyle="1" w:styleId="AmCrossRef">
    <w:name w:val="AmCrossRef"/>
    <w:basedOn w:val="Normal"/>
    <w:rsid w:val="006C1E4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C1E4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C1E4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C1E4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C1E4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C1E49"/>
    <w:pPr>
      <w:spacing w:before="240" w:after="1200"/>
    </w:pPr>
  </w:style>
  <w:style w:type="paragraph" w:styleId="Header">
    <w:name w:val="header"/>
    <w:basedOn w:val="Normal"/>
    <w:link w:val="HeaderChar"/>
    <w:rsid w:val="006C1E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C1E49"/>
    <w:rPr>
      <w:sz w:val="24"/>
      <w:lang w:val="bg-BG"/>
    </w:rPr>
  </w:style>
  <w:style w:type="paragraph" w:customStyle="1" w:styleId="AmOrLang">
    <w:name w:val="AmOrLang"/>
    <w:basedOn w:val="Normal"/>
    <w:rsid w:val="006C1E4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C1E4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C1E4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C1E49"/>
    <w:pPr>
      <w:spacing w:before="240"/>
    </w:pPr>
    <w:rPr>
      <w:b/>
    </w:rPr>
  </w:style>
  <w:style w:type="paragraph" w:customStyle="1" w:styleId="EPBody">
    <w:name w:val="EPBody"/>
    <w:basedOn w:val="Normal"/>
    <w:rsid w:val="006C1E4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C1E4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C1E49"/>
    <w:pPr>
      <w:spacing w:before="480" w:after="240"/>
    </w:pPr>
  </w:style>
  <w:style w:type="paragraph" w:customStyle="1" w:styleId="Lgendesigne">
    <w:name w:val="Légende signe"/>
    <w:basedOn w:val="Normal"/>
    <w:rsid w:val="006C1E4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C1E4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C1E49"/>
    <w:rPr>
      <w:sz w:val="18"/>
    </w:rPr>
  </w:style>
  <w:style w:type="paragraph" w:customStyle="1" w:styleId="Default">
    <w:name w:val="Default"/>
    <w:rsid w:val="006C1E49"/>
    <w:pPr>
      <w:autoSpaceDE w:val="0"/>
      <w:autoSpaceDN w:val="0"/>
      <w:adjustRightInd w:val="0"/>
    </w:pPr>
    <w:rPr>
      <w:color w:val="000000"/>
      <w:sz w:val="24"/>
      <w:szCs w:val="24"/>
      <w:lang w:val="bg-BG"/>
    </w:rPr>
  </w:style>
  <w:style w:type="character" w:customStyle="1" w:styleId="Normal6Char">
    <w:name w:val="Normal6 Char"/>
    <w:basedOn w:val="DefaultParagraphFont"/>
    <w:link w:val="Normal6"/>
    <w:locked/>
    <w:rsid w:val="006C1E49"/>
    <w:rPr>
      <w:b/>
      <w:bCs/>
      <w:i/>
      <w:iCs/>
      <w:sz w:val="24"/>
      <w:lang w:val="bg-BG"/>
    </w:rPr>
  </w:style>
  <w:style w:type="paragraph" w:customStyle="1" w:styleId="Normal6">
    <w:name w:val="Normal6"/>
    <w:basedOn w:val="Normal"/>
    <w:link w:val="Normal6Char"/>
    <w:rsid w:val="006C1E49"/>
    <w:pPr>
      <w:spacing w:after="120"/>
    </w:pPr>
    <w:rPr>
      <w:b/>
      <w:bCs/>
      <w:i/>
      <w:iCs/>
    </w:rPr>
  </w:style>
  <w:style w:type="character" w:customStyle="1" w:styleId="NormalBoldChar">
    <w:name w:val="NormalBold Char"/>
    <w:basedOn w:val="DefaultParagraphFont"/>
    <w:link w:val="NormalBold"/>
    <w:locked/>
    <w:rsid w:val="006C1E49"/>
    <w:rPr>
      <w:b/>
      <w:sz w:val="24"/>
      <w:lang w:val="bg-BG"/>
    </w:rPr>
  </w:style>
  <w:style w:type="paragraph" w:customStyle="1" w:styleId="ColumnHeading">
    <w:name w:val="ColumnHeading"/>
    <w:basedOn w:val="Normal"/>
    <w:rsid w:val="006C1E4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C1E4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6C1E49"/>
    <w:pPr>
      <w:jc w:val="right"/>
    </w:pPr>
    <w:rPr>
      <w:lang w:val="bg-BG"/>
    </w:rPr>
  </w:style>
  <w:style w:type="character" w:styleId="Hyperlink">
    <w:name w:val="Hyperlink"/>
    <w:basedOn w:val="DefaultParagraphFont"/>
    <w:unhideWhenUsed/>
    <w:rsid w:val="006C1E49"/>
    <w:rPr>
      <w:color w:val="467886"/>
      <w:u w:val="single"/>
    </w:rPr>
  </w:style>
  <w:style w:type="paragraph" w:styleId="Revision">
    <w:name w:val="Revision"/>
    <w:hidden/>
    <w:uiPriority w:val="99"/>
    <w:semiHidden/>
    <w:rsid w:val="006C1E49"/>
    <w:rPr>
      <w:sz w:val="24"/>
      <w:lang w:val="bg-BG"/>
    </w:rPr>
  </w:style>
  <w:style w:type="character" w:styleId="CommentReference">
    <w:name w:val="annotation reference"/>
    <w:basedOn w:val="DefaultParagraphFont"/>
    <w:rsid w:val="006C1E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C1E4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C1E49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C1E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C1E49"/>
    <w:rPr>
      <w:b/>
      <w:bCs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6C1E4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C1E49"/>
    <w:rPr>
      <w:i/>
      <w:iCs/>
    </w:rPr>
  </w:style>
  <w:style w:type="paragraph" w:styleId="ListParagraph">
    <w:name w:val="List Paragraph"/>
    <w:basedOn w:val="Normal"/>
    <w:uiPriority w:val="1"/>
    <w:qFormat/>
    <w:rsid w:val="006C1E49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6C1E49"/>
    <w:pPr>
      <w:autoSpaceDE w:val="0"/>
      <w:autoSpaceDN w:val="0"/>
      <w:spacing w:before="12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C1E49"/>
    <w:rPr>
      <w:sz w:val="24"/>
      <w:szCs w:val="24"/>
      <w:lang w:val="bg-BG" w:eastAsia="en-US"/>
    </w:rPr>
  </w:style>
  <w:style w:type="paragraph" w:customStyle="1" w:styleId="Normal12a">
    <w:name w:val="Normal12a"/>
    <w:basedOn w:val="Normal"/>
    <w:rsid w:val="006C1E49"/>
    <w:pPr>
      <w:spacing w:after="240"/>
    </w:pPr>
  </w:style>
  <w:style w:type="paragraph" w:customStyle="1" w:styleId="PageHeadingNotTOC">
    <w:name w:val="PageHeadingNotTOC"/>
    <w:basedOn w:val="Normal"/>
    <w:rsid w:val="006C1E4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C1E49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6C1E49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6C1E49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6C1E4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C1E49"/>
    <w:rPr>
      <w:szCs w:val="24"/>
    </w:rPr>
  </w:style>
  <w:style w:type="paragraph" w:customStyle="1" w:styleId="RollCallSymbols14pt">
    <w:name w:val="RollCallSymbols14pt"/>
    <w:basedOn w:val="Normal"/>
    <w:rsid w:val="006C1E4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C1E4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C1E4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C1E49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6C1E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C1E49"/>
    <w:rPr>
      <w:sz w:val="24"/>
      <w:lang w:val="bg-BG"/>
    </w:rPr>
  </w:style>
  <w:style w:type="paragraph" w:customStyle="1" w:styleId="FootnoteTextForceStyle">
    <w:name w:val="Footnote Text ForceStyle"/>
    <w:rsid w:val="003C0F5B"/>
    <w:pPr>
      <w:keepLines/>
      <w:spacing w:line="240" w:lineRule="exact"/>
      <w:ind w:left="850" w:hanging="850"/>
    </w:pPr>
    <w:rPr>
      <w:sz w:val="24"/>
      <w:lang w:val="bg-BG" w:eastAsia="en-US"/>
    </w:rPr>
  </w:style>
  <w:style w:type="character" w:customStyle="1" w:styleId="Footer2">
    <w:name w:val="Footer2"/>
    <w:rsid w:val="003C0F5B"/>
    <w:rPr>
      <w:rFonts w:ascii="Arial" w:hAnsi="Arial"/>
      <w:b/>
      <w:sz w:val="48"/>
    </w:rPr>
  </w:style>
  <w:style w:type="paragraph" w:customStyle="1" w:styleId="Footer1">
    <w:name w:val="Footer1"/>
    <w:basedOn w:val="Normal"/>
    <w:rsid w:val="003C0F5B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character" w:customStyle="1" w:styleId="Hyperlink1">
    <w:name w:val="Hyperlink1"/>
    <w:basedOn w:val="DefaultParagraphFont"/>
    <w:rsid w:val="003C0F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4/833/oj" TargetMode="External"/><Relationship Id="rId1" Type="http://schemas.openxmlformats.org/officeDocument/2006/relationships/hyperlink" Target="http://data.europa.eu/eli/dec/2014/5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595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Kiril GIRGINOV</cp:lastModifiedBy>
  <cp:revision>2</cp:revision>
  <cp:lastPrinted>2004-11-19T15:42:00Z</cp:lastPrinted>
  <dcterms:created xsi:type="dcterms:W3CDTF">2026-07-02T09:23:00Z</dcterms:created>
  <dcterms:modified xsi:type="dcterms:W3CDTF">2026-07-02T09:23:00Z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P10_TA(2026)0170_</vt:lpwstr>
  </property>
  <property fmtid="{D5CDD505-2E9C-101B-9397-08002B2CF9AE}" pid="4" name="&lt;Type&gt;">
    <vt:lpwstr>RR</vt:lpwstr>
  </property>
</Properties>
</file>