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37D4" w14:paraId="44044A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54FA61" w14:textId="3E5AA692" w:rsidR="00751A4A" w:rsidRPr="006937D4" w:rsidRDefault="00D4562B" w:rsidP="0010095E">
            <w:pPr>
              <w:pStyle w:val="EPName"/>
            </w:pPr>
            <w:r w:rsidRPr="006937D4">
              <w:t>Evropský parlament</w:t>
            </w:r>
          </w:p>
          <w:p w14:paraId="5016298A" w14:textId="77777777" w:rsidR="00751A4A" w:rsidRPr="006937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37D4">
              <w:t>2024</w:t>
            </w:r>
            <w:r w:rsidR="00817416" w:rsidRPr="006937D4">
              <w:t>-202</w:t>
            </w:r>
            <w:r w:rsidRPr="006937D4">
              <w:t>9</w:t>
            </w:r>
          </w:p>
        </w:tc>
        <w:tc>
          <w:tcPr>
            <w:tcW w:w="2268" w:type="dxa"/>
            <w:shd w:val="clear" w:color="auto" w:fill="auto"/>
          </w:tcPr>
          <w:p w14:paraId="7D4465DA" w14:textId="77777777" w:rsidR="00751A4A" w:rsidRPr="006937D4" w:rsidRDefault="00187494" w:rsidP="0010095E">
            <w:pPr>
              <w:pStyle w:val="EPLogo"/>
            </w:pPr>
            <w:r w:rsidRPr="006937D4">
              <w:rPr>
                <w:noProof/>
                <w:lang w:eastAsia="ja-JP"/>
              </w:rPr>
              <w:drawing>
                <wp:inline distT="0" distB="0" distL="0" distR="0" wp14:anchorId="3F1F6ABD" wp14:editId="334EAF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7A5D6" w14:textId="77777777" w:rsidR="00D058B8" w:rsidRPr="006937D4" w:rsidRDefault="00D058B8" w:rsidP="004C5D52">
      <w:pPr>
        <w:pStyle w:val="LineTop"/>
      </w:pPr>
    </w:p>
    <w:p w14:paraId="01920113" w14:textId="58569D1B" w:rsidR="00680577" w:rsidRPr="006937D4" w:rsidRDefault="00D4562B" w:rsidP="00680577">
      <w:pPr>
        <w:pStyle w:val="EPBodyTA1"/>
      </w:pPr>
      <w:r w:rsidRPr="006937D4">
        <w:t>PŘIJATÉ TEXTY</w:t>
      </w:r>
    </w:p>
    <w:p w14:paraId="593FF2F8" w14:textId="77777777" w:rsidR="00D058B8" w:rsidRPr="006937D4" w:rsidRDefault="00D058B8" w:rsidP="00D058B8">
      <w:pPr>
        <w:pStyle w:val="LineBottom"/>
      </w:pPr>
    </w:p>
    <w:p w14:paraId="4763948B" w14:textId="7983F364" w:rsidR="00D4562B" w:rsidRPr="006937D4" w:rsidRDefault="00D4562B" w:rsidP="00D4562B">
      <w:pPr>
        <w:pStyle w:val="ATHeading1"/>
      </w:pPr>
      <w:bookmarkStart w:id="0" w:name="TANumber"/>
      <w:r w:rsidRPr="006937D4">
        <w:t>P10_</w:t>
      </w:r>
      <w:proofErr w:type="gramStart"/>
      <w:r w:rsidRPr="006937D4">
        <w:t>TA(</w:t>
      </w:r>
      <w:proofErr w:type="gramEnd"/>
      <w:r w:rsidRPr="006937D4">
        <w:t>2026)0</w:t>
      </w:r>
      <w:r w:rsidR="00F56804">
        <w:t>17</w:t>
      </w:r>
      <w:r w:rsidRPr="006937D4">
        <w:t>0</w:t>
      </w:r>
      <w:bookmarkEnd w:id="0"/>
    </w:p>
    <w:p w14:paraId="4BFC7064" w14:textId="3577B395" w:rsidR="00D4562B" w:rsidRPr="006937D4" w:rsidRDefault="00CA1AA5" w:rsidP="00D4562B">
      <w:pPr>
        <w:pStyle w:val="ATHeading2"/>
      </w:pPr>
      <w:bookmarkStart w:id="1" w:name="title"/>
      <w:r w:rsidRPr="00312753">
        <w:t>N</w:t>
      </w:r>
      <w:r w:rsidR="00D4562B" w:rsidRPr="00312753">
        <w:t>egativní účink</w:t>
      </w:r>
      <w:r w:rsidRPr="00312753">
        <w:t>y</w:t>
      </w:r>
      <w:r w:rsidR="00D4562B" w:rsidRPr="00312753">
        <w:t xml:space="preserve"> celosvětové nadměrné kapacity na obchod na trhu s ocelí v Unii</w:t>
      </w:r>
      <w:bookmarkEnd w:id="1"/>
    </w:p>
    <w:p w14:paraId="53CF6157" w14:textId="77777777" w:rsidR="00D4562B" w:rsidRPr="006937D4" w:rsidRDefault="00D4562B" w:rsidP="00D4562B">
      <w:pPr>
        <w:rPr>
          <w:i/>
          <w:vanish/>
        </w:rPr>
      </w:pPr>
      <w:r w:rsidRPr="006937D4">
        <w:rPr>
          <w:i/>
        </w:rPr>
        <w:fldChar w:fldCharType="begin"/>
      </w:r>
      <w:r w:rsidRPr="006937D4">
        <w:rPr>
          <w:i/>
        </w:rPr>
        <w:instrText xml:space="preserve"> TC"(</w:instrText>
      </w:r>
      <w:bookmarkStart w:id="2" w:name="DocNumber"/>
      <w:r w:rsidRPr="006937D4">
        <w:rPr>
          <w:i/>
        </w:rPr>
        <w:instrText>A10-0012/2026</w:instrText>
      </w:r>
      <w:bookmarkEnd w:id="2"/>
      <w:r w:rsidRPr="006937D4">
        <w:rPr>
          <w:i/>
        </w:rPr>
        <w:instrText xml:space="preserve"> - Zpravodajka: Karin Karlsbro)"\l3 \n&gt; \* MERGEFORMAT </w:instrText>
      </w:r>
      <w:r w:rsidRPr="006937D4">
        <w:rPr>
          <w:i/>
        </w:rPr>
        <w:fldChar w:fldCharType="end"/>
      </w:r>
    </w:p>
    <w:p w14:paraId="7EC48422" w14:textId="77777777" w:rsidR="00D4562B" w:rsidRPr="006937D4" w:rsidRDefault="00D4562B" w:rsidP="00D4562B">
      <w:pPr>
        <w:rPr>
          <w:vanish/>
        </w:rPr>
      </w:pPr>
      <w:bookmarkStart w:id="3" w:name="Commission"/>
      <w:r w:rsidRPr="006937D4">
        <w:rPr>
          <w:vanish/>
        </w:rPr>
        <w:t>Výbor pro mezinárodní obchod</w:t>
      </w:r>
      <w:bookmarkEnd w:id="3"/>
    </w:p>
    <w:p w14:paraId="40A4FC11" w14:textId="77777777" w:rsidR="00D4562B" w:rsidRPr="006937D4" w:rsidRDefault="00D4562B" w:rsidP="00D4562B">
      <w:pPr>
        <w:rPr>
          <w:vanish/>
        </w:rPr>
      </w:pPr>
      <w:bookmarkStart w:id="4" w:name="PE"/>
      <w:r w:rsidRPr="006937D4">
        <w:rPr>
          <w:vanish/>
        </w:rPr>
        <w:t>PE779.727</w:t>
      </w:r>
      <w:bookmarkEnd w:id="4"/>
    </w:p>
    <w:p w14:paraId="3A69C048" w14:textId="77777777" w:rsidR="00D4562B" w:rsidRPr="006937D4" w:rsidRDefault="00D4562B" w:rsidP="00D4562B">
      <w:pPr>
        <w:pStyle w:val="ATHeading3"/>
      </w:pPr>
      <w:bookmarkStart w:id="5" w:name="Sujet"/>
      <w:r w:rsidRPr="006937D4">
        <w:t>Legislativní usnesení Evropského parlamentu ze dne 19. května 2026 o návrhu nařízení Evropského parlamentu a Rady, kterým se řeší negativní účinky celosvětové nadměrné kapacity na obchod na trhu s ocelí v Unii</w:t>
      </w:r>
      <w:bookmarkEnd w:id="5"/>
      <w:r w:rsidRPr="006937D4">
        <w:t xml:space="preserve"> </w:t>
      </w:r>
      <w:bookmarkStart w:id="6" w:name="References"/>
      <w:r w:rsidRPr="006937D4">
        <w:t>(</w:t>
      </w:r>
      <w:proofErr w:type="gramStart"/>
      <w:r w:rsidRPr="006937D4">
        <w:t>COM(</w:t>
      </w:r>
      <w:proofErr w:type="gramEnd"/>
      <w:r w:rsidRPr="006937D4">
        <w:t>2025)0726 – C10-0245/2025 – 2025/0726(COD))</w:t>
      </w:r>
      <w:bookmarkEnd w:id="6"/>
    </w:p>
    <w:p w14:paraId="7CE3B0FB" w14:textId="77777777" w:rsidR="00335349" w:rsidRPr="006937D4" w:rsidRDefault="00335349" w:rsidP="00335349">
      <w:pPr>
        <w:pStyle w:val="NormalBold"/>
      </w:pPr>
      <w:r w:rsidRPr="006937D4">
        <w:t>(Řádný legislativní postup: první čtení)</w:t>
      </w:r>
    </w:p>
    <w:p w14:paraId="460994CE" w14:textId="77777777" w:rsidR="00335349" w:rsidRPr="006937D4" w:rsidRDefault="00335349" w:rsidP="00335349">
      <w:pPr>
        <w:pStyle w:val="EPComma"/>
      </w:pPr>
      <w:r w:rsidRPr="006937D4">
        <w:rPr>
          <w:i/>
        </w:rPr>
        <w:t>Evropský parlament</w:t>
      </w:r>
      <w:r w:rsidRPr="006937D4">
        <w:t>,</w:t>
      </w:r>
    </w:p>
    <w:p w14:paraId="789E73FB" w14:textId="77777777" w:rsidR="00335349" w:rsidRPr="006937D4" w:rsidRDefault="00335349" w:rsidP="00E11C35">
      <w:pPr>
        <w:pStyle w:val="NormalHanging12a"/>
      </w:pPr>
      <w:r w:rsidRPr="006937D4">
        <w:t>–</w:t>
      </w:r>
      <w:r w:rsidRPr="006937D4">
        <w:tab/>
        <w:t>s ohledem na návrh Komise předložený Evropskému parlamentu a Radě (</w:t>
      </w:r>
      <w:proofErr w:type="gramStart"/>
      <w:r w:rsidRPr="006937D4">
        <w:t>COM(</w:t>
      </w:r>
      <w:proofErr w:type="gramEnd"/>
      <w:r w:rsidRPr="006937D4">
        <w:t>2025)0726),</w:t>
      </w:r>
    </w:p>
    <w:p w14:paraId="71D45985" w14:textId="7B57483F" w:rsidR="00335349" w:rsidRPr="006937D4" w:rsidRDefault="00335349" w:rsidP="00E11C35">
      <w:pPr>
        <w:pStyle w:val="NormalHanging12a"/>
      </w:pPr>
      <w:r w:rsidRPr="006937D4">
        <w:t>–</w:t>
      </w:r>
      <w:r w:rsidRPr="006937D4">
        <w:tab/>
        <w:t>s ohledem na čl. 294 odst. 2 a čl. 207 odst. 2 Smlouvy o fungování Evropské unie, v </w:t>
      </w:r>
      <w:proofErr w:type="gramStart"/>
      <w:r w:rsidRPr="006937D4">
        <w:t>souladu</w:t>
      </w:r>
      <w:proofErr w:type="gramEnd"/>
      <w:r w:rsidRPr="006937D4">
        <w:t xml:space="preserve"> s</w:t>
      </w:r>
      <w:r w:rsidR="001D7398">
        <w:t>e</w:t>
      </w:r>
      <w:r w:rsidRPr="006937D4">
        <w:t> </w:t>
      </w:r>
      <w:r w:rsidR="001D7398">
        <w:t>kterými</w:t>
      </w:r>
      <w:r w:rsidRPr="006937D4">
        <w:t xml:space="preserve"> Komise předložila svůj návrh Parlamentu (C10</w:t>
      </w:r>
      <w:r w:rsidRPr="006937D4">
        <w:noBreakHyphen/>
        <w:t>0245/2025),</w:t>
      </w:r>
    </w:p>
    <w:p w14:paraId="7A7B2E89" w14:textId="77777777" w:rsidR="00335349" w:rsidRDefault="00335349" w:rsidP="00E11C35">
      <w:pPr>
        <w:pStyle w:val="NormalHanging12a"/>
      </w:pPr>
      <w:r w:rsidRPr="006937D4">
        <w:t>–</w:t>
      </w:r>
      <w:r w:rsidRPr="006937D4">
        <w:tab/>
        <w:t>s ohledem na čl. 294 odst. 3 Smlouvy o fungování Evropské unie,</w:t>
      </w:r>
    </w:p>
    <w:p w14:paraId="340E1733" w14:textId="65531AE7" w:rsidR="00CA1AA5" w:rsidRPr="006937D4" w:rsidRDefault="00CA1AA5" w:rsidP="00E11C35">
      <w:pPr>
        <w:pStyle w:val="NormalHanging12a"/>
      </w:pPr>
      <w:r w:rsidRPr="00BA5F5A">
        <w:t>–</w:t>
      </w:r>
      <w:r w:rsidRPr="00BA5F5A">
        <w:tab/>
      </w:r>
      <w:r w:rsidRPr="00853560">
        <w:t>s ohledem na předběžnou dohodu přijatou příslušným výbor</w:t>
      </w:r>
      <w:r w:rsidR="00B31590">
        <w:t>em</w:t>
      </w:r>
      <w:r w:rsidRPr="00853560">
        <w:t xml:space="preserve"> podle čl. 75 odst. 4 jednacího řádu a s ohledem na to, že se zástupce Rady dopisem ze dne </w:t>
      </w:r>
      <w:r>
        <w:t>23</w:t>
      </w:r>
      <w:r w:rsidRPr="00853560">
        <w:t xml:space="preserve">. </w:t>
      </w:r>
      <w:r>
        <w:t>dubna</w:t>
      </w:r>
      <w:r w:rsidRPr="00853560">
        <w:t xml:space="preserve"> 2026 zavázal schválit postoj</w:t>
      </w:r>
      <w:r w:rsidR="00B31590">
        <w:t xml:space="preserve"> Parlamentu v souladu s </w:t>
      </w:r>
      <w:r w:rsidRPr="00853560">
        <w:t xml:space="preserve">čl. 294 odst. </w:t>
      </w:r>
      <w:r>
        <w:t>4</w:t>
      </w:r>
      <w:r w:rsidRPr="00853560">
        <w:t xml:space="preserve"> Smlouvy o fungování Evropské unie</w:t>
      </w:r>
      <w:r w:rsidRPr="003A3986">
        <w:t>,</w:t>
      </w:r>
    </w:p>
    <w:p w14:paraId="62B53B46" w14:textId="77777777" w:rsidR="00335349" w:rsidRPr="006937D4" w:rsidRDefault="00335349" w:rsidP="00E11C35">
      <w:pPr>
        <w:pStyle w:val="NormalHanging12a"/>
      </w:pPr>
      <w:r w:rsidRPr="006937D4">
        <w:t>–</w:t>
      </w:r>
      <w:r w:rsidRPr="006937D4">
        <w:tab/>
        <w:t>s ohledem na článek 60 jednacího řádu,</w:t>
      </w:r>
    </w:p>
    <w:p w14:paraId="5DAFCFDC" w14:textId="77777777" w:rsidR="00335349" w:rsidRPr="006937D4" w:rsidRDefault="00335349" w:rsidP="00E11C35">
      <w:pPr>
        <w:pStyle w:val="NormalHanging12a"/>
      </w:pPr>
      <w:r w:rsidRPr="006937D4">
        <w:t>–</w:t>
      </w:r>
      <w:r w:rsidRPr="006937D4">
        <w:tab/>
        <w:t>s ohledem na stanovisko Výboru pro průmysl, výzkum a energetiku,</w:t>
      </w:r>
    </w:p>
    <w:p w14:paraId="3CC6062F" w14:textId="77777777" w:rsidR="00335349" w:rsidRPr="006937D4" w:rsidRDefault="00335349" w:rsidP="00E11C35">
      <w:pPr>
        <w:pStyle w:val="NormalHanging12a"/>
      </w:pPr>
      <w:r w:rsidRPr="006937D4">
        <w:t>–</w:t>
      </w:r>
      <w:r w:rsidRPr="006937D4">
        <w:tab/>
        <w:t>s ohledem na zprávu Výboru pro mezinárodní obchod (A10</w:t>
      </w:r>
      <w:r w:rsidRPr="006937D4">
        <w:noBreakHyphen/>
        <w:t>0012/2026),</w:t>
      </w:r>
    </w:p>
    <w:p w14:paraId="13E81C0F" w14:textId="11B96592" w:rsidR="00335349" w:rsidRDefault="001E2CB2" w:rsidP="00E11C35">
      <w:pPr>
        <w:pStyle w:val="NormalHanging12a"/>
      </w:pPr>
      <w:r>
        <w:t>1.</w:t>
      </w:r>
      <w:r>
        <w:tab/>
      </w:r>
      <w:r w:rsidR="00335349" w:rsidRPr="006937D4">
        <w:t>přijímá níže uvedený postoj v prvním čtení;</w:t>
      </w:r>
    </w:p>
    <w:p w14:paraId="710EC94E" w14:textId="6F3F6CFB" w:rsidR="001E2CB2" w:rsidRDefault="001E2CB2" w:rsidP="00E11C35">
      <w:pPr>
        <w:pStyle w:val="NormalHanging12a"/>
      </w:pPr>
      <w:r>
        <w:t>2.</w:t>
      </w:r>
      <w:r>
        <w:tab/>
      </w:r>
      <w:r w:rsidRPr="001E2CB2">
        <w:t xml:space="preserve">schvaluje společné prohlášení Evropského parlamentu, Rady a Komise, které je přílohou tohoto usnesení a bude zveřejněno v řadě </w:t>
      </w:r>
      <w:r w:rsidR="00EA75E4">
        <w:t>C</w:t>
      </w:r>
      <w:r w:rsidRPr="001E2CB2">
        <w:t xml:space="preserve"> </w:t>
      </w:r>
      <w:r w:rsidRPr="00F56804">
        <w:rPr>
          <w:i/>
          <w:iCs/>
        </w:rPr>
        <w:t>Úředního věstníku Evropské unie</w:t>
      </w:r>
      <w:r w:rsidR="00EA75E4">
        <w:t>;</w:t>
      </w:r>
    </w:p>
    <w:p w14:paraId="4A891CE7" w14:textId="403BEF60" w:rsidR="00335349" w:rsidRPr="006937D4" w:rsidRDefault="00EA75E4" w:rsidP="00E11C35">
      <w:pPr>
        <w:pStyle w:val="NormalHanging12a"/>
      </w:pPr>
      <w:r>
        <w:t>3</w:t>
      </w:r>
      <w:r w:rsidR="00335349" w:rsidRPr="006937D4">
        <w:t>.</w:t>
      </w:r>
      <w:r w:rsidR="00335349" w:rsidRPr="006937D4">
        <w:tab/>
        <w:t>vyzývá Komisi, aby věc znovu postoupila Parlamentu, jestliže svůj návrh nahradí jiným textem, podstatně jej změní nebo má v úmyslu jej podstatně změnit;</w:t>
      </w:r>
    </w:p>
    <w:p w14:paraId="48E6AF0C" w14:textId="2039DB99" w:rsidR="001C0B51" w:rsidRDefault="00EA75E4" w:rsidP="00335349">
      <w:pPr>
        <w:pStyle w:val="NormalHanging12a"/>
        <w:sectPr w:rsidR="001C0B51" w:rsidSect="00D9608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lastRenderedPageBreak/>
        <w:t>4</w:t>
      </w:r>
      <w:r w:rsidR="00335349" w:rsidRPr="006937D4">
        <w:t>.</w:t>
      </w:r>
      <w:r w:rsidR="00335349" w:rsidRPr="006937D4">
        <w:tab/>
        <w:t>pověřuje svou předsedkyni, aby předala postoj Parlamentu Radě</w:t>
      </w:r>
      <w:r w:rsidR="00B31590">
        <w:t xml:space="preserve">, </w:t>
      </w:r>
      <w:r w:rsidR="00335349" w:rsidRPr="006937D4">
        <w:t>Komisi, jakož i vnitrostátním parlamentům.</w:t>
      </w:r>
    </w:p>
    <w:p w14:paraId="36D0ED4E" w14:textId="77777777" w:rsidR="001C0B51" w:rsidRPr="00E051B8" w:rsidRDefault="001C0B51" w:rsidP="001C0B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051B8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E051B8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051B8">
        <w:rPr>
          <w:rFonts w:eastAsia="Calibri"/>
          <w:b/>
          <w:bCs/>
          <w:color w:val="000000"/>
          <w:szCs w:val="24"/>
        </w:rPr>
        <w:t>2025)0726</w:t>
      </w:r>
    </w:p>
    <w:p w14:paraId="4D2A7CFA" w14:textId="76B48B59" w:rsidR="002D0F2A" w:rsidRPr="002D0F2A" w:rsidRDefault="001C0B51" w:rsidP="002D0F2A">
      <w:pPr>
        <w:pStyle w:val="NormalHanging12a"/>
        <w:ind w:left="0" w:firstLine="0"/>
        <w:rPr>
          <w:b/>
          <w:bCs/>
          <w:szCs w:val="24"/>
          <w:lang w:eastAsia="en-US"/>
        </w:rPr>
      </w:pPr>
      <w:r w:rsidRPr="00E051B8">
        <w:rPr>
          <w:rFonts w:eastAsia="Calibri"/>
          <w:b/>
          <w:bCs/>
          <w:szCs w:val="24"/>
        </w:rPr>
        <w:t>Postoj Evropského parlamentu přijatý v prvním čtení dne 1</w:t>
      </w:r>
      <w:r w:rsidR="002D0F2A" w:rsidRPr="00E051B8">
        <w:rPr>
          <w:rFonts w:eastAsia="Calibri"/>
          <w:b/>
          <w:bCs/>
          <w:szCs w:val="24"/>
        </w:rPr>
        <w:t>9</w:t>
      </w:r>
      <w:r w:rsidRPr="00E051B8">
        <w:rPr>
          <w:rFonts w:eastAsia="Calibri"/>
          <w:b/>
          <w:bCs/>
          <w:szCs w:val="24"/>
        </w:rPr>
        <w:t xml:space="preserve">. </w:t>
      </w:r>
      <w:r w:rsidR="002D0F2A" w:rsidRPr="00E051B8">
        <w:rPr>
          <w:rFonts w:eastAsia="Calibri"/>
          <w:b/>
          <w:bCs/>
          <w:szCs w:val="24"/>
        </w:rPr>
        <w:t>května</w:t>
      </w:r>
      <w:r w:rsidRPr="00E051B8">
        <w:rPr>
          <w:rFonts w:eastAsia="Calibri"/>
          <w:b/>
          <w:bCs/>
          <w:szCs w:val="24"/>
        </w:rPr>
        <w:t xml:space="preserve"> 2026 k přijetí </w:t>
      </w:r>
      <w:r w:rsidR="002D0F2A" w:rsidRPr="002D0F2A">
        <w:rPr>
          <w:b/>
          <w:szCs w:val="24"/>
          <w:lang w:eastAsia="en-US"/>
        </w:rPr>
        <w:t xml:space="preserve">nařízení Evropského parlamentu a Rady </w:t>
      </w:r>
      <w:r w:rsidR="002D0F2A" w:rsidRPr="002D0F2A">
        <w:rPr>
          <w:b/>
          <w:iCs/>
          <w:szCs w:val="24"/>
          <w:lang w:eastAsia="en-US"/>
        </w:rPr>
        <w:t>(EU) 2026/…,</w:t>
      </w:r>
      <w:r w:rsidR="002D0F2A">
        <w:rPr>
          <w:b/>
          <w:szCs w:val="24"/>
          <w:lang w:eastAsia="en-US"/>
        </w:rPr>
        <w:t xml:space="preserve"> </w:t>
      </w:r>
      <w:r w:rsidR="002D0F2A" w:rsidRPr="002D0F2A">
        <w:rPr>
          <w:b/>
          <w:szCs w:val="24"/>
          <w:lang w:eastAsia="en-US"/>
        </w:rPr>
        <w:t xml:space="preserve">kterým se řeší negativní účinky celosvětové nadměrné kapacity na obchod na trhu s ocelí v Unii </w:t>
      </w:r>
      <w:r w:rsidR="002D0F2A" w:rsidRPr="0049541D">
        <w:rPr>
          <w:b/>
          <w:szCs w:val="24"/>
          <w:lang w:eastAsia="en-US"/>
        </w:rPr>
        <w:t>a mění nařízení (EU) 2020/2170</w:t>
      </w:r>
    </w:p>
    <w:p w14:paraId="09F2D3DB" w14:textId="2E662361" w:rsidR="004E765E" w:rsidRDefault="0049541D" w:rsidP="001C0B51">
      <w:pPr>
        <w:pStyle w:val="NormalHanging12a"/>
        <w:ind w:left="0" w:firstLine="0"/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1384</w:t>
      </w:r>
      <w:r>
        <w:rPr>
          <w:i/>
        </w:rPr>
        <w:t>.)</w:t>
      </w:r>
    </w:p>
    <w:p w14:paraId="762AD50A" w14:textId="77777777" w:rsidR="0049541D" w:rsidRDefault="0049541D" w:rsidP="001C0B51">
      <w:pPr>
        <w:pStyle w:val="NormalHanging12a"/>
        <w:ind w:left="0" w:firstLine="0"/>
      </w:pPr>
    </w:p>
    <w:p w14:paraId="6DE2C774" w14:textId="77777777" w:rsidR="0049541D" w:rsidRDefault="0049541D" w:rsidP="001C0B51">
      <w:pPr>
        <w:pStyle w:val="NormalHanging12a"/>
        <w:ind w:left="0" w:firstLine="0"/>
        <w:sectPr w:rsidR="0049541D" w:rsidSect="00D960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480207" w14:textId="2CD6D1B1" w:rsidR="00233C60" w:rsidRPr="00F56804" w:rsidRDefault="00233C60" w:rsidP="00F56804">
      <w:pPr>
        <w:spacing w:after="240"/>
        <w:jc w:val="right"/>
        <w:rPr>
          <w:bCs/>
          <w:szCs w:val="24"/>
        </w:rPr>
      </w:pPr>
      <w:r w:rsidRPr="00F56804">
        <w:rPr>
          <w:bCs/>
          <w:szCs w:val="24"/>
        </w:rPr>
        <w:lastRenderedPageBreak/>
        <w:t>PŘÍLOHA K LEGISLATIVNÍMU USNESENÍ</w:t>
      </w:r>
    </w:p>
    <w:p w14:paraId="2AAAAF4C" w14:textId="4C4BAC39" w:rsidR="004E765E" w:rsidRPr="004E765E" w:rsidRDefault="004E765E" w:rsidP="00233C60">
      <w:pPr>
        <w:spacing w:after="240"/>
        <w:rPr>
          <w:b/>
          <w:bCs/>
          <w:szCs w:val="24"/>
        </w:rPr>
      </w:pPr>
      <w:r w:rsidRPr="004E765E">
        <w:rPr>
          <w:b/>
          <w:szCs w:val="24"/>
        </w:rPr>
        <w:t>Společné prohlášení Evropského parlamentu, Rady a Komise o dovozu výrobků z oceli z Ruska</w:t>
      </w:r>
    </w:p>
    <w:p w14:paraId="2092590E" w14:textId="77777777" w:rsidR="004E765E" w:rsidRPr="004E765E" w:rsidRDefault="004E765E" w:rsidP="00233C60">
      <w:pPr>
        <w:widowControl/>
        <w:spacing w:after="240"/>
        <w:rPr>
          <w:szCs w:val="24"/>
        </w:rPr>
      </w:pPr>
      <w:r w:rsidRPr="004E765E">
        <w:rPr>
          <w:szCs w:val="24"/>
        </w:rPr>
        <w:t>Od začátku války přijaly Unie a její členské státy bezprecedentní opatření, kterými se snaží snížit ekonomickou závislost na Rusku a zajistit, aby ekonomická aktivita Unie nepřispívala k podpoře ruského válečného úsilí.</w:t>
      </w:r>
    </w:p>
    <w:p w14:paraId="2955CCBE" w14:textId="77777777" w:rsidR="004E765E" w:rsidRPr="004E765E" w:rsidRDefault="004E765E" w:rsidP="00233C60">
      <w:pPr>
        <w:widowControl/>
        <w:spacing w:after="240"/>
        <w:rPr>
          <w:szCs w:val="24"/>
        </w:rPr>
      </w:pPr>
      <w:r w:rsidRPr="004E765E">
        <w:rPr>
          <w:szCs w:val="24"/>
        </w:rPr>
        <w:t>Tato opatření výrazně snížila obchodní toky v celé řadě odvětví, včetně oceli, urychlila oddělení, přispěla k odolnosti Unie a zároveň ukázala, že Unie je schopna jednat jednotně a rozhodně, pokud jsou v sázce její hodnoty a strategické zájmy.</w:t>
      </w:r>
    </w:p>
    <w:p w14:paraId="1887464B" w14:textId="77777777" w:rsidR="004E765E" w:rsidRPr="004E765E" w:rsidRDefault="004E765E" w:rsidP="00233C60">
      <w:pPr>
        <w:widowControl/>
        <w:spacing w:after="240"/>
        <w:rPr>
          <w:szCs w:val="24"/>
        </w:rPr>
      </w:pPr>
      <w:r w:rsidRPr="004E765E">
        <w:rPr>
          <w:szCs w:val="24"/>
        </w:rPr>
        <w:t>Zároveň musí Unie i nadále věnovat pozornost oblastem, v nichž závislost přetrvává, zejména pokud jde o některé výrobky z oceli, jejichž dovoz dosud není plně zakázán.</w:t>
      </w:r>
    </w:p>
    <w:p w14:paraId="5A78BB39" w14:textId="77777777" w:rsidR="004E765E" w:rsidRPr="004E765E" w:rsidRDefault="004E765E" w:rsidP="00233C60">
      <w:pPr>
        <w:widowControl/>
        <w:spacing w:after="240"/>
        <w:rPr>
          <w:szCs w:val="24"/>
        </w:rPr>
      </w:pPr>
      <w:r w:rsidRPr="004E765E">
        <w:rPr>
          <w:szCs w:val="24"/>
        </w:rPr>
        <w:t>Konkrétně v odvětví oceli pokračuje až do 30. září 2028 určitý omezený dovoz z Ruska v souladu s přechodnými opatřeními stanovenými v příslušných omezujících opatřeních přijatých Radou</w:t>
      </w:r>
      <w:r w:rsidRPr="004E765E">
        <w:rPr>
          <w:szCs w:val="24"/>
          <w:vertAlign w:val="superscript"/>
        </w:rPr>
        <w:footnoteReference w:id="1"/>
      </w:r>
      <w:r w:rsidRPr="004E765E">
        <w:rPr>
          <w:szCs w:val="24"/>
        </w:rPr>
        <w:t>. V zájmu zajištění postupné a plynulé diverzifikace je tento dovoz omezen kvótami a objem se každoročně snižuje.</w:t>
      </w:r>
    </w:p>
    <w:p w14:paraId="24BEB02A" w14:textId="51F18CFE" w:rsidR="002D0F2A" w:rsidRPr="006937D4" w:rsidRDefault="004E765E" w:rsidP="00233C60">
      <w:pPr>
        <w:pStyle w:val="NormalHanging12a"/>
        <w:ind w:left="0" w:firstLine="0"/>
      </w:pPr>
      <w:r w:rsidRPr="004E765E">
        <w:rPr>
          <w:szCs w:val="24"/>
        </w:rPr>
        <w:t>Evropský parlament, Rada a Komise připomínají institucionální rámec pro omezující opatření a zároveň zdůrazňují, že příslušná omezující opatření přijatá Radou jsou základem pro postupné úplné ukončení zbývajícího dovozu ruských výrobků z oceli, zejména ocelových desek, do 30. září 2028.</w:t>
      </w:r>
    </w:p>
    <w:sectPr w:rsidR="002D0F2A" w:rsidRPr="006937D4" w:rsidSect="00D9608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A1F3" w14:textId="77777777" w:rsidR="00D4562B" w:rsidRPr="00D96085" w:rsidRDefault="00D4562B">
      <w:r w:rsidRPr="00D96085">
        <w:separator/>
      </w:r>
    </w:p>
  </w:endnote>
  <w:endnote w:type="continuationSeparator" w:id="0">
    <w:p w14:paraId="52789608" w14:textId="77777777" w:rsidR="00D4562B" w:rsidRPr="00D96085" w:rsidRDefault="00D4562B">
      <w:r w:rsidRPr="00D960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EA06" w14:textId="77777777" w:rsidR="002D0F2A" w:rsidRPr="00965C4D" w:rsidRDefault="002D0F2A">
    <w:pPr>
      <w:pStyle w:val="Footer1"/>
    </w:pPr>
    <w:r w:rsidRPr="00965C4D">
      <w:rPr>
        <w:rStyle w:val="Footer2"/>
      </w:rPr>
      <w:t>CS</w:t>
    </w:r>
    <w:r w:rsidRPr="00965C4D">
      <w:tab/>
    </w:r>
    <w:r w:rsidRPr="00965C4D">
      <w:fldChar w:fldCharType="begin"/>
    </w:r>
    <w:r w:rsidRPr="00965C4D">
      <w:instrText xml:space="preserve"> PAGE </w:instrText>
    </w:r>
    <w:r w:rsidRPr="00965C4D">
      <w:fldChar w:fldCharType="separate"/>
    </w:r>
    <w:r w:rsidRPr="00965C4D">
      <w:t>1</w:t>
    </w:r>
    <w:r w:rsidRPr="00965C4D">
      <w:fldChar w:fldCharType="end"/>
    </w:r>
    <w:r w:rsidRPr="00965C4D">
      <w:tab/>
    </w:r>
    <w:r w:rsidRPr="00965C4D">
      <w:rPr>
        <w:rStyle w:val="Footer2"/>
      </w:rP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3958" w14:textId="6AA8D31F" w:rsidR="002D0F2A" w:rsidRPr="004E765E" w:rsidRDefault="002D0F2A" w:rsidP="004E76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8FB8" w14:textId="77777777" w:rsidR="002D0F2A" w:rsidRPr="00965C4D" w:rsidRDefault="002D0F2A">
    <w:pPr>
      <w:pStyle w:val="Footer1"/>
    </w:pPr>
    <w:r w:rsidRPr="00965C4D">
      <w:rPr>
        <w:rStyle w:val="Footer2"/>
      </w:rPr>
      <w:t>CS</w:t>
    </w:r>
    <w:r w:rsidRPr="00965C4D">
      <w:tab/>
    </w:r>
    <w:r w:rsidRPr="00965C4D">
      <w:fldChar w:fldCharType="begin"/>
    </w:r>
    <w:r w:rsidRPr="00965C4D">
      <w:instrText xml:space="preserve"> PAGE </w:instrText>
    </w:r>
    <w:r w:rsidRPr="00965C4D">
      <w:fldChar w:fldCharType="separate"/>
    </w:r>
    <w:r w:rsidRPr="00965C4D">
      <w:t>1</w:t>
    </w:r>
    <w:r w:rsidRPr="00965C4D">
      <w:fldChar w:fldCharType="end"/>
    </w:r>
    <w:r w:rsidRPr="00965C4D">
      <w:tab/>
    </w:r>
    <w:r w:rsidRPr="00965C4D">
      <w:rPr>
        <w:rStyle w:val="Footer2"/>
      </w:rPr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80FF2" w14:textId="77777777" w:rsidR="00D4562B" w:rsidRPr="00D96085" w:rsidRDefault="00D4562B">
      <w:r w:rsidRPr="00D96085">
        <w:separator/>
      </w:r>
    </w:p>
  </w:footnote>
  <w:footnote w:type="continuationSeparator" w:id="0">
    <w:p w14:paraId="17D1B2A1" w14:textId="77777777" w:rsidR="00D4562B" w:rsidRPr="00D96085" w:rsidRDefault="00D4562B">
      <w:r w:rsidRPr="00D96085">
        <w:continuationSeparator/>
      </w:r>
    </w:p>
  </w:footnote>
  <w:footnote w:id="1">
    <w:p w14:paraId="3ABAC537" w14:textId="7AC3AC2C" w:rsidR="004E765E" w:rsidRPr="0094770F" w:rsidRDefault="004E765E" w:rsidP="004E765E">
      <w:pPr>
        <w:pStyle w:val="FootnoteText"/>
        <w:ind w:left="567" w:hanging="567"/>
        <w:rPr>
          <w:sz w:val="24"/>
          <w:szCs w:val="24"/>
          <w:lang w:val="fi-FI"/>
        </w:rPr>
      </w:pPr>
      <w:r w:rsidRPr="00541E1B">
        <w:rPr>
          <w:rStyle w:val="FootnoteReference"/>
          <w:sz w:val="24"/>
          <w:szCs w:val="24"/>
        </w:rPr>
        <w:footnoteRef/>
      </w:r>
      <w:r w:rsidRPr="004E765E">
        <w:rPr>
          <w:sz w:val="24"/>
          <w:szCs w:val="24"/>
          <w:lang w:val="fi-FI"/>
        </w:rPr>
        <w:t xml:space="preserve"> </w:t>
      </w:r>
      <w:r w:rsidRPr="004E765E">
        <w:rPr>
          <w:sz w:val="24"/>
          <w:szCs w:val="24"/>
          <w:lang w:val="fi-FI"/>
        </w:rPr>
        <w:tab/>
      </w:r>
      <w:proofErr w:type="spellStart"/>
      <w:r w:rsidRPr="004E765E">
        <w:rPr>
          <w:sz w:val="24"/>
          <w:szCs w:val="24"/>
          <w:lang w:val="fi-FI"/>
        </w:rPr>
        <w:t>Rozhodnutí</w:t>
      </w:r>
      <w:proofErr w:type="spellEnd"/>
      <w:r w:rsidRPr="004E765E">
        <w:rPr>
          <w:sz w:val="24"/>
          <w:szCs w:val="24"/>
          <w:lang w:val="fi-FI"/>
        </w:rPr>
        <w:t xml:space="preserve"> </w:t>
      </w:r>
      <w:proofErr w:type="spellStart"/>
      <w:r w:rsidRPr="004E765E">
        <w:rPr>
          <w:sz w:val="24"/>
          <w:szCs w:val="24"/>
          <w:lang w:val="fi-FI"/>
        </w:rPr>
        <w:t>Rady</w:t>
      </w:r>
      <w:proofErr w:type="spellEnd"/>
      <w:r w:rsidRPr="004E765E">
        <w:rPr>
          <w:sz w:val="24"/>
          <w:szCs w:val="24"/>
          <w:lang w:val="fi-FI"/>
        </w:rPr>
        <w:t xml:space="preserve"> 2014/512/SZBP </w:t>
      </w:r>
      <w:proofErr w:type="spellStart"/>
      <w:r w:rsidRPr="004E765E">
        <w:rPr>
          <w:sz w:val="24"/>
          <w:szCs w:val="24"/>
          <w:lang w:val="fi-FI"/>
        </w:rPr>
        <w:t>ze</w:t>
      </w:r>
      <w:proofErr w:type="spellEnd"/>
      <w:r w:rsidRPr="004E765E">
        <w:rPr>
          <w:sz w:val="24"/>
          <w:szCs w:val="24"/>
          <w:lang w:val="fi-FI"/>
        </w:rPr>
        <w:t xml:space="preserve"> </w:t>
      </w:r>
      <w:proofErr w:type="spellStart"/>
      <w:r w:rsidRPr="004E765E">
        <w:rPr>
          <w:sz w:val="24"/>
          <w:szCs w:val="24"/>
          <w:lang w:val="fi-FI"/>
        </w:rPr>
        <w:t>dne</w:t>
      </w:r>
      <w:proofErr w:type="spellEnd"/>
      <w:r w:rsidRPr="004E765E">
        <w:rPr>
          <w:sz w:val="24"/>
          <w:szCs w:val="24"/>
          <w:lang w:val="fi-FI"/>
        </w:rPr>
        <w:t xml:space="preserve"> 31. července 2014 o omezujících opatřeních vzhledem k činnostem Ruska destabilizujícím situaci na </w:t>
      </w:r>
      <w:r w:rsidRPr="0094770F">
        <w:rPr>
          <w:sz w:val="24"/>
          <w:szCs w:val="24"/>
          <w:lang w:val="fi-FI"/>
        </w:rPr>
        <w:t xml:space="preserve">Ukrajině </w:t>
      </w:r>
      <w:r w:rsidR="0094770F" w:rsidRPr="0094770F">
        <w:rPr>
          <w:sz w:val="24"/>
          <w:szCs w:val="24"/>
          <w:lang w:val="en-GB"/>
        </w:rPr>
        <w:t>(</w:t>
      </w:r>
      <w:proofErr w:type="spellStart"/>
      <w:r w:rsidR="0094770F">
        <w:rPr>
          <w:sz w:val="24"/>
          <w:szCs w:val="24"/>
          <w:lang w:val="en-GB"/>
        </w:rPr>
        <w:t>Úř</w:t>
      </w:r>
      <w:proofErr w:type="spellEnd"/>
      <w:r w:rsidR="0094770F">
        <w:rPr>
          <w:sz w:val="24"/>
          <w:szCs w:val="24"/>
          <w:lang w:val="en-GB"/>
        </w:rPr>
        <w:t xml:space="preserve">. </w:t>
      </w:r>
      <w:proofErr w:type="spellStart"/>
      <w:r w:rsidR="0094770F">
        <w:rPr>
          <w:sz w:val="24"/>
          <w:szCs w:val="24"/>
          <w:lang w:val="en-GB"/>
        </w:rPr>
        <w:t>věst</w:t>
      </w:r>
      <w:proofErr w:type="spellEnd"/>
      <w:r w:rsidR="0094770F">
        <w:rPr>
          <w:sz w:val="24"/>
          <w:szCs w:val="24"/>
          <w:lang w:val="en-GB"/>
        </w:rPr>
        <w:t>.</w:t>
      </w:r>
      <w:r w:rsidR="0094770F" w:rsidRPr="0094770F">
        <w:rPr>
          <w:sz w:val="24"/>
          <w:szCs w:val="24"/>
          <w:lang w:val="en-GB"/>
        </w:rPr>
        <w:t xml:space="preserve"> L 229, 31.7.2014, </w:t>
      </w:r>
      <w:r w:rsidR="0094770F">
        <w:rPr>
          <w:sz w:val="24"/>
          <w:szCs w:val="24"/>
          <w:lang w:val="en-GB"/>
        </w:rPr>
        <w:t>s</w:t>
      </w:r>
      <w:r w:rsidR="0094770F" w:rsidRPr="0094770F">
        <w:rPr>
          <w:sz w:val="24"/>
          <w:szCs w:val="24"/>
          <w:lang w:val="en-GB"/>
        </w:rPr>
        <w:t xml:space="preserve">. 13, ELI: </w:t>
      </w:r>
      <w:hyperlink r:id="rId1" w:history="1">
        <w:r w:rsidR="0094770F" w:rsidRPr="0094770F">
          <w:rPr>
            <w:rStyle w:val="Hyperlink"/>
            <w:sz w:val="24"/>
            <w:szCs w:val="24"/>
            <w:lang w:val="en-GB"/>
          </w:rPr>
          <w:t>http://data.europa.eu/eli/dec/2014/512/oj</w:t>
        </w:r>
      </w:hyperlink>
      <w:r w:rsidR="0094770F" w:rsidRPr="0094770F">
        <w:rPr>
          <w:sz w:val="24"/>
          <w:szCs w:val="24"/>
          <w:lang w:val="en-GB"/>
        </w:rPr>
        <w:t xml:space="preserve">) </w:t>
      </w:r>
      <w:r w:rsidRPr="0094770F">
        <w:rPr>
          <w:sz w:val="24"/>
          <w:szCs w:val="24"/>
          <w:lang w:val="en-GB"/>
        </w:rPr>
        <w:t xml:space="preserve">a </w:t>
      </w:r>
      <w:proofErr w:type="spellStart"/>
      <w:r w:rsidRPr="0094770F">
        <w:rPr>
          <w:sz w:val="24"/>
          <w:szCs w:val="24"/>
          <w:lang w:val="en-GB"/>
        </w:rPr>
        <w:t>nařízení</w:t>
      </w:r>
      <w:proofErr w:type="spellEnd"/>
      <w:r w:rsidRPr="0094770F">
        <w:rPr>
          <w:sz w:val="24"/>
          <w:szCs w:val="24"/>
          <w:lang w:val="en-GB"/>
        </w:rPr>
        <w:t xml:space="preserve"> Rady (EU) č. 833/2014 ze </w:t>
      </w:r>
      <w:proofErr w:type="spellStart"/>
      <w:r w:rsidRPr="0094770F">
        <w:rPr>
          <w:sz w:val="24"/>
          <w:szCs w:val="24"/>
          <w:lang w:val="en-GB"/>
        </w:rPr>
        <w:t>dne</w:t>
      </w:r>
      <w:proofErr w:type="spellEnd"/>
      <w:r w:rsidRPr="0094770F">
        <w:rPr>
          <w:sz w:val="24"/>
          <w:szCs w:val="24"/>
          <w:lang w:val="en-GB"/>
        </w:rPr>
        <w:t xml:space="preserve"> 31. </w:t>
      </w:r>
      <w:proofErr w:type="spellStart"/>
      <w:r w:rsidRPr="0094770F">
        <w:rPr>
          <w:sz w:val="24"/>
          <w:szCs w:val="24"/>
          <w:lang w:val="en-GB"/>
        </w:rPr>
        <w:t>července</w:t>
      </w:r>
      <w:proofErr w:type="spellEnd"/>
      <w:r w:rsidRPr="0094770F">
        <w:rPr>
          <w:sz w:val="24"/>
          <w:szCs w:val="24"/>
          <w:lang w:val="en-GB"/>
        </w:rPr>
        <w:t xml:space="preserve"> 2014 o </w:t>
      </w:r>
      <w:proofErr w:type="spellStart"/>
      <w:r w:rsidRPr="0094770F">
        <w:rPr>
          <w:sz w:val="24"/>
          <w:szCs w:val="24"/>
          <w:lang w:val="en-GB"/>
        </w:rPr>
        <w:t>omezujících</w:t>
      </w:r>
      <w:proofErr w:type="spellEnd"/>
      <w:r w:rsidRPr="0094770F">
        <w:rPr>
          <w:sz w:val="24"/>
          <w:szCs w:val="24"/>
          <w:lang w:val="en-GB"/>
        </w:rPr>
        <w:t xml:space="preserve"> </w:t>
      </w:r>
      <w:proofErr w:type="spellStart"/>
      <w:r w:rsidRPr="0094770F">
        <w:rPr>
          <w:sz w:val="24"/>
          <w:szCs w:val="24"/>
          <w:lang w:val="en-GB"/>
        </w:rPr>
        <w:t>opatřeních</w:t>
      </w:r>
      <w:proofErr w:type="spellEnd"/>
      <w:r w:rsidRPr="0094770F">
        <w:rPr>
          <w:sz w:val="24"/>
          <w:szCs w:val="24"/>
          <w:lang w:val="en-GB"/>
        </w:rPr>
        <w:t xml:space="preserve"> </w:t>
      </w:r>
      <w:proofErr w:type="spellStart"/>
      <w:r w:rsidRPr="0094770F">
        <w:rPr>
          <w:sz w:val="24"/>
          <w:szCs w:val="24"/>
          <w:lang w:val="en-GB"/>
        </w:rPr>
        <w:t>vzhledem</w:t>
      </w:r>
      <w:proofErr w:type="spellEnd"/>
      <w:r w:rsidRPr="0094770F">
        <w:rPr>
          <w:sz w:val="24"/>
          <w:szCs w:val="24"/>
          <w:lang w:val="en-GB"/>
        </w:rPr>
        <w:t xml:space="preserve"> k </w:t>
      </w:r>
      <w:proofErr w:type="spellStart"/>
      <w:r w:rsidRPr="0094770F">
        <w:rPr>
          <w:sz w:val="24"/>
          <w:szCs w:val="24"/>
          <w:lang w:val="en-GB"/>
        </w:rPr>
        <w:t>činnostem</w:t>
      </w:r>
      <w:proofErr w:type="spellEnd"/>
      <w:r w:rsidRPr="0094770F">
        <w:rPr>
          <w:sz w:val="24"/>
          <w:szCs w:val="24"/>
          <w:lang w:val="en-GB"/>
        </w:rPr>
        <w:t xml:space="preserve"> Ruska </w:t>
      </w:r>
      <w:proofErr w:type="spellStart"/>
      <w:r w:rsidRPr="0094770F">
        <w:rPr>
          <w:sz w:val="24"/>
          <w:szCs w:val="24"/>
          <w:lang w:val="en-GB"/>
        </w:rPr>
        <w:t>destabilizujícím</w:t>
      </w:r>
      <w:proofErr w:type="spellEnd"/>
      <w:r w:rsidRPr="0094770F">
        <w:rPr>
          <w:sz w:val="24"/>
          <w:szCs w:val="24"/>
          <w:lang w:val="en-GB"/>
        </w:rPr>
        <w:t xml:space="preserve"> </w:t>
      </w:r>
      <w:proofErr w:type="spellStart"/>
      <w:r w:rsidRPr="0094770F">
        <w:rPr>
          <w:sz w:val="24"/>
          <w:szCs w:val="24"/>
          <w:lang w:val="en-GB"/>
        </w:rPr>
        <w:t>situaci</w:t>
      </w:r>
      <w:proofErr w:type="spellEnd"/>
      <w:r w:rsidRPr="0094770F">
        <w:rPr>
          <w:sz w:val="24"/>
          <w:szCs w:val="24"/>
          <w:lang w:val="en-GB"/>
        </w:rPr>
        <w:t xml:space="preserve"> </w:t>
      </w:r>
      <w:proofErr w:type="spellStart"/>
      <w:r w:rsidRPr="0094770F">
        <w:rPr>
          <w:sz w:val="24"/>
          <w:szCs w:val="24"/>
          <w:lang w:val="en-GB"/>
        </w:rPr>
        <w:t>na</w:t>
      </w:r>
      <w:proofErr w:type="spellEnd"/>
      <w:r w:rsidRPr="0094770F">
        <w:rPr>
          <w:sz w:val="24"/>
          <w:szCs w:val="24"/>
          <w:lang w:val="en-GB"/>
        </w:rPr>
        <w:t xml:space="preserve"> </w:t>
      </w:r>
      <w:proofErr w:type="spellStart"/>
      <w:r w:rsidRPr="0094770F">
        <w:rPr>
          <w:sz w:val="24"/>
          <w:szCs w:val="24"/>
          <w:lang w:val="en-GB"/>
        </w:rPr>
        <w:t>Ukrajině</w:t>
      </w:r>
      <w:proofErr w:type="spellEnd"/>
      <w:r w:rsidR="0094770F" w:rsidRPr="0094770F">
        <w:rPr>
          <w:sz w:val="24"/>
          <w:szCs w:val="24"/>
          <w:lang w:val="en-GB"/>
        </w:rPr>
        <w:t xml:space="preserve"> </w:t>
      </w:r>
      <w:r w:rsidR="0094770F" w:rsidRPr="0094770F">
        <w:rPr>
          <w:sz w:val="24"/>
          <w:szCs w:val="24"/>
          <w:lang w:val="en-GB"/>
        </w:rPr>
        <w:t>(</w:t>
      </w:r>
      <w:proofErr w:type="spellStart"/>
      <w:r w:rsidR="0094770F">
        <w:rPr>
          <w:sz w:val="24"/>
          <w:szCs w:val="24"/>
          <w:lang w:val="en-GB"/>
        </w:rPr>
        <w:t>Úř</w:t>
      </w:r>
      <w:proofErr w:type="spellEnd"/>
      <w:r w:rsidR="0094770F">
        <w:rPr>
          <w:sz w:val="24"/>
          <w:szCs w:val="24"/>
          <w:lang w:val="en-GB"/>
        </w:rPr>
        <w:t xml:space="preserve">. </w:t>
      </w:r>
      <w:proofErr w:type="spellStart"/>
      <w:r w:rsidR="0094770F">
        <w:rPr>
          <w:sz w:val="24"/>
          <w:szCs w:val="24"/>
          <w:lang w:val="en-GB"/>
        </w:rPr>
        <w:t>věst</w:t>
      </w:r>
      <w:proofErr w:type="spellEnd"/>
      <w:r w:rsidR="0094770F">
        <w:rPr>
          <w:sz w:val="24"/>
          <w:szCs w:val="24"/>
          <w:lang w:val="en-GB"/>
        </w:rPr>
        <w:t>.</w:t>
      </w:r>
      <w:r w:rsidR="0094770F" w:rsidRPr="0094770F">
        <w:rPr>
          <w:sz w:val="24"/>
          <w:szCs w:val="24"/>
          <w:lang w:val="en-GB"/>
        </w:rPr>
        <w:t xml:space="preserve"> </w:t>
      </w:r>
      <w:r w:rsidR="0094770F" w:rsidRPr="0094770F">
        <w:rPr>
          <w:sz w:val="24"/>
          <w:szCs w:val="24"/>
          <w:lang w:val="fi-FI"/>
        </w:rPr>
        <w:t xml:space="preserve">L 229, 31.7.2014, </w:t>
      </w:r>
      <w:r w:rsidR="0094770F" w:rsidRPr="0094770F">
        <w:rPr>
          <w:sz w:val="24"/>
          <w:szCs w:val="24"/>
          <w:lang w:val="fi-FI"/>
        </w:rPr>
        <w:t>s</w:t>
      </w:r>
      <w:r w:rsidR="0094770F" w:rsidRPr="0094770F">
        <w:rPr>
          <w:sz w:val="24"/>
          <w:szCs w:val="24"/>
          <w:lang w:val="fi-FI"/>
        </w:rPr>
        <w:t xml:space="preserve">. 1, ELI: </w:t>
      </w:r>
      <w:hyperlink r:id="rId2" w:history="1">
        <w:r w:rsidR="0094770F" w:rsidRPr="0094770F">
          <w:rPr>
            <w:rStyle w:val="Hyperlink"/>
            <w:sz w:val="24"/>
            <w:szCs w:val="24"/>
            <w:lang w:val="fi-FI"/>
          </w:rPr>
          <w:t>http://data.europa.eu/eli/reg/2014/833/oj</w:t>
        </w:r>
      </w:hyperlink>
      <w:r w:rsidR="0094770F" w:rsidRPr="0094770F">
        <w:rPr>
          <w:sz w:val="24"/>
          <w:szCs w:val="24"/>
          <w:lang w:val="fi-FI"/>
        </w:rPr>
        <w:t>)</w:t>
      </w:r>
      <w:r w:rsidRPr="0094770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621C" w14:textId="77777777" w:rsidR="002D0F2A" w:rsidRDefault="002D0F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AECF" w14:textId="77777777" w:rsidR="002D0F2A" w:rsidRDefault="002D0F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9062" w14:textId="77777777" w:rsidR="002D0F2A" w:rsidRDefault="002D0F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EB222AA"/>
    <w:multiLevelType w:val="hybridMultilevel"/>
    <w:tmpl w:val="D9147BE6"/>
    <w:lvl w:ilvl="0" w:tplc="10921E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87C85"/>
    <w:multiLevelType w:val="hybridMultilevel"/>
    <w:tmpl w:val="33C44730"/>
    <w:lvl w:ilvl="0" w:tplc="E898D7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3C77951"/>
    <w:multiLevelType w:val="hybridMultilevel"/>
    <w:tmpl w:val="CF046FD2"/>
    <w:lvl w:ilvl="0" w:tplc="6C9AA714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3145320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8E04CBD2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B30C577E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ED0A204C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55F02826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83DAC498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9F0E47D0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6C0CA480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15" w15:restartNumberingAfterBreak="0">
    <w:nsid w:val="4D3C337A"/>
    <w:multiLevelType w:val="hybridMultilevel"/>
    <w:tmpl w:val="F398A9F8"/>
    <w:lvl w:ilvl="0" w:tplc="37F043AA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B2E018">
      <w:numFmt w:val="bullet"/>
      <w:lvlText w:val="•"/>
      <w:lvlJc w:val="left"/>
      <w:pPr>
        <w:ind w:left="1794" w:hanging="850"/>
      </w:pPr>
      <w:rPr>
        <w:lang w:val="en-US" w:eastAsia="en-US" w:bidi="ar-SA"/>
      </w:rPr>
    </w:lvl>
    <w:lvl w:ilvl="2" w:tplc="7DA2130C">
      <w:numFmt w:val="bullet"/>
      <w:lvlText w:val="•"/>
      <w:lvlJc w:val="left"/>
      <w:pPr>
        <w:ind w:left="2629" w:hanging="850"/>
      </w:pPr>
      <w:rPr>
        <w:lang w:val="en-US" w:eastAsia="en-US" w:bidi="ar-SA"/>
      </w:rPr>
    </w:lvl>
    <w:lvl w:ilvl="3" w:tplc="36C8272A">
      <w:numFmt w:val="bullet"/>
      <w:lvlText w:val="•"/>
      <w:lvlJc w:val="left"/>
      <w:pPr>
        <w:ind w:left="3463" w:hanging="850"/>
      </w:pPr>
      <w:rPr>
        <w:lang w:val="en-US" w:eastAsia="en-US" w:bidi="ar-SA"/>
      </w:rPr>
    </w:lvl>
    <w:lvl w:ilvl="4" w:tplc="E812A7AE">
      <w:numFmt w:val="bullet"/>
      <w:lvlText w:val="•"/>
      <w:lvlJc w:val="left"/>
      <w:pPr>
        <w:ind w:left="4298" w:hanging="850"/>
      </w:pPr>
      <w:rPr>
        <w:lang w:val="en-US" w:eastAsia="en-US" w:bidi="ar-SA"/>
      </w:rPr>
    </w:lvl>
    <w:lvl w:ilvl="5" w:tplc="56568A8A">
      <w:numFmt w:val="bullet"/>
      <w:lvlText w:val="•"/>
      <w:lvlJc w:val="left"/>
      <w:pPr>
        <w:ind w:left="5133" w:hanging="850"/>
      </w:pPr>
      <w:rPr>
        <w:lang w:val="en-US" w:eastAsia="en-US" w:bidi="ar-SA"/>
      </w:rPr>
    </w:lvl>
    <w:lvl w:ilvl="6" w:tplc="5E4CEAA0">
      <w:numFmt w:val="bullet"/>
      <w:lvlText w:val="•"/>
      <w:lvlJc w:val="left"/>
      <w:pPr>
        <w:ind w:left="5967" w:hanging="850"/>
      </w:pPr>
      <w:rPr>
        <w:lang w:val="en-US" w:eastAsia="en-US" w:bidi="ar-SA"/>
      </w:rPr>
    </w:lvl>
    <w:lvl w:ilvl="7" w:tplc="B6CE7526">
      <w:numFmt w:val="bullet"/>
      <w:lvlText w:val="•"/>
      <w:lvlJc w:val="left"/>
      <w:pPr>
        <w:ind w:left="6802" w:hanging="850"/>
      </w:pPr>
      <w:rPr>
        <w:lang w:val="en-US" w:eastAsia="en-US" w:bidi="ar-SA"/>
      </w:rPr>
    </w:lvl>
    <w:lvl w:ilvl="8" w:tplc="C7801CE4">
      <w:numFmt w:val="bullet"/>
      <w:lvlText w:val="•"/>
      <w:lvlJc w:val="left"/>
      <w:pPr>
        <w:ind w:left="7637" w:hanging="850"/>
      </w:pPr>
      <w:rPr>
        <w:lang w:val="en-US" w:eastAsia="en-US" w:bidi="ar-SA"/>
      </w:rPr>
    </w:lvl>
  </w:abstractNum>
  <w:abstractNum w:abstractNumId="16" w15:restartNumberingAfterBreak="0">
    <w:nsid w:val="60B67A4F"/>
    <w:multiLevelType w:val="hybridMultilevel"/>
    <w:tmpl w:val="F996A700"/>
    <w:lvl w:ilvl="0" w:tplc="36DA9622">
      <w:start w:val="1"/>
      <w:numFmt w:val="decimal"/>
      <w:lvlText w:val="(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EE23784">
      <w:numFmt w:val="bullet"/>
      <w:lvlText w:val="•"/>
      <w:lvlJc w:val="left"/>
      <w:pPr>
        <w:ind w:left="1668" w:hanging="708"/>
      </w:pPr>
      <w:rPr>
        <w:lang w:val="en-US" w:eastAsia="en-US" w:bidi="ar-SA"/>
      </w:rPr>
    </w:lvl>
    <w:lvl w:ilvl="2" w:tplc="1FF209DC">
      <w:numFmt w:val="bullet"/>
      <w:lvlText w:val="•"/>
      <w:lvlJc w:val="left"/>
      <w:pPr>
        <w:ind w:left="2517" w:hanging="708"/>
      </w:pPr>
      <w:rPr>
        <w:lang w:val="en-US" w:eastAsia="en-US" w:bidi="ar-SA"/>
      </w:rPr>
    </w:lvl>
    <w:lvl w:ilvl="3" w:tplc="B67E758E">
      <w:numFmt w:val="bullet"/>
      <w:lvlText w:val="•"/>
      <w:lvlJc w:val="left"/>
      <w:pPr>
        <w:ind w:left="3365" w:hanging="708"/>
      </w:pPr>
      <w:rPr>
        <w:lang w:val="en-US" w:eastAsia="en-US" w:bidi="ar-SA"/>
      </w:rPr>
    </w:lvl>
    <w:lvl w:ilvl="4" w:tplc="5D68F63E">
      <w:numFmt w:val="bullet"/>
      <w:lvlText w:val="•"/>
      <w:lvlJc w:val="left"/>
      <w:pPr>
        <w:ind w:left="4214" w:hanging="708"/>
      </w:pPr>
      <w:rPr>
        <w:lang w:val="en-US" w:eastAsia="en-US" w:bidi="ar-SA"/>
      </w:rPr>
    </w:lvl>
    <w:lvl w:ilvl="5" w:tplc="74A2EE68">
      <w:numFmt w:val="bullet"/>
      <w:lvlText w:val="•"/>
      <w:lvlJc w:val="left"/>
      <w:pPr>
        <w:ind w:left="5063" w:hanging="708"/>
      </w:pPr>
      <w:rPr>
        <w:lang w:val="en-US" w:eastAsia="en-US" w:bidi="ar-SA"/>
      </w:rPr>
    </w:lvl>
    <w:lvl w:ilvl="6" w:tplc="A46EC2FA">
      <w:numFmt w:val="bullet"/>
      <w:lvlText w:val="•"/>
      <w:lvlJc w:val="left"/>
      <w:pPr>
        <w:ind w:left="5911" w:hanging="708"/>
      </w:pPr>
      <w:rPr>
        <w:lang w:val="en-US" w:eastAsia="en-US" w:bidi="ar-SA"/>
      </w:rPr>
    </w:lvl>
    <w:lvl w:ilvl="7" w:tplc="97EA5296">
      <w:numFmt w:val="bullet"/>
      <w:lvlText w:val="•"/>
      <w:lvlJc w:val="left"/>
      <w:pPr>
        <w:ind w:left="6760" w:hanging="708"/>
      </w:pPr>
      <w:rPr>
        <w:lang w:val="en-US" w:eastAsia="en-US" w:bidi="ar-SA"/>
      </w:rPr>
    </w:lvl>
    <w:lvl w:ilvl="8" w:tplc="A6DCCDCE">
      <w:numFmt w:val="bullet"/>
      <w:lvlText w:val="•"/>
      <w:lvlJc w:val="left"/>
      <w:pPr>
        <w:ind w:left="7609" w:hanging="708"/>
      </w:pPr>
      <w:rPr>
        <w:lang w:val="en-US" w:eastAsia="en-US" w:bidi="ar-SA"/>
      </w:rPr>
    </w:lvl>
  </w:abstractNum>
  <w:abstractNum w:abstractNumId="17" w15:restartNumberingAfterBreak="0">
    <w:nsid w:val="66D377C0"/>
    <w:multiLevelType w:val="hybridMultilevel"/>
    <w:tmpl w:val="898671CA"/>
    <w:lvl w:ilvl="0" w:tplc="AE8CBED2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1624A84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3CE207A4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80BC32C0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62A8673E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0C903230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D8A0169A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6888C0F8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91E0A57E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num w:numId="1" w16cid:durableId="362291851">
    <w:abstractNumId w:val="9"/>
  </w:num>
  <w:num w:numId="2" w16cid:durableId="258756166">
    <w:abstractNumId w:val="9"/>
  </w:num>
  <w:num w:numId="3" w16cid:durableId="1732342076">
    <w:abstractNumId w:val="7"/>
  </w:num>
  <w:num w:numId="4" w16cid:durableId="1194460748">
    <w:abstractNumId w:val="7"/>
  </w:num>
  <w:num w:numId="5" w16cid:durableId="989674275">
    <w:abstractNumId w:val="6"/>
  </w:num>
  <w:num w:numId="6" w16cid:durableId="778061139">
    <w:abstractNumId w:val="6"/>
  </w:num>
  <w:num w:numId="7" w16cid:durableId="1751341212">
    <w:abstractNumId w:val="5"/>
  </w:num>
  <w:num w:numId="8" w16cid:durableId="857618961">
    <w:abstractNumId w:val="5"/>
  </w:num>
  <w:num w:numId="9" w16cid:durableId="1691450208">
    <w:abstractNumId w:val="4"/>
  </w:num>
  <w:num w:numId="10" w16cid:durableId="1234007040">
    <w:abstractNumId w:val="4"/>
  </w:num>
  <w:num w:numId="11" w16cid:durableId="1854955003">
    <w:abstractNumId w:val="8"/>
  </w:num>
  <w:num w:numId="12" w16cid:durableId="161899134">
    <w:abstractNumId w:val="8"/>
  </w:num>
  <w:num w:numId="13" w16cid:durableId="1090275395">
    <w:abstractNumId w:val="3"/>
  </w:num>
  <w:num w:numId="14" w16cid:durableId="1982346654">
    <w:abstractNumId w:val="3"/>
  </w:num>
  <w:num w:numId="15" w16cid:durableId="231698825">
    <w:abstractNumId w:val="2"/>
  </w:num>
  <w:num w:numId="16" w16cid:durableId="405809039">
    <w:abstractNumId w:val="2"/>
  </w:num>
  <w:num w:numId="17" w16cid:durableId="616527422">
    <w:abstractNumId w:val="1"/>
  </w:num>
  <w:num w:numId="18" w16cid:durableId="1289319356">
    <w:abstractNumId w:val="1"/>
  </w:num>
  <w:num w:numId="19" w16cid:durableId="1196233489">
    <w:abstractNumId w:val="0"/>
  </w:num>
  <w:num w:numId="20" w16cid:durableId="228269519">
    <w:abstractNumId w:val="0"/>
  </w:num>
  <w:num w:numId="21" w16cid:durableId="1784374424">
    <w:abstractNumId w:val="9"/>
  </w:num>
  <w:num w:numId="22" w16cid:durableId="1130784987">
    <w:abstractNumId w:val="7"/>
  </w:num>
  <w:num w:numId="23" w16cid:durableId="592933930">
    <w:abstractNumId w:val="6"/>
  </w:num>
  <w:num w:numId="24" w16cid:durableId="1682316994">
    <w:abstractNumId w:val="5"/>
  </w:num>
  <w:num w:numId="25" w16cid:durableId="2069068159">
    <w:abstractNumId w:val="4"/>
  </w:num>
  <w:num w:numId="26" w16cid:durableId="230044278">
    <w:abstractNumId w:val="8"/>
  </w:num>
  <w:num w:numId="27" w16cid:durableId="1957708418">
    <w:abstractNumId w:val="3"/>
  </w:num>
  <w:num w:numId="28" w16cid:durableId="216672819">
    <w:abstractNumId w:val="2"/>
  </w:num>
  <w:num w:numId="29" w16cid:durableId="106659465">
    <w:abstractNumId w:val="1"/>
  </w:num>
  <w:num w:numId="30" w16cid:durableId="442311256">
    <w:abstractNumId w:val="0"/>
  </w:num>
  <w:num w:numId="31" w16cid:durableId="451479663">
    <w:abstractNumId w:val="9"/>
  </w:num>
  <w:num w:numId="32" w16cid:durableId="1653488617">
    <w:abstractNumId w:val="7"/>
  </w:num>
  <w:num w:numId="33" w16cid:durableId="1642536930">
    <w:abstractNumId w:val="6"/>
  </w:num>
  <w:num w:numId="34" w16cid:durableId="1071198682">
    <w:abstractNumId w:val="5"/>
  </w:num>
  <w:num w:numId="35" w16cid:durableId="1825970923">
    <w:abstractNumId w:val="4"/>
  </w:num>
  <w:num w:numId="36" w16cid:durableId="1298874126">
    <w:abstractNumId w:val="8"/>
  </w:num>
  <w:num w:numId="37" w16cid:durableId="1705255951">
    <w:abstractNumId w:val="3"/>
  </w:num>
  <w:num w:numId="38" w16cid:durableId="1869177242">
    <w:abstractNumId w:val="2"/>
  </w:num>
  <w:num w:numId="39" w16cid:durableId="1484925795">
    <w:abstractNumId w:val="1"/>
  </w:num>
  <w:num w:numId="40" w16cid:durableId="283194879">
    <w:abstractNumId w:val="0"/>
  </w:num>
  <w:num w:numId="41" w16cid:durableId="731079151">
    <w:abstractNumId w:val="10"/>
  </w:num>
  <w:num w:numId="42" w16cid:durableId="1245258870">
    <w:abstractNumId w:val="10"/>
  </w:num>
  <w:num w:numId="43" w16cid:durableId="1334840558">
    <w:abstractNumId w:val="10"/>
  </w:num>
  <w:num w:numId="44" w16cid:durableId="2051608029">
    <w:abstractNumId w:val="13"/>
  </w:num>
  <w:num w:numId="45" w16cid:durableId="177623198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82293625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 w16cid:durableId="75956449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72537426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935549738">
    <w:abstractNumId w:val="11"/>
  </w:num>
  <w:num w:numId="50" w16cid:durableId="9970737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CS"/>
    <w:docVar w:name="dvnumam" w:val="88"/>
    <w:docVar w:name="dvpe" w:val="779.727"/>
    <w:docVar w:name="dvrapporteur" w:val="Zpravodajka: "/>
    <w:docVar w:name="dvstar" w:val="***I"/>
    <w:docVar w:name="dvtitre" w:val="Legislativní usnesení Evropského parlamentu ze dne 19. května 2026 o návrhu nařízení Evropského parlamentu a Rady, kterým se řeší negativní účinky celosvětové nadměrné kapacity na obchod na trhu s ocelí v Unii(COM(2025)0726 – C10-0245/2025 – 2025/0726(COD))"/>
  </w:docVars>
  <w:rsids>
    <w:rsidRoot w:val="00D4562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B51"/>
    <w:rsid w:val="001D7398"/>
    <w:rsid w:val="001E2CB2"/>
    <w:rsid w:val="001F32AE"/>
    <w:rsid w:val="00233C60"/>
    <w:rsid w:val="00247558"/>
    <w:rsid w:val="0026563E"/>
    <w:rsid w:val="002767FF"/>
    <w:rsid w:val="002A79F7"/>
    <w:rsid w:val="002B18FE"/>
    <w:rsid w:val="002B5493"/>
    <w:rsid w:val="002D0F2A"/>
    <w:rsid w:val="00312753"/>
    <w:rsid w:val="00335349"/>
    <w:rsid w:val="00343214"/>
    <w:rsid w:val="00361C00"/>
    <w:rsid w:val="00385447"/>
    <w:rsid w:val="00395FA1"/>
    <w:rsid w:val="003E15D4"/>
    <w:rsid w:val="00411CCE"/>
    <w:rsid w:val="0041666E"/>
    <w:rsid w:val="00421060"/>
    <w:rsid w:val="00471C19"/>
    <w:rsid w:val="004867E3"/>
    <w:rsid w:val="00494A28"/>
    <w:rsid w:val="0049541D"/>
    <w:rsid w:val="004A4AF6"/>
    <w:rsid w:val="004C0004"/>
    <w:rsid w:val="004C5D52"/>
    <w:rsid w:val="004D045D"/>
    <w:rsid w:val="004E765E"/>
    <w:rsid w:val="004F623D"/>
    <w:rsid w:val="0050519A"/>
    <w:rsid w:val="005072A1"/>
    <w:rsid w:val="00514517"/>
    <w:rsid w:val="00545827"/>
    <w:rsid w:val="00560270"/>
    <w:rsid w:val="005806B1"/>
    <w:rsid w:val="005C2568"/>
    <w:rsid w:val="005F1B17"/>
    <w:rsid w:val="006037C0"/>
    <w:rsid w:val="006631B6"/>
    <w:rsid w:val="00680577"/>
    <w:rsid w:val="006937D4"/>
    <w:rsid w:val="006F74FA"/>
    <w:rsid w:val="00731ADD"/>
    <w:rsid w:val="00734777"/>
    <w:rsid w:val="00747932"/>
    <w:rsid w:val="00751A4A"/>
    <w:rsid w:val="00756632"/>
    <w:rsid w:val="00762C74"/>
    <w:rsid w:val="00786EC0"/>
    <w:rsid w:val="00793F4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0C7"/>
    <w:rsid w:val="009255C0"/>
    <w:rsid w:val="00930C23"/>
    <w:rsid w:val="0093193B"/>
    <w:rsid w:val="0094770F"/>
    <w:rsid w:val="009509D8"/>
    <w:rsid w:val="00950B64"/>
    <w:rsid w:val="00981893"/>
    <w:rsid w:val="00A1687D"/>
    <w:rsid w:val="00A43E52"/>
    <w:rsid w:val="00A4678D"/>
    <w:rsid w:val="00A778C7"/>
    <w:rsid w:val="00AA0426"/>
    <w:rsid w:val="00AB441E"/>
    <w:rsid w:val="00AB6293"/>
    <w:rsid w:val="00AC5646"/>
    <w:rsid w:val="00AE0928"/>
    <w:rsid w:val="00AF3B82"/>
    <w:rsid w:val="00B12E95"/>
    <w:rsid w:val="00B22876"/>
    <w:rsid w:val="00B31590"/>
    <w:rsid w:val="00B558F0"/>
    <w:rsid w:val="00BD48FE"/>
    <w:rsid w:val="00BD7BD8"/>
    <w:rsid w:val="00BE6ADC"/>
    <w:rsid w:val="00C05BFE"/>
    <w:rsid w:val="00C23CD4"/>
    <w:rsid w:val="00C61C0C"/>
    <w:rsid w:val="00C941CB"/>
    <w:rsid w:val="00CA1AA5"/>
    <w:rsid w:val="00CC2357"/>
    <w:rsid w:val="00CF071A"/>
    <w:rsid w:val="00D058B8"/>
    <w:rsid w:val="00D30A78"/>
    <w:rsid w:val="00D4562B"/>
    <w:rsid w:val="00D56C11"/>
    <w:rsid w:val="00D834A0"/>
    <w:rsid w:val="00D872DF"/>
    <w:rsid w:val="00D91E21"/>
    <w:rsid w:val="00D96085"/>
    <w:rsid w:val="00DA7FCD"/>
    <w:rsid w:val="00E051B8"/>
    <w:rsid w:val="00E11C35"/>
    <w:rsid w:val="00E251F9"/>
    <w:rsid w:val="00E365E1"/>
    <w:rsid w:val="00E820A4"/>
    <w:rsid w:val="00EA75E4"/>
    <w:rsid w:val="00EB006A"/>
    <w:rsid w:val="00EB4772"/>
    <w:rsid w:val="00ED169E"/>
    <w:rsid w:val="00ED4235"/>
    <w:rsid w:val="00EF3D0F"/>
    <w:rsid w:val="00F04346"/>
    <w:rsid w:val="00F075DC"/>
    <w:rsid w:val="00F149E9"/>
    <w:rsid w:val="00F5134D"/>
    <w:rsid w:val="00F56804"/>
    <w:rsid w:val="00F74202"/>
    <w:rsid w:val="00F87713"/>
    <w:rsid w:val="00FB4360"/>
    <w:rsid w:val="00FC5CE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88B3C"/>
  <w15:chartTrackingRefBased/>
  <w15:docId w15:val="{728B4FBA-4D29-4B66-BB75-B32E60CF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3534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3534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3534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3534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3534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3534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3534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3534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3534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3534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3534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3534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35349"/>
    <w:pPr>
      <w:spacing w:after="120"/>
    </w:pPr>
  </w:style>
  <w:style w:type="paragraph" w:customStyle="1" w:styleId="PageHeading">
    <w:name w:val="PageHeading"/>
    <w:basedOn w:val="Normal"/>
    <w:qFormat/>
    <w:rsid w:val="003353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35349"/>
    <w:rPr>
      <w:b/>
    </w:rPr>
  </w:style>
  <w:style w:type="paragraph" w:customStyle="1" w:styleId="NormalBold12a">
    <w:name w:val="NormalBold12a"/>
    <w:basedOn w:val="Normal"/>
    <w:rsid w:val="00335349"/>
    <w:pPr>
      <w:spacing w:after="240"/>
    </w:pPr>
    <w:rPr>
      <w:b/>
    </w:rPr>
  </w:style>
  <w:style w:type="paragraph" w:customStyle="1" w:styleId="AmJustText">
    <w:name w:val="AmJustText"/>
    <w:basedOn w:val="Normal"/>
    <w:rsid w:val="0033534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3534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35349"/>
    <w:pPr>
      <w:spacing w:after="480"/>
      <w:ind w:left="1417"/>
    </w:pPr>
  </w:style>
  <w:style w:type="paragraph" w:customStyle="1" w:styleId="CoverNormal">
    <w:name w:val="CoverNormal"/>
    <w:basedOn w:val="Normal"/>
    <w:rsid w:val="00335349"/>
    <w:pPr>
      <w:ind w:left="1418"/>
    </w:pPr>
  </w:style>
  <w:style w:type="paragraph" w:customStyle="1" w:styleId="AmCrossRef">
    <w:name w:val="AmCrossRef"/>
    <w:basedOn w:val="Normal"/>
    <w:rsid w:val="0033534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3534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3534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3534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3534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35349"/>
    <w:pPr>
      <w:spacing w:before="240" w:after="1200"/>
    </w:pPr>
  </w:style>
  <w:style w:type="paragraph" w:styleId="Header">
    <w:name w:val="header"/>
    <w:basedOn w:val="Normal"/>
    <w:link w:val="HeaderChar"/>
    <w:rsid w:val="00335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5349"/>
    <w:rPr>
      <w:sz w:val="24"/>
      <w:lang w:val="cs-CZ"/>
    </w:rPr>
  </w:style>
  <w:style w:type="paragraph" w:customStyle="1" w:styleId="AmOrLang">
    <w:name w:val="AmOrLang"/>
    <w:basedOn w:val="Normal"/>
    <w:rsid w:val="0033534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3534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353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35349"/>
    <w:pPr>
      <w:spacing w:before="240"/>
    </w:pPr>
    <w:rPr>
      <w:b/>
    </w:rPr>
  </w:style>
  <w:style w:type="paragraph" w:customStyle="1" w:styleId="EPBody">
    <w:name w:val="EPBody"/>
    <w:basedOn w:val="Normal"/>
    <w:rsid w:val="0033534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353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5349"/>
    <w:pPr>
      <w:spacing w:before="480" w:after="240"/>
    </w:pPr>
  </w:style>
  <w:style w:type="paragraph" w:customStyle="1" w:styleId="Lgendesigne">
    <w:name w:val="Légende signe"/>
    <w:basedOn w:val="Normal"/>
    <w:rsid w:val="0033534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3534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35349"/>
    <w:rPr>
      <w:sz w:val="18"/>
    </w:rPr>
  </w:style>
  <w:style w:type="paragraph" w:customStyle="1" w:styleId="Default">
    <w:name w:val="Default"/>
    <w:rsid w:val="00335349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335349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33534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35349"/>
    <w:rPr>
      <w:b/>
      <w:sz w:val="24"/>
      <w:lang w:val="cs-CZ"/>
    </w:rPr>
  </w:style>
  <w:style w:type="paragraph" w:customStyle="1" w:styleId="ColumnHeading">
    <w:name w:val="ColumnHeading"/>
    <w:basedOn w:val="Normal"/>
    <w:rsid w:val="003353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353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35349"/>
    <w:pPr>
      <w:jc w:val="right"/>
    </w:pPr>
    <w:rPr>
      <w:lang w:val="cs-CZ"/>
    </w:rPr>
  </w:style>
  <w:style w:type="paragraph" w:styleId="Footer">
    <w:name w:val="footer"/>
    <w:basedOn w:val="Normal"/>
    <w:link w:val="FooterChar"/>
    <w:rsid w:val="00335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5349"/>
    <w:rPr>
      <w:sz w:val="24"/>
      <w:lang w:val="cs-CZ"/>
    </w:rPr>
  </w:style>
  <w:style w:type="character" w:styleId="Hyperlink">
    <w:name w:val="Hyperlink"/>
    <w:basedOn w:val="DefaultParagraphFont"/>
    <w:unhideWhenUsed/>
    <w:rsid w:val="00335349"/>
    <w:rPr>
      <w:color w:val="467886"/>
      <w:u w:val="single"/>
    </w:rPr>
  </w:style>
  <w:style w:type="paragraph" w:styleId="Revision">
    <w:name w:val="Revision"/>
    <w:hidden/>
    <w:uiPriority w:val="99"/>
    <w:semiHidden/>
    <w:rsid w:val="00335349"/>
    <w:rPr>
      <w:sz w:val="24"/>
      <w:lang w:val="cs-CZ"/>
    </w:rPr>
  </w:style>
  <w:style w:type="character" w:styleId="CommentReference">
    <w:name w:val="annotation reference"/>
    <w:basedOn w:val="DefaultParagraphFont"/>
    <w:rsid w:val="003353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53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534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5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5349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3534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35349"/>
    <w:rPr>
      <w:i/>
      <w:iCs/>
    </w:rPr>
  </w:style>
  <w:style w:type="paragraph" w:styleId="ListParagraph">
    <w:name w:val="List Paragraph"/>
    <w:basedOn w:val="Normal"/>
    <w:uiPriority w:val="1"/>
    <w:qFormat/>
    <w:rsid w:val="00335349"/>
    <w:pPr>
      <w:ind w:left="720"/>
      <w:contextualSpacing/>
    </w:pPr>
    <w:rPr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335349"/>
    <w:pPr>
      <w:autoSpaceDE w:val="0"/>
      <w:autoSpaceDN w:val="0"/>
      <w:spacing w:before="12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35349"/>
    <w:rPr>
      <w:sz w:val="24"/>
      <w:szCs w:val="24"/>
      <w:lang w:val="en-US" w:eastAsia="en-US"/>
    </w:rPr>
  </w:style>
  <w:style w:type="paragraph" w:customStyle="1" w:styleId="Normal12a">
    <w:name w:val="Normal12a"/>
    <w:basedOn w:val="Normal"/>
    <w:rsid w:val="00335349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335349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35349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rsid w:val="00335349"/>
    <w:pPr>
      <w:spacing w:after="480"/>
    </w:pPr>
    <w:rPr>
      <w:szCs w:val="24"/>
      <w:lang w:val="en-GB"/>
    </w:rPr>
  </w:style>
  <w:style w:type="paragraph" w:customStyle="1" w:styleId="NormalBoldCenter">
    <w:name w:val="NormalBoldCenter"/>
    <w:basedOn w:val="Normal"/>
    <w:rsid w:val="00335349"/>
    <w:pPr>
      <w:jc w:val="center"/>
    </w:pPr>
    <w:rPr>
      <w:b/>
      <w:szCs w:val="24"/>
      <w:lang w:val="en-GB"/>
    </w:rPr>
  </w:style>
  <w:style w:type="paragraph" w:customStyle="1" w:styleId="Footprint12b">
    <w:name w:val="Footprint12b"/>
    <w:basedOn w:val="Normal"/>
    <w:rsid w:val="00335349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335349"/>
    <w:rPr>
      <w:szCs w:val="24"/>
      <w:lang w:val="en-GB"/>
    </w:rPr>
  </w:style>
  <w:style w:type="paragraph" w:customStyle="1" w:styleId="RollCallSymbols14pt">
    <w:name w:val="RollCallSymbols14pt"/>
    <w:basedOn w:val="Normal"/>
    <w:rsid w:val="0033534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3534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3534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35349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FootnoteTextForceStyle">
    <w:name w:val="Footnote Text ForceStyle"/>
    <w:rsid w:val="002D0F2A"/>
    <w:pPr>
      <w:keepLines/>
      <w:spacing w:line="240" w:lineRule="exact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2D0F2A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2D0F2A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character" w:customStyle="1" w:styleId="Hyperlink1">
    <w:name w:val="Hyperlink1"/>
    <w:basedOn w:val="DefaultParagraphFont"/>
    <w:rsid w:val="002D0F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2026-07-07T13:57:00Z</dcterms:created>
  <dcterms:modified xsi:type="dcterms:W3CDTF">2026-07-07T13:57:00Z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