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2839" w14:paraId="7256EE35" w14:textId="77777777" w:rsidTr="0010095E">
        <w:trPr>
          <w:trHeight w:hRule="exact" w:val="1418"/>
        </w:trPr>
        <w:tc>
          <w:tcPr>
            <w:tcW w:w="6804" w:type="dxa"/>
            <w:shd w:val="clear" w:color="auto" w:fill="auto"/>
            <w:vAlign w:val="center"/>
          </w:tcPr>
          <w:p w14:paraId="37A01728" w14:textId="77777777" w:rsidR="00751A4A" w:rsidRPr="009D2839" w:rsidRDefault="00F733B6" w:rsidP="0010095E">
            <w:pPr>
              <w:pStyle w:val="EPName"/>
            </w:pPr>
            <w:r w:rsidRPr="009D2839">
              <w:t>Europa-Parlamentet</w:t>
            </w:r>
          </w:p>
          <w:p w14:paraId="13A52D61" w14:textId="77777777" w:rsidR="00751A4A" w:rsidRPr="009D2839" w:rsidRDefault="005F1B17" w:rsidP="005F1B17">
            <w:pPr>
              <w:pStyle w:val="EPTerm"/>
              <w:rPr>
                <w:rStyle w:val="HideTWBExt"/>
                <w:noProof w:val="0"/>
                <w:vanish w:val="0"/>
                <w:color w:val="auto"/>
              </w:rPr>
            </w:pPr>
            <w:r w:rsidRPr="009D2839">
              <w:t>2024</w:t>
            </w:r>
            <w:r w:rsidR="00817416" w:rsidRPr="009D2839">
              <w:t>-202</w:t>
            </w:r>
            <w:r w:rsidRPr="009D2839">
              <w:t>9</w:t>
            </w:r>
          </w:p>
        </w:tc>
        <w:tc>
          <w:tcPr>
            <w:tcW w:w="2268" w:type="dxa"/>
            <w:shd w:val="clear" w:color="auto" w:fill="auto"/>
          </w:tcPr>
          <w:p w14:paraId="42CA9F88" w14:textId="77777777" w:rsidR="00751A4A" w:rsidRPr="009D2839" w:rsidRDefault="00187494" w:rsidP="0010095E">
            <w:pPr>
              <w:pStyle w:val="EPLogo"/>
            </w:pPr>
            <w:r w:rsidRPr="009D2839">
              <w:rPr>
                <w:noProof/>
                <w:lang w:eastAsia="ja-JP"/>
              </w:rPr>
              <w:drawing>
                <wp:inline distT="0" distB="0" distL="0" distR="0" wp14:anchorId="26DAA955" wp14:editId="2D9EF4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FD643D" w14:textId="77777777" w:rsidR="00D058B8" w:rsidRPr="009D2839" w:rsidRDefault="00D058B8" w:rsidP="004C5D52">
      <w:pPr>
        <w:pStyle w:val="LineTop"/>
      </w:pPr>
    </w:p>
    <w:p w14:paraId="12FB2ABD" w14:textId="77777777" w:rsidR="00680577" w:rsidRPr="009D2839" w:rsidRDefault="00F733B6" w:rsidP="00680577">
      <w:pPr>
        <w:pStyle w:val="EPBodyTA1"/>
      </w:pPr>
      <w:r w:rsidRPr="009D2839">
        <w:t>VEDTAGNE TEKSTER</w:t>
      </w:r>
    </w:p>
    <w:p w14:paraId="48A35F70" w14:textId="77777777" w:rsidR="00D058B8" w:rsidRPr="009D2839" w:rsidRDefault="00D058B8" w:rsidP="00D058B8">
      <w:pPr>
        <w:pStyle w:val="LineBottom"/>
      </w:pPr>
    </w:p>
    <w:p w14:paraId="3E91302B" w14:textId="178A6D97" w:rsidR="00F733B6" w:rsidRPr="009D2839" w:rsidRDefault="00F733B6" w:rsidP="00F733B6">
      <w:pPr>
        <w:pStyle w:val="ATHeading1"/>
      </w:pPr>
      <w:bookmarkStart w:id="0" w:name="TANumber"/>
      <w:r w:rsidRPr="009D2839">
        <w:t>P10_TA(2026)0</w:t>
      </w:r>
      <w:bookmarkEnd w:id="0"/>
      <w:r w:rsidR="005453B5">
        <w:t>170</w:t>
      </w:r>
    </w:p>
    <w:p w14:paraId="62F1AB59" w14:textId="476CBC7E" w:rsidR="00F733B6" w:rsidRPr="009D2839" w:rsidRDefault="0093654A" w:rsidP="0093654A">
      <w:pPr>
        <w:pStyle w:val="ATHeading2"/>
      </w:pPr>
      <w:r w:rsidRPr="007B0B92">
        <w:rPr>
          <w:bCs/>
        </w:rPr>
        <w:t>Negative handelsrelaterede virkninger af den globale overkapacitet for Unionens</w:t>
      </w:r>
      <w:r>
        <w:rPr>
          <w:bCs/>
        </w:rPr>
        <w:t xml:space="preserve"> </w:t>
      </w:r>
      <w:r w:rsidRPr="007B0B92">
        <w:rPr>
          <w:bCs/>
        </w:rPr>
        <w:t>st</w:t>
      </w:r>
      <w:r w:rsidRPr="007B0B92">
        <w:rPr>
          <w:rFonts w:hint="eastAsia"/>
          <w:bCs/>
        </w:rPr>
        <w:t>å</w:t>
      </w:r>
      <w:r w:rsidRPr="007B0B92">
        <w:rPr>
          <w:bCs/>
        </w:rPr>
        <w:t>lmarked</w:t>
      </w:r>
    </w:p>
    <w:p w14:paraId="6C476B57" w14:textId="77777777" w:rsidR="00F733B6" w:rsidRPr="009D2839" w:rsidRDefault="00F733B6" w:rsidP="00F733B6">
      <w:pPr>
        <w:rPr>
          <w:i/>
          <w:vanish/>
        </w:rPr>
      </w:pPr>
      <w:r w:rsidRPr="009D2839">
        <w:rPr>
          <w:i/>
        </w:rPr>
        <w:fldChar w:fldCharType="begin"/>
      </w:r>
      <w:r w:rsidRPr="009D2839">
        <w:rPr>
          <w:i/>
        </w:rPr>
        <w:instrText xml:space="preserve"> TC"(</w:instrText>
      </w:r>
      <w:bookmarkStart w:id="1" w:name="DocNumber"/>
      <w:r w:rsidRPr="009D2839">
        <w:rPr>
          <w:i/>
        </w:rPr>
        <w:instrText>A10-0012/2026</w:instrText>
      </w:r>
      <w:bookmarkEnd w:id="1"/>
      <w:r w:rsidRPr="009D2839">
        <w:rPr>
          <w:i/>
        </w:rPr>
        <w:instrText xml:space="preserve"> - Ordfører: Karin Karlsbro)"\l3 \n&gt; \* MERGEFORMAT </w:instrText>
      </w:r>
      <w:r w:rsidRPr="009D2839">
        <w:rPr>
          <w:i/>
        </w:rPr>
        <w:fldChar w:fldCharType="end"/>
      </w:r>
    </w:p>
    <w:p w14:paraId="0AEDEC09" w14:textId="77777777" w:rsidR="00F733B6" w:rsidRPr="009D2839" w:rsidRDefault="00F733B6" w:rsidP="00F733B6">
      <w:pPr>
        <w:rPr>
          <w:vanish/>
        </w:rPr>
      </w:pPr>
      <w:bookmarkStart w:id="2" w:name="Commission"/>
      <w:r w:rsidRPr="009D2839">
        <w:rPr>
          <w:vanish/>
        </w:rPr>
        <w:t>Udvalget om International Handel</w:t>
      </w:r>
      <w:bookmarkEnd w:id="2"/>
    </w:p>
    <w:p w14:paraId="6484B975" w14:textId="77777777" w:rsidR="00F733B6" w:rsidRPr="009D2839" w:rsidRDefault="00F733B6" w:rsidP="00F733B6">
      <w:pPr>
        <w:rPr>
          <w:vanish/>
        </w:rPr>
      </w:pPr>
      <w:bookmarkStart w:id="3" w:name="PE"/>
      <w:r w:rsidRPr="009D2839">
        <w:rPr>
          <w:vanish/>
        </w:rPr>
        <w:t>PE779.727</w:t>
      </w:r>
      <w:bookmarkEnd w:id="3"/>
    </w:p>
    <w:p w14:paraId="52CBB371" w14:textId="2CB9BECA" w:rsidR="00F733B6" w:rsidRPr="009D2839" w:rsidRDefault="00F733B6" w:rsidP="00F733B6">
      <w:pPr>
        <w:pStyle w:val="ATHeading3"/>
      </w:pPr>
      <w:bookmarkStart w:id="4" w:name="Sujet"/>
      <w:r w:rsidRPr="009D2839">
        <w:t xml:space="preserve">Europa-Parlamentets lovgivningsmæssige beslutning af </w:t>
      </w:r>
      <w:r w:rsidR="00254CB7">
        <w:t>19</w:t>
      </w:r>
      <w:r w:rsidRPr="009D2839">
        <w:t>.</w:t>
      </w:r>
      <w:r w:rsidR="0093654A">
        <w:t xml:space="preserve"> maj</w:t>
      </w:r>
      <w:r w:rsidRPr="009D2839">
        <w:t xml:space="preserve"> 2026 om forslag til Europa-Parlamentets og Rådets forordning om håndtering af de negative handelsrelaterede virkninger af den globale overkapacitet for Unionens stålmarked</w:t>
      </w:r>
      <w:bookmarkEnd w:id="4"/>
      <w:r w:rsidRPr="009D2839">
        <w:t xml:space="preserve"> </w:t>
      </w:r>
      <w:bookmarkStart w:id="5" w:name="References"/>
      <w:r w:rsidRPr="009D2839">
        <w:t>(</w:t>
      </w:r>
      <w:proofErr w:type="gramStart"/>
      <w:r w:rsidRPr="009D2839">
        <w:t>COM(</w:t>
      </w:r>
      <w:proofErr w:type="gramEnd"/>
      <w:r w:rsidRPr="009D2839">
        <w:t>2025)0726 – C10-0245/2025 – 2025/0726(COD))</w:t>
      </w:r>
      <w:bookmarkEnd w:id="5"/>
    </w:p>
    <w:p w14:paraId="0A9D7C29" w14:textId="77777777" w:rsidR="00DC544B" w:rsidRPr="009D2839" w:rsidRDefault="00DC544B" w:rsidP="00DC544B">
      <w:pPr>
        <w:pStyle w:val="NormalBold"/>
      </w:pPr>
      <w:r w:rsidRPr="009D2839">
        <w:t>(Almindelig lovgivningsprocedure: førstebehandling)</w:t>
      </w:r>
    </w:p>
    <w:p w14:paraId="56B0E079" w14:textId="77777777" w:rsidR="00DC544B" w:rsidRPr="009D2839" w:rsidRDefault="00DC544B" w:rsidP="00DC544B">
      <w:pPr>
        <w:pStyle w:val="EPComma"/>
      </w:pPr>
      <w:r w:rsidRPr="009D2839">
        <w:rPr>
          <w:i/>
        </w:rPr>
        <w:t>Europa-Parlamentet,</w:t>
      </w:r>
    </w:p>
    <w:p w14:paraId="5AA068E8" w14:textId="77777777" w:rsidR="00DC544B" w:rsidRPr="009D2839" w:rsidRDefault="00DC544B" w:rsidP="00DC544B">
      <w:pPr>
        <w:pStyle w:val="NormalHanging12a"/>
      </w:pPr>
      <w:r w:rsidRPr="009D2839">
        <w:t>–</w:t>
      </w:r>
      <w:r w:rsidRPr="009D2839">
        <w:tab/>
        <w:t>der henviser til Kommissionens forslag til Europa-Parlamentet og Rådet (</w:t>
      </w:r>
      <w:proofErr w:type="gramStart"/>
      <w:r w:rsidRPr="009D2839">
        <w:t>COM(</w:t>
      </w:r>
      <w:proofErr w:type="gramEnd"/>
      <w:r w:rsidRPr="009D2839">
        <w:t>2025)0726),</w:t>
      </w:r>
    </w:p>
    <w:p w14:paraId="56E57C26" w14:textId="77777777" w:rsidR="00DC544B" w:rsidRPr="009D2839" w:rsidRDefault="00DC544B" w:rsidP="00DC544B">
      <w:pPr>
        <w:pStyle w:val="NormalHanging12a"/>
      </w:pPr>
      <w:r w:rsidRPr="009D2839">
        <w:t>–</w:t>
      </w:r>
      <w:r w:rsidRPr="009D2839">
        <w:tab/>
        <w:t>der henviser til artikel 294, stk. 2, og artikel 207, stk. 2, i traktaten om Den Europæiske Unions funktionsmåde, på grundlag af hvilke Kommissionen har forelagt forslaget for Parlamentet (C10</w:t>
      </w:r>
      <w:r w:rsidRPr="009D2839">
        <w:noBreakHyphen/>
        <w:t>0245/2025),</w:t>
      </w:r>
    </w:p>
    <w:p w14:paraId="3CD89EEA" w14:textId="77777777" w:rsidR="00DC544B" w:rsidRDefault="00DC544B" w:rsidP="00DC544B">
      <w:pPr>
        <w:pStyle w:val="NormalHanging12a"/>
      </w:pPr>
      <w:r w:rsidRPr="009D2839">
        <w:t>–</w:t>
      </w:r>
      <w:r w:rsidRPr="009D2839">
        <w:tab/>
        <w:t>der henviser til artikel 294, stk. 3, i traktaten om Den Europæiske Unions funktionsmåde,</w:t>
      </w:r>
    </w:p>
    <w:p w14:paraId="711234D6" w14:textId="66C2B6C4" w:rsidR="006F193B" w:rsidRPr="009D2839" w:rsidRDefault="006F193B" w:rsidP="00DC544B">
      <w:pPr>
        <w:pStyle w:val="NormalHanging12a"/>
      </w:pPr>
      <w:r w:rsidRPr="00C424A5">
        <w:t>–</w:t>
      </w:r>
      <w:r w:rsidRPr="00C424A5">
        <w:tab/>
      </w:r>
      <w:r w:rsidRPr="00110487">
        <w:rPr>
          <w:noProof/>
          <w:szCs w:val="24"/>
        </w:rPr>
        <w:t xml:space="preserve">der henviser til, at det kompetente udvalg har godkendt den foreløbige aftale i henhold til forretningsordenens artikel </w:t>
      </w:r>
      <w:r>
        <w:rPr>
          <w:noProof/>
          <w:szCs w:val="24"/>
        </w:rPr>
        <w:t>75</w:t>
      </w:r>
      <w:r w:rsidRPr="00110487">
        <w:rPr>
          <w:noProof/>
          <w:szCs w:val="24"/>
        </w:rPr>
        <w:t xml:space="preserve">, stk. 4, og at Rådets repræsentant ved skrivelse af </w:t>
      </w:r>
      <w:r>
        <w:rPr>
          <w:noProof/>
          <w:szCs w:val="24"/>
        </w:rPr>
        <w:t>23. april</w:t>
      </w:r>
      <w:r w:rsidRPr="00110487">
        <w:rPr>
          <w:noProof/>
          <w:szCs w:val="24"/>
        </w:rPr>
        <w:t xml:space="preserve"> 20</w:t>
      </w:r>
      <w:r>
        <w:rPr>
          <w:noProof/>
          <w:szCs w:val="24"/>
        </w:rPr>
        <w:t>26</w:t>
      </w:r>
      <w:r w:rsidRPr="00110487">
        <w:rPr>
          <w:noProof/>
          <w:szCs w:val="24"/>
        </w:rPr>
        <w:t xml:space="preserve"> forpligtede sig til at godkende Europa-Parlamentets holdning, jf. artikel 294, stk. 4, i traktaten om Den Europæiske Unions funktionsmåde</w:t>
      </w:r>
      <w:r w:rsidRPr="007A23CB">
        <w:t xml:space="preserve">, </w:t>
      </w:r>
    </w:p>
    <w:p w14:paraId="5D553A11" w14:textId="77777777" w:rsidR="00DC544B" w:rsidRPr="009D2839" w:rsidRDefault="00DC544B" w:rsidP="00DC544B">
      <w:pPr>
        <w:pStyle w:val="NormalHanging12a"/>
      </w:pPr>
      <w:r w:rsidRPr="009D2839">
        <w:t>–</w:t>
      </w:r>
      <w:r w:rsidRPr="009D2839">
        <w:tab/>
        <w:t>der henviser til forretningsordenens artikel 60,</w:t>
      </w:r>
    </w:p>
    <w:p w14:paraId="29A18DD2" w14:textId="77777777" w:rsidR="00DC544B" w:rsidRPr="009D2839" w:rsidRDefault="00DC544B" w:rsidP="00DC544B">
      <w:pPr>
        <w:pStyle w:val="NormalHanging12a"/>
      </w:pPr>
      <w:r w:rsidRPr="009D2839">
        <w:t>–</w:t>
      </w:r>
      <w:r w:rsidRPr="009D2839">
        <w:tab/>
        <w:t>der henviser til udtalelse fra Udvalget om Industri, Forskning og Energi,</w:t>
      </w:r>
    </w:p>
    <w:p w14:paraId="35CA7D7E" w14:textId="77777777" w:rsidR="00DC544B" w:rsidRPr="009D2839" w:rsidRDefault="00DC544B" w:rsidP="00DC544B">
      <w:pPr>
        <w:pStyle w:val="NormalHanging12a"/>
      </w:pPr>
      <w:r w:rsidRPr="009D2839">
        <w:t>–</w:t>
      </w:r>
      <w:r w:rsidRPr="009D2839">
        <w:tab/>
        <w:t>der henviser til betænkning fra Udvalget om International Handel (A10‑0012/2026),</w:t>
      </w:r>
    </w:p>
    <w:p w14:paraId="343D1A33" w14:textId="74E7F266" w:rsidR="00DC544B" w:rsidRDefault="00DC544B" w:rsidP="00DC544B">
      <w:pPr>
        <w:pStyle w:val="NormalHanging12a"/>
      </w:pPr>
      <w:r w:rsidRPr="009D2839">
        <w:t>1.</w:t>
      </w:r>
      <w:r w:rsidRPr="009D2839">
        <w:tab/>
        <w:t>vedtager nedenstående holdning ved førstebehandling;</w:t>
      </w:r>
    </w:p>
    <w:p w14:paraId="7F1D5BE2" w14:textId="50467401" w:rsidR="00123F6C" w:rsidRPr="009D2839" w:rsidRDefault="00123F6C" w:rsidP="00DC544B">
      <w:pPr>
        <w:pStyle w:val="NormalHanging12a"/>
      </w:pPr>
      <w:r>
        <w:t>2.</w:t>
      </w:r>
      <w:r>
        <w:tab/>
      </w:r>
      <w:r w:rsidRPr="00123F6C">
        <w:t xml:space="preserve">godkender Europa-Parlamentets, Rådets og Europa-Kommissionens fælles erklæring, der er vedføjet som bilag til denne beslutning, og som vil blive offentliggjort i C-udgaven af </w:t>
      </w:r>
      <w:r w:rsidRPr="007B0B92">
        <w:rPr>
          <w:i/>
          <w:iCs/>
        </w:rPr>
        <w:t>Den Europæiske Unions Tidende</w:t>
      </w:r>
      <w:r w:rsidRPr="00123F6C">
        <w:t>;</w:t>
      </w:r>
    </w:p>
    <w:p w14:paraId="2722DEAF" w14:textId="730A61DD" w:rsidR="00DC544B" w:rsidRPr="009D2839" w:rsidRDefault="00123F6C" w:rsidP="00DC544B">
      <w:pPr>
        <w:pStyle w:val="NormalHanging12a"/>
      </w:pPr>
      <w:r>
        <w:t>3</w:t>
      </w:r>
      <w:r w:rsidR="00DC544B" w:rsidRPr="009D2839">
        <w:t>.</w:t>
      </w:r>
      <w:r w:rsidR="00DC544B" w:rsidRPr="009D2839">
        <w:tab/>
        <w:t>anmoder om fornyet forelæggelse, hvis Kommissionen erstatter, i væsentlig grad ændrer eller agter i væsentlig grad at ændre sit forslag;</w:t>
      </w:r>
    </w:p>
    <w:p w14:paraId="7FC5B656" w14:textId="705950D8" w:rsidR="00DC544B" w:rsidRPr="009D2839" w:rsidRDefault="00123F6C" w:rsidP="00DC544B">
      <w:pPr>
        <w:pStyle w:val="NormalHanging12a"/>
      </w:pPr>
      <w:r>
        <w:lastRenderedPageBreak/>
        <w:t>4</w:t>
      </w:r>
      <w:r w:rsidR="00DC544B" w:rsidRPr="009D2839">
        <w:t>.</w:t>
      </w:r>
      <w:r w:rsidR="00DC544B" w:rsidRPr="009D2839">
        <w:tab/>
        <w:t>pålægger sin formand at sende Parlamentets holdning til Rådet og Kommissionen samt til de nationale parlamenter.</w:t>
      </w:r>
    </w:p>
    <w:p w14:paraId="62CA0EBB" w14:textId="77777777" w:rsidR="00B365E1" w:rsidRDefault="00B365E1" w:rsidP="00DC544B">
      <w:pPr>
        <w:widowControl/>
        <w:sectPr w:rsidR="00B365E1" w:rsidSect="009D28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B97305" w14:textId="512466DD" w:rsidR="00B365E1" w:rsidRPr="00606380" w:rsidRDefault="00B365E1" w:rsidP="00AA368B">
      <w:pPr>
        <w:autoSpaceDE w:val="0"/>
        <w:autoSpaceDN w:val="0"/>
        <w:adjustRightInd w:val="0"/>
        <w:spacing w:after="240"/>
        <w:ind w:left="720" w:hanging="720"/>
        <w:rPr>
          <w:rFonts w:eastAsia="Calibri"/>
          <w:b/>
          <w:bCs/>
          <w:color w:val="000000"/>
          <w:szCs w:val="24"/>
        </w:rPr>
      </w:pPr>
      <w:r w:rsidRPr="00606380">
        <w:rPr>
          <w:rFonts w:eastAsia="Calibri"/>
          <w:b/>
          <w:bCs/>
          <w:color w:val="000000"/>
          <w:szCs w:val="24"/>
        </w:rPr>
        <w:lastRenderedPageBreak/>
        <w:t>P10_TC1-</w:t>
      </w:r>
      <w:proofErr w:type="gramStart"/>
      <w:r w:rsidRPr="00606380">
        <w:rPr>
          <w:rFonts w:eastAsia="Calibri"/>
          <w:b/>
          <w:bCs/>
          <w:color w:val="000000"/>
          <w:szCs w:val="24"/>
        </w:rPr>
        <w:t>COD(</w:t>
      </w:r>
      <w:proofErr w:type="gramEnd"/>
      <w:r w:rsidRPr="00606380">
        <w:rPr>
          <w:rFonts w:eastAsia="Calibri"/>
          <w:b/>
          <w:bCs/>
          <w:color w:val="000000"/>
          <w:szCs w:val="24"/>
        </w:rPr>
        <w:t>202</w:t>
      </w:r>
      <w:r w:rsidR="00484F7F">
        <w:rPr>
          <w:rFonts w:eastAsia="Calibri"/>
          <w:b/>
          <w:bCs/>
          <w:color w:val="000000"/>
          <w:szCs w:val="24"/>
        </w:rPr>
        <w:t>5</w:t>
      </w:r>
      <w:r w:rsidRPr="00606380">
        <w:rPr>
          <w:rFonts w:eastAsia="Calibri"/>
          <w:b/>
          <w:bCs/>
          <w:color w:val="000000"/>
          <w:szCs w:val="24"/>
        </w:rPr>
        <w:t>)0</w:t>
      </w:r>
      <w:r w:rsidR="00484F7F">
        <w:rPr>
          <w:rFonts w:eastAsia="Calibri"/>
          <w:b/>
          <w:bCs/>
          <w:color w:val="000000"/>
          <w:szCs w:val="24"/>
        </w:rPr>
        <w:t>726</w:t>
      </w:r>
    </w:p>
    <w:p w14:paraId="487E6527" w14:textId="36EDD874" w:rsidR="00B365E1" w:rsidRPr="00985954" w:rsidRDefault="00B365E1" w:rsidP="00AA368B">
      <w:pPr>
        <w:pStyle w:val="NormalHanging12a"/>
        <w:ind w:left="0" w:firstLine="0"/>
        <w:rPr>
          <w:rFonts w:eastAsia="Calibri"/>
          <w:b/>
        </w:rPr>
      </w:pPr>
      <w:r w:rsidRPr="00115245">
        <w:rPr>
          <w:b/>
        </w:rPr>
        <w:t xml:space="preserve">Europa-Parlamentets holdning fastlagt ved </w:t>
      </w:r>
      <w:r w:rsidRPr="00511370">
        <w:rPr>
          <w:b/>
        </w:rPr>
        <w:t xml:space="preserve">førstebehandlingen den </w:t>
      </w:r>
      <w:r w:rsidR="00484F7F">
        <w:rPr>
          <w:b/>
        </w:rPr>
        <w:t>19. maj 2026</w:t>
      </w:r>
      <w:r w:rsidRPr="00511370">
        <w:rPr>
          <w:b/>
        </w:rPr>
        <w:t xml:space="preserve"> med henblik på vedtagelse af Europa-Parlamentets og Rådets </w:t>
      </w:r>
      <w:r w:rsidRPr="00511370">
        <w:rPr>
          <w:rFonts w:eastAsia="Calibri"/>
          <w:b/>
        </w:rPr>
        <w:t xml:space="preserve">forordning </w:t>
      </w:r>
      <w:r w:rsidRPr="00511370">
        <w:rPr>
          <w:b/>
        </w:rPr>
        <w:t xml:space="preserve">(EU) </w:t>
      </w:r>
      <w:r>
        <w:rPr>
          <w:rFonts w:eastAsia="Calibri"/>
          <w:b/>
        </w:rPr>
        <w:t>2026</w:t>
      </w:r>
      <w:r w:rsidRPr="00511370">
        <w:rPr>
          <w:rFonts w:eastAsia="Calibri"/>
          <w:b/>
        </w:rPr>
        <w:t xml:space="preserve">/… om </w:t>
      </w:r>
      <w:r w:rsidR="00484F7F" w:rsidRPr="00123F6C">
        <w:rPr>
          <w:b/>
          <w:color w:val="000000"/>
          <w:szCs w:val="24"/>
          <w:lang w:eastAsia="en-US"/>
        </w:rPr>
        <w:t xml:space="preserve">håndtering af de negative handelsrelaterede virkninger af den globale overkapacitet for Unionens stålmarked </w:t>
      </w:r>
      <w:r w:rsidR="00484F7F" w:rsidRPr="00985954">
        <w:rPr>
          <w:b/>
          <w:color w:val="000000"/>
          <w:szCs w:val="24"/>
          <w:lang w:eastAsia="en-US"/>
        </w:rPr>
        <w:t>og om ændring af forordning (EU) 2020/2170</w:t>
      </w:r>
    </w:p>
    <w:p w14:paraId="16A8BC46" w14:textId="77777777" w:rsidR="00985954" w:rsidRDefault="00985954" w:rsidP="00F95CDF">
      <w:pPr>
        <w:tabs>
          <w:tab w:val="left" w:pos="567"/>
          <w:tab w:val="left" w:pos="851"/>
          <w:tab w:val="left" w:pos="1134"/>
          <w:tab w:val="left" w:pos="1418"/>
          <w:tab w:val="left" w:pos="1701"/>
        </w:tabs>
        <w:ind w:right="-1"/>
      </w:pPr>
    </w:p>
    <w:p w14:paraId="624B8D03" w14:textId="5352B2AC" w:rsidR="00985954" w:rsidRPr="00F95CDF" w:rsidRDefault="00985954" w:rsidP="00F95CDF">
      <w:pPr>
        <w:rPr>
          <w:i/>
        </w:rPr>
      </w:pPr>
      <w:r w:rsidRPr="00F95CDF">
        <w:rPr>
          <w:i/>
        </w:rPr>
        <w:t>(Eftersom der var indgået en aftale mellem Parlamentet og Rådet, svarer Parlamentets holdning til den endelige retsakt, forordning (EU) 202</w:t>
      </w:r>
      <w:r>
        <w:rPr>
          <w:i/>
        </w:rPr>
        <w:t>6</w:t>
      </w:r>
      <w:r w:rsidRPr="00F95CDF">
        <w:rPr>
          <w:i/>
        </w:rPr>
        <w:t>/1</w:t>
      </w:r>
      <w:r>
        <w:rPr>
          <w:i/>
        </w:rPr>
        <w:t>384</w:t>
      </w:r>
      <w:r w:rsidRPr="00F95CDF">
        <w:rPr>
          <w:i/>
        </w:rPr>
        <w:t>.)</w:t>
      </w:r>
    </w:p>
    <w:p w14:paraId="076DA627" w14:textId="77777777" w:rsidR="00985954" w:rsidRPr="00F95CDF" w:rsidRDefault="00985954" w:rsidP="00F95CDF">
      <w:pPr>
        <w:rPr>
          <w:lang w:eastAsia="en-US"/>
        </w:rPr>
      </w:pPr>
    </w:p>
    <w:p w14:paraId="041C775E" w14:textId="77777777" w:rsidR="00123F6C" w:rsidRPr="00123F6C" w:rsidRDefault="00123F6C" w:rsidP="00123F6C">
      <w:pPr>
        <w:widowControl/>
      </w:pPr>
    </w:p>
    <w:p w14:paraId="24383F4C" w14:textId="77777777" w:rsidR="00123F6C" w:rsidRDefault="00123F6C" w:rsidP="00DC544B">
      <w:pPr>
        <w:widowControl/>
        <w:sectPr w:rsidR="00123F6C" w:rsidSect="009D283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377F8BB" w14:textId="77777777" w:rsidR="00123F6C" w:rsidRPr="00F02317" w:rsidRDefault="00123F6C" w:rsidP="00123F6C">
      <w:pPr>
        <w:jc w:val="right"/>
      </w:pPr>
      <w:r w:rsidRPr="00F02317">
        <w:lastRenderedPageBreak/>
        <w:t>BILAG TIL DEN LOVGIVNINGSMÆSSIGE BESLUTNING</w:t>
      </w:r>
    </w:p>
    <w:p w14:paraId="60C56DA8" w14:textId="5B895CC9" w:rsidR="00DC544B" w:rsidRDefault="00DC544B" w:rsidP="00DC544B">
      <w:pPr>
        <w:widowControl/>
      </w:pPr>
    </w:p>
    <w:p w14:paraId="2D25B4E7" w14:textId="48A26BEA" w:rsidR="00123F6C" w:rsidRPr="003979A0" w:rsidRDefault="00123F6C" w:rsidP="009D0E63">
      <w:pPr>
        <w:spacing w:before="120" w:after="120"/>
        <w:rPr>
          <w:b/>
          <w:bCs/>
          <w:szCs w:val="24"/>
        </w:rPr>
      </w:pPr>
      <w:r w:rsidRPr="003979A0">
        <w:rPr>
          <w:b/>
          <w:szCs w:val="24"/>
        </w:rPr>
        <w:t xml:space="preserve">Fælles erklæring fra Europa-Parlamentet, Rådet og Europa-Kommissionen om import af stålprodukter fra Rusland </w:t>
      </w:r>
    </w:p>
    <w:p w14:paraId="1A99C2CF" w14:textId="77777777" w:rsidR="00123F6C" w:rsidRPr="003979A0" w:rsidRDefault="00123F6C" w:rsidP="009D0E63">
      <w:pPr>
        <w:widowControl/>
        <w:spacing w:before="120" w:after="120"/>
        <w:rPr>
          <w:szCs w:val="24"/>
        </w:rPr>
      </w:pPr>
    </w:p>
    <w:p w14:paraId="17D33E37" w14:textId="77777777" w:rsidR="00123F6C" w:rsidRPr="003979A0" w:rsidRDefault="00123F6C" w:rsidP="009D0E63">
      <w:pPr>
        <w:widowControl/>
        <w:spacing w:before="120" w:after="120"/>
        <w:rPr>
          <w:szCs w:val="24"/>
        </w:rPr>
      </w:pPr>
      <w:r w:rsidRPr="003979A0">
        <w:rPr>
          <w:szCs w:val="24"/>
        </w:rPr>
        <w:t>Siden krigens begyndelse har Unionen og dens medlemsstater truffet hidtil usete foranstaltninger for at mindske den økonomiske afhængighed af Rusland og arbejde hen imod at sikre, at Unionens økonomiske aktivitet ikke bidrager til at opretholde Ruslands krigsindsats.</w:t>
      </w:r>
    </w:p>
    <w:p w14:paraId="7D7FC2DD" w14:textId="77777777" w:rsidR="00123F6C" w:rsidRPr="003979A0" w:rsidRDefault="00123F6C" w:rsidP="009D0E63">
      <w:pPr>
        <w:widowControl/>
        <w:spacing w:before="120" w:after="120"/>
        <w:rPr>
          <w:szCs w:val="24"/>
        </w:rPr>
      </w:pPr>
      <w:r w:rsidRPr="003979A0">
        <w:rPr>
          <w:szCs w:val="24"/>
        </w:rPr>
        <w:t>Disse foranstaltninger har i væsentlig grad reduceret handelsstrømmene på tværs af en bred vifte af sektorer, herunder stålsektoren, fremskyndet afkoblingen og bidraget til Unionens modstandsdygtighed, samtidig med at de også viser Unionens evne til at handle samlet og beslutsomt, når dens værdier og strategiske interesser er på spil.</w:t>
      </w:r>
    </w:p>
    <w:p w14:paraId="6D868088" w14:textId="1055B8DE" w:rsidR="00B365E1" w:rsidRDefault="00123F6C" w:rsidP="009D0E63">
      <w:pPr>
        <w:widowControl/>
        <w:spacing w:before="120" w:after="120"/>
        <w:rPr>
          <w:szCs w:val="24"/>
        </w:rPr>
      </w:pPr>
      <w:r w:rsidRPr="003979A0">
        <w:rPr>
          <w:szCs w:val="24"/>
        </w:rPr>
        <w:t>Samtidig skal Unionen fortsat være opmærksom på de områder, hvor der fortsat er afhængighed, især med hensyn til visse stålprodukter, som det endnu ikke er helt forbudt at importere.</w:t>
      </w:r>
    </w:p>
    <w:p w14:paraId="7FA7D70B" w14:textId="5B684E9D" w:rsidR="009D0E63" w:rsidRDefault="009D0E63" w:rsidP="009D0E63">
      <w:pPr>
        <w:widowControl/>
        <w:spacing w:before="120" w:after="120"/>
      </w:pPr>
      <w:r>
        <w:t>Navnlig fortsætter en vis begrænset import af produkter med oprindelse i Rusland i stålsektoren indtil den 30. september 2028 i overensstemmelse med de overgangsordninger, der er fastsat i de relevante restriktive foranstaltninger, som Rådet har vedtaget</w:t>
      </w:r>
      <w:r>
        <w:rPr>
          <w:rStyle w:val="FootnoteReference"/>
        </w:rPr>
        <w:footnoteReference w:id="1"/>
      </w:r>
      <w:r>
        <w:t>. For at sikre en gradvis og stabil diversificering er denne import begrænset af kvoter, hvor mængden falder årligt.</w:t>
      </w:r>
    </w:p>
    <w:p w14:paraId="336DC1D2" w14:textId="2EF59256" w:rsidR="009D0E63" w:rsidRPr="009D2839" w:rsidRDefault="009D0E63" w:rsidP="009D0E63">
      <w:pPr>
        <w:widowControl/>
        <w:spacing w:before="120" w:after="120"/>
      </w:pPr>
      <w:r>
        <w:t>Europa-Parlamentet, Rådet og Europa-Kommissionen minder om den institutionelle ramme for restriktive foranstaltninger og fremhæver, at de relevante restriktive foranstaltninger, som Rådet har vedtaget, understøtter en kurs hen imod en fuldstændig udfasning af den resterende import af russiske stålprodukter, navnlig stålplader, senest den 30. september 2028.</w:t>
      </w:r>
    </w:p>
    <w:p w14:paraId="110CB23B" w14:textId="77777777" w:rsidR="00DC544B" w:rsidRPr="009D2839" w:rsidRDefault="00DC544B" w:rsidP="00DC544B"/>
    <w:sectPr w:rsidR="00DC544B" w:rsidRPr="009D2839" w:rsidSect="009D283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F0E8A" w14:textId="77777777" w:rsidR="00F733B6" w:rsidRPr="009D2839" w:rsidRDefault="00F733B6">
      <w:r w:rsidRPr="009D2839">
        <w:separator/>
      </w:r>
    </w:p>
  </w:endnote>
  <w:endnote w:type="continuationSeparator" w:id="0">
    <w:p w14:paraId="48191154" w14:textId="77777777" w:rsidR="00F733B6" w:rsidRPr="009D2839" w:rsidRDefault="00F733B6">
      <w:r w:rsidRPr="009D28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E0235" w14:textId="77777777" w:rsidR="00064002" w:rsidRPr="009D283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D888" w14:textId="77777777" w:rsidR="00064002" w:rsidRPr="009D283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4EADA" w14:textId="77777777" w:rsidR="00064002" w:rsidRPr="009D28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F52D8" w14:textId="77777777" w:rsidR="00F733B6" w:rsidRPr="009D2839" w:rsidRDefault="00F733B6">
      <w:r w:rsidRPr="009D2839">
        <w:separator/>
      </w:r>
    </w:p>
  </w:footnote>
  <w:footnote w:type="continuationSeparator" w:id="0">
    <w:p w14:paraId="6D16147E" w14:textId="77777777" w:rsidR="00F733B6" w:rsidRPr="009D2839" w:rsidRDefault="00F733B6">
      <w:r w:rsidRPr="009D2839">
        <w:continuationSeparator/>
      </w:r>
    </w:p>
  </w:footnote>
  <w:footnote w:id="1">
    <w:p w14:paraId="4B9CC94E" w14:textId="509E333B" w:rsidR="009D0E63" w:rsidRPr="00985954" w:rsidRDefault="009D0E63" w:rsidP="007B0B92">
      <w:pPr>
        <w:pStyle w:val="FootnoteText"/>
        <w:ind w:left="851" w:hanging="851"/>
        <w:rPr>
          <w:sz w:val="24"/>
          <w:szCs w:val="24"/>
          <w:lang w:val="da-DK"/>
        </w:rPr>
      </w:pPr>
      <w:r w:rsidRPr="007B0B92">
        <w:rPr>
          <w:rStyle w:val="FootnoteReference"/>
          <w:sz w:val="24"/>
          <w:szCs w:val="24"/>
        </w:rPr>
        <w:footnoteRef/>
      </w:r>
      <w:r w:rsidRPr="007B0B92">
        <w:rPr>
          <w:sz w:val="24"/>
          <w:szCs w:val="24"/>
          <w:lang w:val="da-DK"/>
        </w:rPr>
        <w:t xml:space="preserve"> </w:t>
      </w:r>
      <w:r w:rsidRPr="007B0B92">
        <w:rPr>
          <w:sz w:val="24"/>
          <w:szCs w:val="24"/>
          <w:lang w:val="da-DK"/>
        </w:rPr>
        <w:tab/>
        <w:t>Rådets afgørelse 2014/512/FUSP af 31. juli 2014 om restriktive foranstaltninger på baggrund af Ruslands handlinger, der destabiliserer situationen i Ukraine</w:t>
      </w:r>
      <w:r w:rsidR="00985954">
        <w:rPr>
          <w:sz w:val="24"/>
          <w:szCs w:val="24"/>
          <w:lang w:val="da-DK"/>
        </w:rPr>
        <w:t xml:space="preserve"> </w:t>
      </w:r>
      <w:r w:rsidR="00985954" w:rsidRPr="00985954">
        <w:rPr>
          <w:sz w:val="24"/>
          <w:szCs w:val="24"/>
          <w:lang w:val="da-DK"/>
        </w:rPr>
        <w:t>(</w:t>
      </w:r>
      <w:r w:rsidR="00985954" w:rsidRPr="00985954">
        <w:rPr>
          <w:sz w:val="24"/>
          <w:szCs w:val="24"/>
          <w:lang w:val="da-DK"/>
        </w:rPr>
        <w:t>EUT L 229 af 31.7.2014, s. 13</w:t>
      </w:r>
      <w:r w:rsidR="00985954" w:rsidRPr="00985954">
        <w:rPr>
          <w:sz w:val="24"/>
          <w:szCs w:val="24"/>
          <w:lang w:val="da-DK"/>
        </w:rPr>
        <w:t xml:space="preserve">, </w:t>
      </w:r>
      <w:r w:rsidR="00985954" w:rsidRPr="00985954">
        <w:rPr>
          <w:sz w:val="24"/>
          <w:szCs w:val="24"/>
          <w:lang w:val="da-DK"/>
        </w:rPr>
        <w:t>ELI: </w:t>
      </w:r>
      <w:hyperlink r:id="rId1" w:tooltip="Giver adgang til dette dokument gennem dets ELI-URI." w:history="1">
        <w:r w:rsidR="00985954" w:rsidRPr="00985954">
          <w:rPr>
            <w:rStyle w:val="Hyperlink"/>
            <w:sz w:val="24"/>
            <w:szCs w:val="24"/>
            <w:lang w:val="da-DK"/>
          </w:rPr>
          <w:t>http://data.europa.eu/eli/dec/2014/512/oj</w:t>
        </w:r>
      </w:hyperlink>
      <w:r w:rsidR="00985954" w:rsidRPr="00985954">
        <w:rPr>
          <w:sz w:val="24"/>
          <w:szCs w:val="24"/>
          <w:lang w:val="da-DK"/>
        </w:rPr>
        <w:t>)</w:t>
      </w:r>
      <w:r w:rsidRPr="00985954">
        <w:rPr>
          <w:sz w:val="24"/>
          <w:szCs w:val="24"/>
          <w:lang w:val="da-DK"/>
        </w:rPr>
        <w:t>,</w:t>
      </w:r>
      <w:r w:rsidRPr="007B0B92">
        <w:rPr>
          <w:sz w:val="24"/>
          <w:szCs w:val="24"/>
          <w:lang w:val="da-DK"/>
        </w:rPr>
        <w:t xml:space="preserve"> og Rådets forordning (EU) nr. 833/2014 af 31. juli 2014 om restriktive foranstaltninger på baggrund af Ruslands handlinger, der destabiliserer situationen i Ukraine</w:t>
      </w:r>
      <w:r w:rsidR="00985954">
        <w:rPr>
          <w:sz w:val="24"/>
          <w:szCs w:val="24"/>
          <w:lang w:val="da-DK"/>
        </w:rPr>
        <w:t xml:space="preserve"> </w:t>
      </w:r>
      <w:r w:rsidR="00985954" w:rsidRPr="00985954">
        <w:rPr>
          <w:sz w:val="24"/>
          <w:szCs w:val="24"/>
          <w:lang w:val="da-DK"/>
        </w:rPr>
        <w:t>(</w:t>
      </w:r>
      <w:r w:rsidR="00985954" w:rsidRPr="00985954">
        <w:rPr>
          <w:sz w:val="24"/>
          <w:szCs w:val="24"/>
          <w:lang w:val="da-DK"/>
        </w:rPr>
        <w:t>EUT L 229 af 31.7.2014, s. 1</w:t>
      </w:r>
      <w:r w:rsidR="00985954" w:rsidRPr="00985954">
        <w:rPr>
          <w:sz w:val="24"/>
          <w:szCs w:val="24"/>
          <w:lang w:val="da-DK"/>
        </w:rPr>
        <w:t xml:space="preserve">, </w:t>
      </w:r>
      <w:r w:rsidR="00985954" w:rsidRPr="00985954">
        <w:rPr>
          <w:sz w:val="24"/>
          <w:szCs w:val="24"/>
          <w:lang w:val="da-DK"/>
        </w:rPr>
        <w:t>ELI: </w:t>
      </w:r>
      <w:hyperlink r:id="rId2" w:tooltip="Giver adgang til dette dokument gennem dets ELI-URI." w:history="1">
        <w:r w:rsidR="00985954" w:rsidRPr="00985954">
          <w:rPr>
            <w:rStyle w:val="Hyperlink"/>
            <w:sz w:val="24"/>
            <w:szCs w:val="24"/>
            <w:lang w:val="da-DK"/>
          </w:rPr>
          <w:t>http://data.europa.eu/eli/reg/2014/833/oj</w:t>
        </w:r>
      </w:hyperlink>
      <w:r w:rsidR="00985954" w:rsidRPr="00985954">
        <w:rPr>
          <w:sz w:val="24"/>
          <w:szCs w:val="24"/>
          <w:lang w:val="da-DK"/>
        </w:rPr>
        <w:t>)</w:t>
      </w:r>
      <w:r w:rsidRPr="00985954">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F9AB4" w14:textId="77777777" w:rsidR="00064002" w:rsidRPr="009D283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C38F5" w14:textId="77777777" w:rsidR="00064002" w:rsidRPr="009D283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38DE6" w14:textId="77777777" w:rsidR="00064002" w:rsidRPr="009D28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3C77951"/>
    <w:multiLevelType w:val="hybridMultilevel"/>
    <w:tmpl w:val="CF046FD2"/>
    <w:lvl w:ilvl="0" w:tplc="9F5AED10">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0C44CABA">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D43A5462">
      <w:numFmt w:val="bullet"/>
      <w:lvlText w:val="•"/>
      <w:lvlJc w:val="left"/>
      <w:pPr>
        <w:ind w:left="2402" w:hanging="567"/>
      </w:pPr>
      <w:rPr>
        <w:lang w:val="en-US" w:eastAsia="en-US" w:bidi="ar-SA"/>
      </w:rPr>
    </w:lvl>
    <w:lvl w:ilvl="3" w:tplc="B6C2E530">
      <w:numFmt w:val="bullet"/>
      <w:lvlText w:val="•"/>
      <w:lvlJc w:val="left"/>
      <w:pPr>
        <w:ind w:left="3265" w:hanging="567"/>
      </w:pPr>
      <w:rPr>
        <w:lang w:val="en-US" w:eastAsia="en-US" w:bidi="ar-SA"/>
      </w:rPr>
    </w:lvl>
    <w:lvl w:ilvl="4" w:tplc="16F40146">
      <w:numFmt w:val="bullet"/>
      <w:lvlText w:val="•"/>
      <w:lvlJc w:val="left"/>
      <w:pPr>
        <w:ind w:left="4128" w:hanging="567"/>
      </w:pPr>
      <w:rPr>
        <w:lang w:val="en-US" w:eastAsia="en-US" w:bidi="ar-SA"/>
      </w:rPr>
    </w:lvl>
    <w:lvl w:ilvl="5" w:tplc="141A8780">
      <w:numFmt w:val="bullet"/>
      <w:lvlText w:val="•"/>
      <w:lvlJc w:val="left"/>
      <w:pPr>
        <w:ind w:left="4991" w:hanging="567"/>
      </w:pPr>
      <w:rPr>
        <w:lang w:val="en-US" w:eastAsia="en-US" w:bidi="ar-SA"/>
      </w:rPr>
    </w:lvl>
    <w:lvl w:ilvl="6" w:tplc="9A808C82">
      <w:numFmt w:val="bullet"/>
      <w:lvlText w:val="•"/>
      <w:lvlJc w:val="left"/>
      <w:pPr>
        <w:ind w:left="5854" w:hanging="567"/>
      </w:pPr>
      <w:rPr>
        <w:lang w:val="en-US" w:eastAsia="en-US" w:bidi="ar-SA"/>
      </w:rPr>
    </w:lvl>
    <w:lvl w:ilvl="7" w:tplc="BEFA1310">
      <w:numFmt w:val="bullet"/>
      <w:lvlText w:val="•"/>
      <w:lvlJc w:val="left"/>
      <w:pPr>
        <w:ind w:left="6717" w:hanging="567"/>
      </w:pPr>
      <w:rPr>
        <w:lang w:val="en-US" w:eastAsia="en-US" w:bidi="ar-SA"/>
      </w:rPr>
    </w:lvl>
    <w:lvl w:ilvl="8" w:tplc="CF9C4970">
      <w:numFmt w:val="bullet"/>
      <w:lvlText w:val="•"/>
      <w:lvlJc w:val="left"/>
      <w:pPr>
        <w:ind w:left="7580" w:hanging="567"/>
      </w:pPr>
      <w:rPr>
        <w:lang w:val="en-US" w:eastAsia="en-US" w:bidi="ar-SA"/>
      </w:rPr>
    </w:lvl>
  </w:abstractNum>
  <w:abstractNum w:abstractNumId="13" w15:restartNumberingAfterBreak="0">
    <w:nsid w:val="4D3C337A"/>
    <w:multiLevelType w:val="hybridMultilevel"/>
    <w:tmpl w:val="F398A9F8"/>
    <w:lvl w:ilvl="0" w:tplc="C6B242B0">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EC3AEC12">
      <w:numFmt w:val="bullet"/>
      <w:lvlText w:val="•"/>
      <w:lvlJc w:val="left"/>
      <w:pPr>
        <w:ind w:left="1794" w:hanging="850"/>
      </w:pPr>
      <w:rPr>
        <w:lang w:val="en-US" w:eastAsia="en-US" w:bidi="ar-SA"/>
      </w:rPr>
    </w:lvl>
    <w:lvl w:ilvl="2" w:tplc="02DC29BC">
      <w:numFmt w:val="bullet"/>
      <w:lvlText w:val="•"/>
      <w:lvlJc w:val="left"/>
      <w:pPr>
        <w:ind w:left="2629" w:hanging="850"/>
      </w:pPr>
      <w:rPr>
        <w:lang w:val="en-US" w:eastAsia="en-US" w:bidi="ar-SA"/>
      </w:rPr>
    </w:lvl>
    <w:lvl w:ilvl="3" w:tplc="9E303254">
      <w:numFmt w:val="bullet"/>
      <w:lvlText w:val="•"/>
      <w:lvlJc w:val="left"/>
      <w:pPr>
        <w:ind w:left="3463" w:hanging="850"/>
      </w:pPr>
      <w:rPr>
        <w:lang w:val="en-US" w:eastAsia="en-US" w:bidi="ar-SA"/>
      </w:rPr>
    </w:lvl>
    <w:lvl w:ilvl="4" w:tplc="3E3AB9CE">
      <w:numFmt w:val="bullet"/>
      <w:lvlText w:val="•"/>
      <w:lvlJc w:val="left"/>
      <w:pPr>
        <w:ind w:left="4298" w:hanging="850"/>
      </w:pPr>
      <w:rPr>
        <w:lang w:val="en-US" w:eastAsia="en-US" w:bidi="ar-SA"/>
      </w:rPr>
    </w:lvl>
    <w:lvl w:ilvl="5" w:tplc="ACF6E3A2">
      <w:numFmt w:val="bullet"/>
      <w:lvlText w:val="•"/>
      <w:lvlJc w:val="left"/>
      <w:pPr>
        <w:ind w:left="5133" w:hanging="850"/>
      </w:pPr>
      <w:rPr>
        <w:lang w:val="en-US" w:eastAsia="en-US" w:bidi="ar-SA"/>
      </w:rPr>
    </w:lvl>
    <w:lvl w:ilvl="6" w:tplc="5BD0B416">
      <w:numFmt w:val="bullet"/>
      <w:lvlText w:val="•"/>
      <w:lvlJc w:val="left"/>
      <w:pPr>
        <w:ind w:left="5967" w:hanging="850"/>
      </w:pPr>
      <w:rPr>
        <w:lang w:val="en-US" w:eastAsia="en-US" w:bidi="ar-SA"/>
      </w:rPr>
    </w:lvl>
    <w:lvl w:ilvl="7" w:tplc="39AAA962">
      <w:numFmt w:val="bullet"/>
      <w:lvlText w:val="•"/>
      <w:lvlJc w:val="left"/>
      <w:pPr>
        <w:ind w:left="6802" w:hanging="850"/>
      </w:pPr>
      <w:rPr>
        <w:lang w:val="en-US" w:eastAsia="en-US" w:bidi="ar-SA"/>
      </w:rPr>
    </w:lvl>
    <w:lvl w:ilvl="8" w:tplc="A8A2D51C">
      <w:numFmt w:val="bullet"/>
      <w:lvlText w:val="•"/>
      <w:lvlJc w:val="left"/>
      <w:pPr>
        <w:ind w:left="7637" w:hanging="850"/>
      </w:pPr>
      <w:rPr>
        <w:lang w:val="en-US" w:eastAsia="en-US" w:bidi="ar-SA"/>
      </w:rPr>
    </w:lvl>
  </w:abstractNum>
  <w:abstractNum w:abstractNumId="14" w15:restartNumberingAfterBreak="0">
    <w:nsid w:val="60B67A4F"/>
    <w:multiLevelType w:val="hybridMultilevel"/>
    <w:tmpl w:val="F996A700"/>
    <w:lvl w:ilvl="0" w:tplc="B9AEEA18">
      <w:start w:val="1"/>
      <w:numFmt w:val="decimal"/>
      <w:lvlText w:val="(%1)"/>
      <w:lvlJc w:val="left"/>
      <w:pPr>
        <w:ind w:left="824" w:hanging="708"/>
      </w:pPr>
      <w:rPr>
        <w:rFonts w:ascii="Times New Roman" w:eastAsia="Times New Roman" w:hAnsi="Times New Roman" w:cs="Times New Roman" w:hint="default"/>
        <w:b w:val="0"/>
        <w:bCs w:val="0"/>
        <w:i w:val="0"/>
        <w:iCs w:val="0"/>
        <w:spacing w:val="0"/>
        <w:w w:val="100"/>
        <w:sz w:val="24"/>
        <w:szCs w:val="24"/>
        <w:lang w:val="en-US" w:eastAsia="en-US" w:bidi="ar-SA"/>
      </w:rPr>
    </w:lvl>
    <w:lvl w:ilvl="1" w:tplc="3C9211C0">
      <w:numFmt w:val="bullet"/>
      <w:lvlText w:val="•"/>
      <w:lvlJc w:val="left"/>
      <w:pPr>
        <w:ind w:left="1668" w:hanging="708"/>
      </w:pPr>
      <w:rPr>
        <w:lang w:val="en-US" w:eastAsia="en-US" w:bidi="ar-SA"/>
      </w:rPr>
    </w:lvl>
    <w:lvl w:ilvl="2" w:tplc="50203394">
      <w:numFmt w:val="bullet"/>
      <w:lvlText w:val="•"/>
      <w:lvlJc w:val="left"/>
      <w:pPr>
        <w:ind w:left="2517" w:hanging="708"/>
      </w:pPr>
      <w:rPr>
        <w:lang w:val="en-US" w:eastAsia="en-US" w:bidi="ar-SA"/>
      </w:rPr>
    </w:lvl>
    <w:lvl w:ilvl="3" w:tplc="2FBE14A6">
      <w:numFmt w:val="bullet"/>
      <w:lvlText w:val="•"/>
      <w:lvlJc w:val="left"/>
      <w:pPr>
        <w:ind w:left="3365" w:hanging="708"/>
      </w:pPr>
      <w:rPr>
        <w:lang w:val="en-US" w:eastAsia="en-US" w:bidi="ar-SA"/>
      </w:rPr>
    </w:lvl>
    <w:lvl w:ilvl="4" w:tplc="9474B20A">
      <w:numFmt w:val="bullet"/>
      <w:lvlText w:val="•"/>
      <w:lvlJc w:val="left"/>
      <w:pPr>
        <w:ind w:left="4214" w:hanging="708"/>
      </w:pPr>
      <w:rPr>
        <w:lang w:val="en-US" w:eastAsia="en-US" w:bidi="ar-SA"/>
      </w:rPr>
    </w:lvl>
    <w:lvl w:ilvl="5" w:tplc="DF460BEE">
      <w:numFmt w:val="bullet"/>
      <w:lvlText w:val="•"/>
      <w:lvlJc w:val="left"/>
      <w:pPr>
        <w:ind w:left="5063" w:hanging="708"/>
      </w:pPr>
      <w:rPr>
        <w:lang w:val="en-US" w:eastAsia="en-US" w:bidi="ar-SA"/>
      </w:rPr>
    </w:lvl>
    <w:lvl w:ilvl="6" w:tplc="14BE1E3E">
      <w:numFmt w:val="bullet"/>
      <w:lvlText w:val="•"/>
      <w:lvlJc w:val="left"/>
      <w:pPr>
        <w:ind w:left="5911" w:hanging="708"/>
      </w:pPr>
      <w:rPr>
        <w:lang w:val="en-US" w:eastAsia="en-US" w:bidi="ar-SA"/>
      </w:rPr>
    </w:lvl>
    <w:lvl w:ilvl="7" w:tplc="7D140EB8">
      <w:numFmt w:val="bullet"/>
      <w:lvlText w:val="•"/>
      <w:lvlJc w:val="left"/>
      <w:pPr>
        <w:ind w:left="6760" w:hanging="708"/>
      </w:pPr>
      <w:rPr>
        <w:lang w:val="en-US" w:eastAsia="en-US" w:bidi="ar-SA"/>
      </w:rPr>
    </w:lvl>
    <w:lvl w:ilvl="8" w:tplc="1E3AF57E">
      <w:numFmt w:val="bullet"/>
      <w:lvlText w:val="•"/>
      <w:lvlJc w:val="left"/>
      <w:pPr>
        <w:ind w:left="7609" w:hanging="708"/>
      </w:pPr>
      <w:rPr>
        <w:lang w:val="en-US" w:eastAsia="en-US" w:bidi="ar-SA"/>
      </w:rPr>
    </w:lvl>
  </w:abstractNum>
  <w:abstractNum w:abstractNumId="15" w15:restartNumberingAfterBreak="0">
    <w:nsid w:val="66D377C0"/>
    <w:multiLevelType w:val="hybridMultilevel"/>
    <w:tmpl w:val="898671CA"/>
    <w:lvl w:ilvl="0" w:tplc="51408956">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0EA64FF8">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2EB8B97A">
      <w:numFmt w:val="bullet"/>
      <w:lvlText w:val="•"/>
      <w:lvlJc w:val="left"/>
      <w:pPr>
        <w:ind w:left="2402" w:hanging="567"/>
      </w:pPr>
      <w:rPr>
        <w:lang w:val="en-US" w:eastAsia="en-US" w:bidi="ar-SA"/>
      </w:rPr>
    </w:lvl>
    <w:lvl w:ilvl="3" w:tplc="EC285E4E">
      <w:numFmt w:val="bullet"/>
      <w:lvlText w:val="•"/>
      <w:lvlJc w:val="left"/>
      <w:pPr>
        <w:ind w:left="3265" w:hanging="567"/>
      </w:pPr>
      <w:rPr>
        <w:lang w:val="en-US" w:eastAsia="en-US" w:bidi="ar-SA"/>
      </w:rPr>
    </w:lvl>
    <w:lvl w:ilvl="4" w:tplc="4D16ABEC">
      <w:numFmt w:val="bullet"/>
      <w:lvlText w:val="•"/>
      <w:lvlJc w:val="left"/>
      <w:pPr>
        <w:ind w:left="4128" w:hanging="567"/>
      </w:pPr>
      <w:rPr>
        <w:lang w:val="en-US" w:eastAsia="en-US" w:bidi="ar-SA"/>
      </w:rPr>
    </w:lvl>
    <w:lvl w:ilvl="5" w:tplc="1E7AA54A">
      <w:numFmt w:val="bullet"/>
      <w:lvlText w:val="•"/>
      <w:lvlJc w:val="left"/>
      <w:pPr>
        <w:ind w:left="4991" w:hanging="567"/>
      </w:pPr>
      <w:rPr>
        <w:lang w:val="en-US" w:eastAsia="en-US" w:bidi="ar-SA"/>
      </w:rPr>
    </w:lvl>
    <w:lvl w:ilvl="6" w:tplc="BBCC3B0A">
      <w:numFmt w:val="bullet"/>
      <w:lvlText w:val="•"/>
      <w:lvlJc w:val="left"/>
      <w:pPr>
        <w:ind w:left="5854" w:hanging="567"/>
      </w:pPr>
      <w:rPr>
        <w:lang w:val="en-US" w:eastAsia="en-US" w:bidi="ar-SA"/>
      </w:rPr>
    </w:lvl>
    <w:lvl w:ilvl="7" w:tplc="823A5614">
      <w:numFmt w:val="bullet"/>
      <w:lvlText w:val="•"/>
      <w:lvlJc w:val="left"/>
      <w:pPr>
        <w:ind w:left="6717" w:hanging="567"/>
      </w:pPr>
      <w:rPr>
        <w:lang w:val="en-US" w:eastAsia="en-US" w:bidi="ar-SA"/>
      </w:rPr>
    </w:lvl>
    <w:lvl w:ilvl="8" w:tplc="CE66C834">
      <w:numFmt w:val="bullet"/>
      <w:lvlText w:val="•"/>
      <w:lvlJc w:val="left"/>
      <w:pPr>
        <w:ind w:left="7580" w:hanging="567"/>
      </w:pPr>
      <w:rPr>
        <w:lang w:val="en-US" w:eastAsia="en-US" w:bidi="ar-SA"/>
      </w:rPr>
    </w:lvl>
  </w:abstractNum>
  <w:num w:numId="1" w16cid:durableId="1591892359">
    <w:abstractNumId w:val="9"/>
  </w:num>
  <w:num w:numId="2" w16cid:durableId="1541555285">
    <w:abstractNumId w:val="9"/>
  </w:num>
  <w:num w:numId="3" w16cid:durableId="1295523557">
    <w:abstractNumId w:val="7"/>
  </w:num>
  <w:num w:numId="4" w16cid:durableId="2140761450">
    <w:abstractNumId w:val="7"/>
  </w:num>
  <w:num w:numId="5" w16cid:durableId="711926083">
    <w:abstractNumId w:val="6"/>
  </w:num>
  <w:num w:numId="6" w16cid:durableId="592595409">
    <w:abstractNumId w:val="6"/>
  </w:num>
  <w:num w:numId="7" w16cid:durableId="1920671090">
    <w:abstractNumId w:val="5"/>
  </w:num>
  <w:num w:numId="8" w16cid:durableId="2035225968">
    <w:abstractNumId w:val="5"/>
  </w:num>
  <w:num w:numId="9" w16cid:durableId="1056248082">
    <w:abstractNumId w:val="4"/>
  </w:num>
  <w:num w:numId="10" w16cid:durableId="1407268159">
    <w:abstractNumId w:val="4"/>
  </w:num>
  <w:num w:numId="11" w16cid:durableId="936909890">
    <w:abstractNumId w:val="8"/>
  </w:num>
  <w:num w:numId="12" w16cid:durableId="1496454518">
    <w:abstractNumId w:val="8"/>
  </w:num>
  <w:num w:numId="13" w16cid:durableId="1273636513">
    <w:abstractNumId w:val="3"/>
  </w:num>
  <w:num w:numId="14" w16cid:durableId="1672757896">
    <w:abstractNumId w:val="3"/>
  </w:num>
  <w:num w:numId="15" w16cid:durableId="954561665">
    <w:abstractNumId w:val="2"/>
  </w:num>
  <w:num w:numId="16" w16cid:durableId="273558876">
    <w:abstractNumId w:val="2"/>
  </w:num>
  <w:num w:numId="17" w16cid:durableId="2123724872">
    <w:abstractNumId w:val="1"/>
  </w:num>
  <w:num w:numId="18" w16cid:durableId="902331314">
    <w:abstractNumId w:val="1"/>
  </w:num>
  <w:num w:numId="19" w16cid:durableId="1267080220">
    <w:abstractNumId w:val="0"/>
  </w:num>
  <w:num w:numId="20" w16cid:durableId="87847189">
    <w:abstractNumId w:val="0"/>
  </w:num>
  <w:num w:numId="21" w16cid:durableId="169297086">
    <w:abstractNumId w:val="9"/>
  </w:num>
  <w:num w:numId="22" w16cid:durableId="105976235">
    <w:abstractNumId w:val="7"/>
  </w:num>
  <w:num w:numId="23" w16cid:durableId="1569851077">
    <w:abstractNumId w:val="6"/>
  </w:num>
  <w:num w:numId="24" w16cid:durableId="100345951">
    <w:abstractNumId w:val="5"/>
  </w:num>
  <w:num w:numId="25" w16cid:durableId="143934314">
    <w:abstractNumId w:val="4"/>
  </w:num>
  <w:num w:numId="26" w16cid:durableId="1606770226">
    <w:abstractNumId w:val="8"/>
  </w:num>
  <w:num w:numId="27" w16cid:durableId="2048408937">
    <w:abstractNumId w:val="3"/>
  </w:num>
  <w:num w:numId="28" w16cid:durableId="223488852">
    <w:abstractNumId w:val="2"/>
  </w:num>
  <w:num w:numId="29" w16cid:durableId="563641179">
    <w:abstractNumId w:val="1"/>
  </w:num>
  <w:num w:numId="30" w16cid:durableId="1323584454">
    <w:abstractNumId w:val="0"/>
  </w:num>
  <w:num w:numId="31" w16cid:durableId="1541168722">
    <w:abstractNumId w:val="9"/>
  </w:num>
  <w:num w:numId="32" w16cid:durableId="1418862688">
    <w:abstractNumId w:val="7"/>
  </w:num>
  <w:num w:numId="33" w16cid:durableId="1879194925">
    <w:abstractNumId w:val="6"/>
  </w:num>
  <w:num w:numId="34" w16cid:durableId="1055012102">
    <w:abstractNumId w:val="5"/>
  </w:num>
  <w:num w:numId="35" w16cid:durableId="862859067">
    <w:abstractNumId w:val="4"/>
  </w:num>
  <w:num w:numId="36" w16cid:durableId="1130587740">
    <w:abstractNumId w:val="8"/>
  </w:num>
  <w:num w:numId="37" w16cid:durableId="2108765728">
    <w:abstractNumId w:val="3"/>
  </w:num>
  <w:num w:numId="38" w16cid:durableId="471993130">
    <w:abstractNumId w:val="2"/>
  </w:num>
  <w:num w:numId="39" w16cid:durableId="306933044">
    <w:abstractNumId w:val="1"/>
  </w:num>
  <w:num w:numId="40" w16cid:durableId="251862898">
    <w:abstractNumId w:val="0"/>
  </w:num>
  <w:num w:numId="41" w16cid:durableId="491486657">
    <w:abstractNumId w:val="10"/>
  </w:num>
  <w:num w:numId="42" w16cid:durableId="31924270">
    <w:abstractNumId w:val="10"/>
  </w:num>
  <w:num w:numId="43" w16cid:durableId="1003120483">
    <w:abstractNumId w:val="10"/>
  </w:num>
  <w:num w:numId="44" w16cid:durableId="848372455">
    <w:abstractNumId w:val="11"/>
  </w:num>
  <w:num w:numId="45" w16cid:durableId="177623198">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46" w16cid:durableId="822936252">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47" w16cid:durableId="759564492">
    <w:abstractNumId w:val="13"/>
    <w:lvlOverride w:ilvl="0">
      <w:startOverride w:val="1"/>
    </w:lvlOverride>
    <w:lvlOverride w:ilvl="1"/>
    <w:lvlOverride w:ilvl="2"/>
    <w:lvlOverride w:ilvl="3"/>
    <w:lvlOverride w:ilvl="4"/>
    <w:lvlOverride w:ilvl="5"/>
    <w:lvlOverride w:ilvl="6"/>
    <w:lvlOverride w:ilvl="7"/>
    <w:lvlOverride w:ilvl="8"/>
  </w:num>
  <w:num w:numId="48" w16cid:durableId="1725374262">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2/2026"/>
    <w:docVar w:name="dvlangue" w:val="DA"/>
    <w:docVar w:name="dvnumam" w:val="0"/>
    <w:docVar w:name="dvpe" w:val="779.727"/>
    <w:docVar w:name="dvrapporteur" w:val="Ordfører: "/>
    <w:docVar w:name="dvstar" w:val="***I"/>
    <w:docVar w:name="dvtitre" w:val="Europa-Parlamentets lovgivningsmæssige beslutning af xx.xx 2026 om forslag til Europa-Parlamentets og Rådets forordning om håndtering af de negative handelsrelaterede virkninger af den globale overkapacitet for Unionens stålmarked(COM(2025)0726 – C10-0245/2025 – 2025/0726(COD))"/>
  </w:docVars>
  <w:rsids>
    <w:rsidRoot w:val="00F733B6"/>
    <w:rsid w:val="00002272"/>
    <w:rsid w:val="00064002"/>
    <w:rsid w:val="000677B9"/>
    <w:rsid w:val="000831BA"/>
    <w:rsid w:val="000A42CC"/>
    <w:rsid w:val="000E7DD9"/>
    <w:rsid w:val="000F773E"/>
    <w:rsid w:val="0010095E"/>
    <w:rsid w:val="00123F6C"/>
    <w:rsid w:val="00125B37"/>
    <w:rsid w:val="00187494"/>
    <w:rsid w:val="001A2D93"/>
    <w:rsid w:val="001C5717"/>
    <w:rsid w:val="001F32AE"/>
    <w:rsid w:val="002351EC"/>
    <w:rsid w:val="00254CB7"/>
    <w:rsid w:val="002767FF"/>
    <w:rsid w:val="002859A9"/>
    <w:rsid w:val="0028676A"/>
    <w:rsid w:val="002B18FE"/>
    <w:rsid w:val="002B5493"/>
    <w:rsid w:val="00343214"/>
    <w:rsid w:val="00361C00"/>
    <w:rsid w:val="00395FA1"/>
    <w:rsid w:val="003E15D4"/>
    <w:rsid w:val="00411CCE"/>
    <w:rsid w:val="0041666E"/>
    <w:rsid w:val="00421060"/>
    <w:rsid w:val="00443F99"/>
    <w:rsid w:val="00471C19"/>
    <w:rsid w:val="00484F7F"/>
    <w:rsid w:val="004867E3"/>
    <w:rsid w:val="00494A28"/>
    <w:rsid w:val="004C0004"/>
    <w:rsid w:val="004C5D52"/>
    <w:rsid w:val="0050519A"/>
    <w:rsid w:val="005072A1"/>
    <w:rsid w:val="00514517"/>
    <w:rsid w:val="005453B5"/>
    <w:rsid w:val="00545827"/>
    <w:rsid w:val="00560270"/>
    <w:rsid w:val="005C2568"/>
    <w:rsid w:val="005F1B17"/>
    <w:rsid w:val="006037C0"/>
    <w:rsid w:val="00621760"/>
    <w:rsid w:val="006631B6"/>
    <w:rsid w:val="00680577"/>
    <w:rsid w:val="006F193B"/>
    <w:rsid w:val="006F74FA"/>
    <w:rsid w:val="00731ADD"/>
    <w:rsid w:val="00734777"/>
    <w:rsid w:val="00747932"/>
    <w:rsid w:val="00751A4A"/>
    <w:rsid w:val="00756632"/>
    <w:rsid w:val="00762C74"/>
    <w:rsid w:val="00786EC0"/>
    <w:rsid w:val="007B0B92"/>
    <w:rsid w:val="007D1690"/>
    <w:rsid w:val="007E22AD"/>
    <w:rsid w:val="00817416"/>
    <w:rsid w:val="00842779"/>
    <w:rsid w:val="0086368B"/>
    <w:rsid w:val="00865F67"/>
    <w:rsid w:val="00881A7B"/>
    <w:rsid w:val="008840E5"/>
    <w:rsid w:val="00887B3E"/>
    <w:rsid w:val="008C2AC6"/>
    <w:rsid w:val="00930C23"/>
    <w:rsid w:val="0093193B"/>
    <w:rsid w:val="0093654A"/>
    <w:rsid w:val="009509D8"/>
    <w:rsid w:val="00950B64"/>
    <w:rsid w:val="00981893"/>
    <w:rsid w:val="00985954"/>
    <w:rsid w:val="00986915"/>
    <w:rsid w:val="009D0E63"/>
    <w:rsid w:val="009D2839"/>
    <w:rsid w:val="00A1687D"/>
    <w:rsid w:val="00A17E49"/>
    <w:rsid w:val="00A43E52"/>
    <w:rsid w:val="00A4678D"/>
    <w:rsid w:val="00A778C7"/>
    <w:rsid w:val="00A83E75"/>
    <w:rsid w:val="00AB441E"/>
    <w:rsid w:val="00AB6293"/>
    <w:rsid w:val="00AD239D"/>
    <w:rsid w:val="00AE0928"/>
    <w:rsid w:val="00AF3B82"/>
    <w:rsid w:val="00B12E95"/>
    <w:rsid w:val="00B22876"/>
    <w:rsid w:val="00B347A7"/>
    <w:rsid w:val="00B365E1"/>
    <w:rsid w:val="00B558F0"/>
    <w:rsid w:val="00BA0DB9"/>
    <w:rsid w:val="00BC6DF7"/>
    <w:rsid w:val="00BD48FE"/>
    <w:rsid w:val="00BD7BD8"/>
    <w:rsid w:val="00BE6ADC"/>
    <w:rsid w:val="00C05BFE"/>
    <w:rsid w:val="00C23CD4"/>
    <w:rsid w:val="00C61C0C"/>
    <w:rsid w:val="00C941CB"/>
    <w:rsid w:val="00CC2357"/>
    <w:rsid w:val="00CF071A"/>
    <w:rsid w:val="00D058B8"/>
    <w:rsid w:val="00D40B66"/>
    <w:rsid w:val="00D56C11"/>
    <w:rsid w:val="00D834A0"/>
    <w:rsid w:val="00D872DF"/>
    <w:rsid w:val="00D91E21"/>
    <w:rsid w:val="00DA7FCD"/>
    <w:rsid w:val="00DC544B"/>
    <w:rsid w:val="00E025F1"/>
    <w:rsid w:val="00E365E1"/>
    <w:rsid w:val="00E820A4"/>
    <w:rsid w:val="00EB006A"/>
    <w:rsid w:val="00EB4772"/>
    <w:rsid w:val="00ED169E"/>
    <w:rsid w:val="00ED4235"/>
    <w:rsid w:val="00F04346"/>
    <w:rsid w:val="00F075DC"/>
    <w:rsid w:val="00F149E9"/>
    <w:rsid w:val="00F5134D"/>
    <w:rsid w:val="00F733B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92413A"/>
  <w15:chartTrackingRefBased/>
  <w15:docId w15:val="{46E09E35-B885-4AC4-975F-B83912F10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Body Text"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C544B"/>
    <w:rPr>
      <w:b/>
      <w:kern w:val="28"/>
      <w:sz w:val="28"/>
      <w:lang w:val="fr-FR" w:eastAsia="fr-FR"/>
    </w:rPr>
  </w:style>
  <w:style w:type="character" w:customStyle="1" w:styleId="Heading2Char">
    <w:name w:val="Heading 2 Char"/>
    <w:basedOn w:val="DefaultParagraphFont"/>
    <w:link w:val="Heading2"/>
    <w:semiHidden/>
    <w:rsid w:val="00DC544B"/>
    <w:rPr>
      <w:sz w:val="24"/>
      <w:lang w:val="fr-FR" w:eastAsia="fr-FR"/>
    </w:rPr>
  </w:style>
  <w:style w:type="character" w:customStyle="1" w:styleId="Heading3Char">
    <w:name w:val="Heading 3 Char"/>
    <w:basedOn w:val="DefaultParagraphFont"/>
    <w:link w:val="Heading3"/>
    <w:semiHidden/>
    <w:rsid w:val="00DC544B"/>
    <w:rPr>
      <w:rFonts w:ascii="Arial" w:hAnsi="Arial"/>
      <w:sz w:val="24"/>
      <w:lang w:val="fr-FR" w:eastAsia="fr-FR"/>
    </w:rPr>
  </w:style>
  <w:style w:type="character" w:customStyle="1" w:styleId="Heading4Char">
    <w:name w:val="Heading 4 Char"/>
    <w:basedOn w:val="DefaultParagraphFont"/>
    <w:link w:val="Heading4"/>
    <w:semiHidden/>
    <w:rsid w:val="00DC544B"/>
    <w:rPr>
      <w:sz w:val="24"/>
      <w:lang w:val="en-US" w:eastAsia="fr-FR"/>
    </w:rPr>
  </w:style>
  <w:style w:type="character" w:customStyle="1" w:styleId="Heading5Char">
    <w:name w:val="Heading 5 Char"/>
    <w:basedOn w:val="DefaultParagraphFont"/>
    <w:link w:val="Heading5"/>
    <w:semiHidden/>
    <w:rsid w:val="00DC544B"/>
    <w:rPr>
      <w:sz w:val="24"/>
      <w:lang w:val="en-US" w:eastAsia="fr-FR"/>
    </w:rPr>
  </w:style>
  <w:style w:type="character" w:customStyle="1" w:styleId="Heading6Char">
    <w:name w:val="Heading 6 Char"/>
    <w:basedOn w:val="DefaultParagraphFont"/>
    <w:link w:val="Heading6"/>
    <w:semiHidden/>
    <w:rsid w:val="00DC544B"/>
    <w:rPr>
      <w:i/>
      <w:sz w:val="22"/>
      <w:lang w:val="da-DK"/>
    </w:rPr>
  </w:style>
  <w:style w:type="character" w:customStyle="1" w:styleId="Heading7Char">
    <w:name w:val="Heading 7 Char"/>
    <w:basedOn w:val="DefaultParagraphFont"/>
    <w:link w:val="Heading7"/>
    <w:semiHidden/>
    <w:rsid w:val="00DC544B"/>
    <w:rPr>
      <w:rFonts w:ascii="Arial" w:hAnsi="Arial"/>
      <w:sz w:val="24"/>
      <w:lang w:val="da-DK"/>
    </w:rPr>
  </w:style>
  <w:style w:type="character" w:customStyle="1" w:styleId="Heading8Char">
    <w:name w:val="Heading 8 Char"/>
    <w:basedOn w:val="DefaultParagraphFont"/>
    <w:link w:val="Heading8"/>
    <w:semiHidden/>
    <w:rsid w:val="00DC544B"/>
    <w:rPr>
      <w:rFonts w:ascii="Arial" w:hAnsi="Arial"/>
      <w:i/>
      <w:sz w:val="24"/>
      <w:lang w:val="da-DK"/>
    </w:rPr>
  </w:style>
  <w:style w:type="character" w:customStyle="1" w:styleId="Heading9Char">
    <w:name w:val="Heading 9 Char"/>
    <w:basedOn w:val="DefaultParagraphFont"/>
    <w:link w:val="Heading9"/>
    <w:semiHidden/>
    <w:rsid w:val="00DC544B"/>
    <w:rPr>
      <w:rFonts w:ascii="Arial" w:hAnsi="Arial"/>
      <w:b/>
      <w:i/>
      <w:sz w:val="18"/>
      <w:lang w:val="da-DK"/>
    </w:rPr>
  </w:style>
  <w:style w:type="paragraph" w:styleId="TOCHeading">
    <w:name w:val="TOC Heading"/>
    <w:basedOn w:val="Normal"/>
    <w:next w:val="Normal"/>
    <w:unhideWhenUsed/>
    <w:qFormat/>
    <w:rsid w:val="00DC544B"/>
    <w:pPr>
      <w:widowControl/>
      <w:spacing w:after="240"/>
    </w:pPr>
    <w:rPr>
      <w:lang w:val="en-GB"/>
    </w:rPr>
  </w:style>
  <w:style w:type="paragraph" w:customStyle="1" w:styleId="EPFooter2">
    <w:name w:val="EPFooter2"/>
    <w:basedOn w:val="Normal"/>
    <w:next w:val="Normal"/>
    <w:rsid w:val="00DC544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C544B"/>
    <w:pPr>
      <w:keepNext/>
      <w:spacing w:after="240"/>
      <w:jc w:val="right"/>
    </w:pPr>
    <w:rPr>
      <w:rFonts w:ascii="Arial" w:hAnsi="Arial"/>
      <w:b/>
    </w:rPr>
  </w:style>
  <w:style w:type="paragraph" w:customStyle="1" w:styleId="Normal6a">
    <w:name w:val="Normal6a"/>
    <w:basedOn w:val="Normal"/>
    <w:rsid w:val="00DC544B"/>
    <w:pPr>
      <w:spacing w:after="120"/>
    </w:pPr>
  </w:style>
  <w:style w:type="paragraph" w:customStyle="1" w:styleId="PageHeading">
    <w:name w:val="PageHeading"/>
    <w:basedOn w:val="Normal"/>
    <w:qFormat/>
    <w:rsid w:val="00DC544B"/>
    <w:pPr>
      <w:keepNext/>
      <w:spacing w:after="480"/>
      <w:jc w:val="center"/>
    </w:pPr>
    <w:rPr>
      <w:rFonts w:ascii="Arial" w:hAnsi="Arial" w:cs="Arial"/>
      <w:b/>
    </w:rPr>
  </w:style>
  <w:style w:type="paragraph" w:customStyle="1" w:styleId="NormalBold">
    <w:name w:val="NormalBold"/>
    <w:basedOn w:val="Normal"/>
    <w:link w:val="NormalBoldChar"/>
    <w:rsid w:val="00DC544B"/>
    <w:rPr>
      <w:b/>
    </w:rPr>
  </w:style>
  <w:style w:type="paragraph" w:customStyle="1" w:styleId="NormalBold12a">
    <w:name w:val="NormalBold12a"/>
    <w:basedOn w:val="Normal"/>
    <w:rsid w:val="00DC544B"/>
    <w:pPr>
      <w:spacing w:after="240"/>
    </w:pPr>
    <w:rPr>
      <w:b/>
    </w:rPr>
  </w:style>
  <w:style w:type="paragraph" w:customStyle="1" w:styleId="AmJustText">
    <w:name w:val="AmJustText"/>
    <w:basedOn w:val="Normal"/>
    <w:rsid w:val="00DC544B"/>
    <w:pPr>
      <w:spacing w:after="240"/>
    </w:pPr>
    <w:rPr>
      <w:i/>
    </w:rPr>
  </w:style>
  <w:style w:type="paragraph" w:customStyle="1" w:styleId="NormalHanging12a">
    <w:name w:val="NormalHanging12a"/>
    <w:basedOn w:val="Normal"/>
    <w:rsid w:val="00DC544B"/>
    <w:pPr>
      <w:spacing w:after="240"/>
      <w:ind w:left="567" w:hanging="567"/>
    </w:pPr>
  </w:style>
  <w:style w:type="paragraph" w:customStyle="1" w:styleId="CoverNormal24a">
    <w:name w:val="CoverNormal24a"/>
    <w:basedOn w:val="Normal"/>
    <w:rsid w:val="00DC544B"/>
    <w:pPr>
      <w:spacing w:after="480"/>
      <w:ind w:left="1417"/>
    </w:pPr>
  </w:style>
  <w:style w:type="paragraph" w:customStyle="1" w:styleId="CoverNormal">
    <w:name w:val="CoverNormal"/>
    <w:basedOn w:val="Normal"/>
    <w:rsid w:val="00DC544B"/>
    <w:pPr>
      <w:ind w:left="1418"/>
    </w:pPr>
  </w:style>
  <w:style w:type="paragraph" w:customStyle="1" w:styleId="AmCrossRef">
    <w:name w:val="AmCrossRef"/>
    <w:basedOn w:val="Normal"/>
    <w:rsid w:val="00DC544B"/>
    <w:pPr>
      <w:spacing w:before="240" w:after="240"/>
      <w:jc w:val="center"/>
    </w:pPr>
    <w:rPr>
      <w:i/>
    </w:rPr>
  </w:style>
  <w:style w:type="paragraph" w:customStyle="1" w:styleId="AmJustTitle">
    <w:name w:val="AmJustTitle"/>
    <w:basedOn w:val="Normal"/>
    <w:next w:val="AmJustText"/>
    <w:rsid w:val="00DC544B"/>
    <w:pPr>
      <w:keepNext/>
      <w:spacing w:before="240" w:after="240"/>
      <w:jc w:val="center"/>
    </w:pPr>
    <w:rPr>
      <w:i/>
    </w:rPr>
  </w:style>
  <w:style w:type="paragraph" w:customStyle="1" w:styleId="CoverReference">
    <w:name w:val="CoverReference"/>
    <w:basedOn w:val="Normal"/>
    <w:rsid w:val="00DC544B"/>
    <w:pPr>
      <w:spacing w:before="1080"/>
      <w:jc w:val="right"/>
    </w:pPr>
    <w:rPr>
      <w:rFonts w:ascii="Arial" w:hAnsi="Arial" w:cs="Arial"/>
      <w:b/>
    </w:rPr>
  </w:style>
  <w:style w:type="paragraph" w:customStyle="1" w:styleId="CoverDocType">
    <w:name w:val="CoverDocType"/>
    <w:basedOn w:val="Normal"/>
    <w:rsid w:val="00DC544B"/>
    <w:pPr>
      <w:ind w:left="1418"/>
    </w:pPr>
    <w:rPr>
      <w:rFonts w:ascii="Arial" w:hAnsi="Arial"/>
      <w:b/>
      <w:sz w:val="48"/>
    </w:rPr>
  </w:style>
  <w:style w:type="paragraph" w:customStyle="1" w:styleId="CoverDocType24a">
    <w:name w:val="CoverDocType24a"/>
    <w:basedOn w:val="Normal"/>
    <w:rsid w:val="00DC544B"/>
    <w:pPr>
      <w:spacing w:after="480"/>
      <w:ind w:left="1418"/>
    </w:pPr>
    <w:rPr>
      <w:rFonts w:ascii="Arial" w:hAnsi="Arial"/>
      <w:b/>
      <w:sz w:val="48"/>
    </w:rPr>
  </w:style>
  <w:style w:type="paragraph" w:customStyle="1" w:styleId="CoverDate">
    <w:name w:val="CoverDate"/>
    <w:basedOn w:val="Normal"/>
    <w:rsid w:val="00DC544B"/>
    <w:pPr>
      <w:spacing w:before="240" w:after="1200"/>
    </w:pPr>
  </w:style>
  <w:style w:type="paragraph" w:styleId="Header">
    <w:name w:val="header"/>
    <w:basedOn w:val="Normal"/>
    <w:link w:val="HeaderChar"/>
    <w:rsid w:val="00DC544B"/>
    <w:pPr>
      <w:tabs>
        <w:tab w:val="center" w:pos="4513"/>
        <w:tab w:val="right" w:pos="9026"/>
      </w:tabs>
    </w:pPr>
  </w:style>
  <w:style w:type="character" w:customStyle="1" w:styleId="HeaderChar">
    <w:name w:val="Header Char"/>
    <w:basedOn w:val="DefaultParagraphFont"/>
    <w:link w:val="Header"/>
    <w:rsid w:val="00DC544B"/>
    <w:rPr>
      <w:sz w:val="24"/>
      <w:lang w:val="da-DK"/>
    </w:rPr>
  </w:style>
  <w:style w:type="paragraph" w:customStyle="1" w:styleId="AmOrLang">
    <w:name w:val="AmOrLang"/>
    <w:basedOn w:val="Normal"/>
    <w:rsid w:val="00DC544B"/>
    <w:pPr>
      <w:spacing w:before="240" w:after="240"/>
      <w:jc w:val="right"/>
    </w:pPr>
  </w:style>
  <w:style w:type="paragraph" w:customStyle="1" w:styleId="AmColumnHeading">
    <w:name w:val="AmColumnHeading"/>
    <w:basedOn w:val="Normal"/>
    <w:rsid w:val="00DC544B"/>
    <w:pPr>
      <w:spacing w:after="240"/>
      <w:jc w:val="center"/>
    </w:pPr>
    <w:rPr>
      <w:i/>
    </w:rPr>
  </w:style>
  <w:style w:type="paragraph" w:customStyle="1" w:styleId="AmNumberTabs">
    <w:name w:val="AmNumberTabs"/>
    <w:basedOn w:val="Normal"/>
    <w:rsid w:val="00DC54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C544B"/>
    <w:pPr>
      <w:spacing w:before="240"/>
    </w:pPr>
    <w:rPr>
      <w:b/>
    </w:rPr>
  </w:style>
  <w:style w:type="paragraph" w:customStyle="1" w:styleId="EPBody">
    <w:name w:val="EPBody"/>
    <w:basedOn w:val="Normal"/>
    <w:rsid w:val="00DC544B"/>
    <w:pPr>
      <w:jc w:val="center"/>
    </w:pPr>
    <w:rPr>
      <w:rFonts w:ascii="Arial" w:hAnsi="Arial" w:cs="Arial"/>
      <w:i/>
      <w:sz w:val="22"/>
      <w:szCs w:val="22"/>
    </w:rPr>
  </w:style>
  <w:style w:type="paragraph" w:customStyle="1" w:styleId="EPFooter">
    <w:name w:val="EPFooter"/>
    <w:basedOn w:val="Normal"/>
    <w:rsid w:val="00DC544B"/>
    <w:pPr>
      <w:tabs>
        <w:tab w:val="center" w:pos="4535"/>
        <w:tab w:val="right" w:pos="9071"/>
      </w:tabs>
      <w:spacing w:before="240" w:after="240"/>
    </w:pPr>
    <w:rPr>
      <w:color w:val="010000"/>
      <w:sz w:val="22"/>
    </w:rPr>
  </w:style>
  <w:style w:type="paragraph" w:customStyle="1" w:styleId="EPComma">
    <w:name w:val="EPComma"/>
    <w:basedOn w:val="Normal"/>
    <w:rsid w:val="00DC544B"/>
    <w:pPr>
      <w:spacing w:before="480" w:after="240"/>
    </w:pPr>
  </w:style>
  <w:style w:type="paragraph" w:customStyle="1" w:styleId="Lgendesigne">
    <w:name w:val="Légende signe"/>
    <w:basedOn w:val="Normal"/>
    <w:rsid w:val="00DC544B"/>
    <w:pPr>
      <w:tabs>
        <w:tab w:val="right" w:pos="454"/>
        <w:tab w:val="left" w:pos="737"/>
      </w:tabs>
      <w:ind w:left="737" w:hanging="737"/>
    </w:pPr>
    <w:rPr>
      <w:snapToGrid w:val="0"/>
      <w:sz w:val="18"/>
      <w:lang w:eastAsia="en-US"/>
    </w:rPr>
  </w:style>
  <w:style w:type="paragraph" w:customStyle="1" w:styleId="Lgendetitre">
    <w:name w:val="Légende titre"/>
    <w:basedOn w:val="Normal"/>
    <w:rsid w:val="00DC544B"/>
    <w:pPr>
      <w:spacing w:before="240" w:after="240"/>
    </w:pPr>
    <w:rPr>
      <w:b/>
      <w:i/>
      <w:snapToGrid w:val="0"/>
      <w:lang w:eastAsia="en-US"/>
    </w:rPr>
  </w:style>
  <w:style w:type="paragraph" w:customStyle="1" w:styleId="Lgendestandard">
    <w:name w:val="Légende standard"/>
    <w:basedOn w:val="Normal"/>
    <w:rsid w:val="00DC544B"/>
    <w:rPr>
      <w:sz w:val="18"/>
    </w:rPr>
  </w:style>
  <w:style w:type="paragraph" w:customStyle="1" w:styleId="Default">
    <w:name w:val="Default"/>
    <w:rsid w:val="00DC544B"/>
    <w:pPr>
      <w:autoSpaceDE w:val="0"/>
      <w:autoSpaceDN w:val="0"/>
      <w:adjustRightInd w:val="0"/>
    </w:pPr>
    <w:rPr>
      <w:color w:val="000000"/>
      <w:sz w:val="24"/>
      <w:szCs w:val="24"/>
      <w:lang w:val="da-DK"/>
    </w:rPr>
  </w:style>
  <w:style w:type="character" w:customStyle="1" w:styleId="Normal6Char">
    <w:name w:val="Normal6 Char"/>
    <w:basedOn w:val="DefaultParagraphFont"/>
    <w:link w:val="Normal6"/>
    <w:locked/>
    <w:rsid w:val="00DC544B"/>
    <w:rPr>
      <w:b/>
      <w:bCs/>
      <w:i/>
      <w:iCs/>
      <w:sz w:val="24"/>
      <w:lang w:val="da-DK"/>
    </w:rPr>
  </w:style>
  <w:style w:type="paragraph" w:customStyle="1" w:styleId="Normal6">
    <w:name w:val="Normal6"/>
    <w:basedOn w:val="Normal"/>
    <w:link w:val="Normal6Char"/>
    <w:rsid w:val="00DC544B"/>
    <w:pPr>
      <w:spacing w:after="120"/>
    </w:pPr>
    <w:rPr>
      <w:b/>
      <w:bCs/>
      <w:i/>
      <w:iCs/>
    </w:rPr>
  </w:style>
  <w:style w:type="character" w:customStyle="1" w:styleId="NormalBoldChar">
    <w:name w:val="NormalBold Char"/>
    <w:basedOn w:val="DefaultParagraphFont"/>
    <w:link w:val="NormalBold"/>
    <w:locked/>
    <w:rsid w:val="00DC544B"/>
    <w:rPr>
      <w:b/>
      <w:sz w:val="24"/>
      <w:lang w:val="da-DK"/>
    </w:rPr>
  </w:style>
  <w:style w:type="paragraph" w:customStyle="1" w:styleId="ColumnHeading">
    <w:name w:val="ColumnHeading"/>
    <w:basedOn w:val="Normal"/>
    <w:rsid w:val="00DC544B"/>
    <w:pPr>
      <w:spacing w:after="240"/>
      <w:jc w:val="center"/>
    </w:pPr>
    <w:rPr>
      <w:i/>
    </w:rPr>
  </w:style>
  <w:style w:type="paragraph" w:customStyle="1" w:styleId="AMNumberTabs0">
    <w:name w:val="AMNumberTabs"/>
    <w:basedOn w:val="Normal"/>
    <w:rsid w:val="00DC54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C544B"/>
    <w:pPr>
      <w:jc w:val="right"/>
    </w:pPr>
    <w:rPr>
      <w:lang w:val="da-DK"/>
    </w:rPr>
  </w:style>
  <w:style w:type="character" w:styleId="Hyperlink">
    <w:name w:val="Hyperlink"/>
    <w:basedOn w:val="DefaultParagraphFont"/>
    <w:uiPriority w:val="99"/>
    <w:unhideWhenUsed/>
    <w:rsid w:val="00DC544B"/>
    <w:rPr>
      <w:color w:val="467886"/>
      <w:u w:val="single"/>
    </w:rPr>
  </w:style>
  <w:style w:type="paragraph" w:styleId="Revision">
    <w:name w:val="Revision"/>
    <w:hidden/>
    <w:uiPriority w:val="99"/>
    <w:semiHidden/>
    <w:rsid w:val="00DC544B"/>
    <w:rPr>
      <w:sz w:val="24"/>
      <w:lang w:val="da-DK"/>
    </w:rPr>
  </w:style>
  <w:style w:type="character" w:styleId="CommentReference">
    <w:name w:val="annotation reference"/>
    <w:basedOn w:val="DefaultParagraphFont"/>
    <w:rsid w:val="00DC544B"/>
    <w:rPr>
      <w:sz w:val="16"/>
      <w:szCs w:val="16"/>
    </w:rPr>
  </w:style>
  <w:style w:type="paragraph" w:styleId="CommentText">
    <w:name w:val="annotation text"/>
    <w:basedOn w:val="Normal"/>
    <w:link w:val="CommentTextChar"/>
    <w:rsid w:val="00DC544B"/>
    <w:rPr>
      <w:sz w:val="20"/>
    </w:rPr>
  </w:style>
  <w:style w:type="character" w:customStyle="1" w:styleId="CommentTextChar">
    <w:name w:val="Comment Text Char"/>
    <w:basedOn w:val="DefaultParagraphFont"/>
    <w:link w:val="CommentText"/>
    <w:rsid w:val="00DC544B"/>
    <w:rPr>
      <w:lang w:val="da-DK"/>
    </w:rPr>
  </w:style>
  <w:style w:type="paragraph" w:styleId="CommentSubject">
    <w:name w:val="annotation subject"/>
    <w:basedOn w:val="CommentText"/>
    <w:next w:val="CommentText"/>
    <w:link w:val="CommentSubjectChar"/>
    <w:unhideWhenUsed/>
    <w:rsid w:val="00DC544B"/>
    <w:rPr>
      <w:b/>
      <w:bCs/>
    </w:rPr>
  </w:style>
  <w:style w:type="character" w:customStyle="1" w:styleId="CommentSubjectChar">
    <w:name w:val="Comment Subject Char"/>
    <w:basedOn w:val="CommentTextChar"/>
    <w:link w:val="CommentSubject"/>
    <w:rsid w:val="00DC544B"/>
    <w:rPr>
      <w:b/>
      <w:bCs/>
      <w:lang w:val="da-DK"/>
    </w:rPr>
  </w:style>
  <w:style w:type="character" w:styleId="UnresolvedMention">
    <w:name w:val="Unresolved Mention"/>
    <w:basedOn w:val="DefaultParagraphFont"/>
    <w:uiPriority w:val="99"/>
    <w:semiHidden/>
    <w:unhideWhenUsed/>
    <w:rsid w:val="00DC544B"/>
    <w:rPr>
      <w:color w:val="605E5C"/>
      <w:shd w:val="clear" w:color="auto" w:fill="E1DFDD"/>
    </w:rPr>
  </w:style>
  <w:style w:type="character" w:styleId="Emphasis">
    <w:name w:val="Emphasis"/>
    <w:basedOn w:val="DefaultParagraphFont"/>
    <w:uiPriority w:val="20"/>
    <w:qFormat/>
    <w:rsid w:val="00DC544B"/>
    <w:rPr>
      <w:i/>
      <w:iCs/>
    </w:rPr>
  </w:style>
  <w:style w:type="paragraph" w:styleId="ListParagraph">
    <w:name w:val="List Paragraph"/>
    <w:basedOn w:val="Normal"/>
    <w:uiPriority w:val="1"/>
    <w:qFormat/>
    <w:rsid w:val="00DC544B"/>
    <w:pPr>
      <w:ind w:left="720"/>
      <w:contextualSpacing/>
    </w:pPr>
  </w:style>
  <w:style w:type="paragraph" w:styleId="BodyText">
    <w:name w:val="Body Text"/>
    <w:basedOn w:val="Normal"/>
    <w:link w:val="BodyTextChar"/>
    <w:uiPriority w:val="1"/>
    <w:unhideWhenUsed/>
    <w:qFormat/>
    <w:rsid w:val="00DC544B"/>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DC544B"/>
    <w:rPr>
      <w:sz w:val="24"/>
      <w:szCs w:val="24"/>
      <w:lang w:val="da-DK" w:eastAsia="en-US"/>
    </w:rPr>
  </w:style>
  <w:style w:type="paragraph" w:customStyle="1" w:styleId="Normal12a">
    <w:name w:val="Normal12a"/>
    <w:basedOn w:val="Normal"/>
    <w:rsid w:val="00DC544B"/>
    <w:pPr>
      <w:spacing w:after="240"/>
    </w:pPr>
  </w:style>
  <w:style w:type="paragraph" w:customStyle="1" w:styleId="PageHeadingNotTOC">
    <w:name w:val="PageHeadingNotTOC"/>
    <w:basedOn w:val="Normal"/>
    <w:rsid w:val="00DC544B"/>
    <w:pPr>
      <w:keepNext/>
      <w:spacing w:after="480"/>
      <w:jc w:val="center"/>
    </w:pPr>
    <w:rPr>
      <w:rFonts w:ascii="Arial" w:hAnsi="Arial" w:cs="Arial"/>
      <w:b/>
    </w:rPr>
  </w:style>
  <w:style w:type="paragraph" w:customStyle="1" w:styleId="AmHeadingPA">
    <w:name w:val="AmHeadingPA"/>
    <w:basedOn w:val="Normal"/>
    <w:next w:val="Normal"/>
    <w:rsid w:val="00DC544B"/>
    <w:pPr>
      <w:spacing w:before="480" w:after="240"/>
      <w:jc w:val="center"/>
    </w:pPr>
    <w:rPr>
      <w:rFonts w:ascii="Arial" w:hAnsi="Arial"/>
      <w:b/>
      <w:caps/>
      <w:snapToGrid w:val="0"/>
      <w:szCs w:val="24"/>
      <w:lang w:eastAsia="en-US"/>
    </w:rPr>
  </w:style>
  <w:style w:type="paragraph" w:customStyle="1" w:styleId="Normal24a">
    <w:name w:val="Normal24a"/>
    <w:basedOn w:val="Normal"/>
    <w:rsid w:val="00DC544B"/>
    <w:pPr>
      <w:spacing w:after="480"/>
    </w:pPr>
    <w:rPr>
      <w:szCs w:val="24"/>
    </w:rPr>
  </w:style>
  <w:style w:type="paragraph" w:customStyle="1" w:styleId="NormalBoldCenter">
    <w:name w:val="NormalBoldCenter"/>
    <w:basedOn w:val="Normal"/>
    <w:rsid w:val="00DC544B"/>
    <w:pPr>
      <w:jc w:val="center"/>
    </w:pPr>
    <w:rPr>
      <w:b/>
      <w:szCs w:val="24"/>
    </w:rPr>
  </w:style>
  <w:style w:type="paragraph" w:customStyle="1" w:styleId="Footprint12b">
    <w:name w:val="Footprint12b"/>
    <w:basedOn w:val="Normal"/>
    <w:rsid w:val="00DC544B"/>
    <w:pPr>
      <w:spacing w:before="240"/>
    </w:pPr>
    <w:rPr>
      <w:szCs w:val="24"/>
    </w:rPr>
  </w:style>
  <w:style w:type="paragraph" w:customStyle="1" w:styleId="NormalSingle">
    <w:name w:val="NormalSingle"/>
    <w:basedOn w:val="Normal"/>
    <w:qFormat/>
    <w:rsid w:val="00DC544B"/>
    <w:rPr>
      <w:szCs w:val="24"/>
    </w:rPr>
  </w:style>
  <w:style w:type="paragraph" w:customStyle="1" w:styleId="RollCallSymbols14pt">
    <w:name w:val="RollCallSymbols14pt"/>
    <w:basedOn w:val="Normal"/>
    <w:rsid w:val="00DC544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C544B"/>
    <w:pPr>
      <w:tabs>
        <w:tab w:val="center" w:pos="284"/>
        <w:tab w:val="left" w:pos="426"/>
      </w:tabs>
    </w:pPr>
    <w:rPr>
      <w:snapToGrid w:val="0"/>
      <w:lang w:eastAsia="en-US"/>
    </w:rPr>
  </w:style>
  <w:style w:type="paragraph" w:customStyle="1" w:styleId="RollCallVotes">
    <w:name w:val="RollCallVotes"/>
    <w:basedOn w:val="Normal"/>
    <w:rsid w:val="00DC544B"/>
    <w:pPr>
      <w:spacing w:before="120" w:after="120"/>
      <w:jc w:val="center"/>
    </w:pPr>
    <w:rPr>
      <w:b/>
      <w:bCs/>
      <w:snapToGrid w:val="0"/>
      <w:sz w:val="16"/>
      <w:lang w:eastAsia="en-US"/>
    </w:rPr>
  </w:style>
  <w:style w:type="paragraph" w:customStyle="1" w:styleId="RollCallTable">
    <w:name w:val="RollCallTable"/>
    <w:basedOn w:val="Normal"/>
    <w:rsid w:val="00DC544B"/>
    <w:pPr>
      <w:spacing w:before="120" w:after="120"/>
    </w:pPr>
    <w:rPr>
      <w:snapToGrid w:val="0"/>
      <w:sz w:val="16"/>
      <w:lang w:eastAsia="en-US"/>
    </w:rPr>
  </w:style>
  <w:style w:type="paragraph" w:styleId="Footer">
    <w:name w:val="footer"/>
    <w:basedOn w:val="Normal"/>
    <w:link w:val="FooterChar"/>
    <w:rsid w:val="00DC544B"/>
    <w:pPr>
      <w:tabs>
        <w:tab w:val="center" w:pos="4513"/>
        <w:tab w:val="right" w:pos="9026"/>
      </w:tabs>
    </w:pPr>
  </w:style>
  <w:style w:type="character" w:customStyle="1" w:styleId="FooterChar">
    <w:name w:val="Footer Char"/>
    <w:basedOn w:val="DefaultParagraphFont"/>
    <w:link w:val="Footer"/>
    <w:rsid w:val="00DC544B"/>
    <w:rPr>
      <w:sz w:val="24"/>
      <w:lang w:val="da-DK"/>
    </w:rPr>
  </w:style>
  <w:style w:type="paragraph" w:customStyle="1" w:styleId="FootnoteTextForceStyle">
    <w:name w:val="Footnote Text ForceStyle"/>
    <w:rsid w:val="00123F6C"/>
    <w:pPr>
      <w:keepLines/>
      <w:spacing w:line="240" w:lineRule="exact"/>
      <w:ind w:left="850" w:hanging="850"/>
    </w:pPr>
    <w:rPr>
      <w:sz w:val="24"/>
      <w:lang w:val="da-D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4/833/oj" TargetMode="External"/><Relationship Id="rId1" Type="http://schemas.openxmlformats.org/officeDocument/2006/relationships/hyperlink" Target="http://data.europa.eu/eli/dec/2014/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546</Words>
  <Characters>3702</Characters>
  <Application>Microsoft Office Word</Application>
  <DocSecurity>0</DocSecurity>
  <Lines>78</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2026-07-01T14:40:00Z</dcterms:created>
  <dcterms:modified xsi:type="dcterms:W3CDTF">2026-07-01T14:40:00Z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P10_TA(2026)0170_</vt:lpwstr>
  </property>
  <property fmtid="{D5CDD505-2E9C-101B-9397-08002B2CF9AE}" pid="4" name="&lt;Type&gt;">
    <vt:lpwstr>RR</vt:lpwstr>
  </property>
</Properties>
</file>