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06A7" w14:paraId="77661D96" w14:textId="77777777" w:rsidTr="0010095E">
        <w:trPr>
          <w:trHeight w:hRule="exact" w:val="1418"/>
        </w:trPr>
        <w:tc>
          <w:tcPr>
            <w:tcW w:w="6804" w:type="dxa"/>
            <w:shd w:val="clear" w:color="auto" w:fill="auto"/>
            <w:vAlign w:val="center"/>
          </w:tcPr>
          <w:p w14:paraId="1EF6D45A" w14:textId="77777777" w:rsidR="00751A4A" w:rsidRPr="005006A7" w:rsidRDefault="002B3630" w:rsidP="0010095E">
            <w:pPr>
              <w:pStyle w:val="EPName"/>
            </w:pPr>
            <w:r w:rsidRPr="005006A7">
              <w:t>Europäisches Parlament</w:t>
            </w:r>
          </w:p>
          <w:p w14:paraId="7E3D4E18" w14:textId="77777777" w:rsidR="00751A4A" w:rsidRPr="005006A7" w:rsidRDefault="005F1B17" w:rsidP="005F1B17">
            <w:pPr>
              <w:pStyle w:val="EPTerm"/>
              <w:rPr>
                <w:rStyle w:val="HideTWBExt"/>
                <w:noProof w:val="0"/>
                <w:vanish w:val="0"/>
                <w:color w:val="auto"/>
              </w:rPr>
            </w:pPr>
            <w:r w:rsidRPr="005006A7">
              <w:t>2024</w:t>
            </w:r>
            <w:r w:rsidR="00817416" w:rsidRPr="005006A7">
              <w:t>-202</w:t>
            </w:r>
            <w:r w:rsidRPr="005006A7">
              <w:t>9</w:t>
            </w:r>
          </w:p>
        </w:tc>
        <w:tc>
          <w:tcPr>
            <w:tcW w:w="2268" w:type="dxa"/>
            <w:shd w:val="clear" w:color="auto" w:fill="auto"/>
          </w:tcPr>
          <w:p w14:paraId="10E9E0EA" w14:textId="77777777" w:rsidR="00751A4A" w:rsidRPr="005006A7" w:rsidRDefault="00187494" w:rsidP="0010095E">
            <w:pPr>
              <w:pStyle w:val="EPLogo"/>
            </w:pPr>
            <w:r w:rsidRPr="005006A7">
              <w:rPr>
                <w:noProof/>
                <w:lang w:eastAsia="ja-JP"/>
              </w:rPr>
              <w:drawing>
                <wp:inline distT="0" distB="0" distL="0" distR="0" wp14:anchorId="4EED5D8B" wp14:editId="032A8C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8A069E" w14:textId="77777777" w:rsidR="00D058B8" w:rsidRPr="005006A7" w:rsidRDefault="00D058B8" w:rsidP="004C5D52">
      <w:pPr>
        <w:pStyle w:val="LineTop"/>
      </w:pPr>
    </w:p>
    <w:p w14:paraId="012CB072" w14:textId="77777777" w:rsidR="00680577" w:rsidRPr="005006A7" w:rsidRDefault="002B3630" w:rsidP="00680577">
      <w:pPr>
        <w:pStyle w:val="EPBodyTA1"/>
      </w:pPr>
      <w:r w:rsidRPr="005006A7">
        <w:t>ANGENOMMENE TEXTE</w:t>
      </w:r>
    </w:p>
    <w:p w14:paraId="2A79BF1C" w14:textId="77777777" w:rsidR="00D058B8" w:rsidRPr="005006A7" w:rsidRDefault="00D058B8" w:rsidP="00D058B8">
      <w:pPr>
        <w:pStyle w:val="LineBottom"/>
      </w:pPr>
    </w:p>
    <w:p w14:paraId="1BA569C5" w14:textId="59714E65" w:rsidR="002B3630" w:rsidRPr="005006A7" w:rsidRDefault="002B3630" w:rsidP="002B3630">
      <w:pPr>
        <w:pStyle w:val="ATHeading1"/>
      </w:pPr>
      <w:bookmarkStart w:id="0" w:name="TANumber"/>
      <w:r w:rsidRPr="005006A7">
        <w:t>P10_</w:t>
      </w:r>
      <w:proofErr w:type="gramStart"/>
      <w:r w:rsidRPr="005006A7">
        <w:t>TA(</w:t>
      </w:r>
      <w:proofErr w:type="gramEnd"/>
      <w:r w:rsidRPr="005006A7">
        <w:t>2026)0</w:t>
      </w:r>
      <w:bookmarkEnd w:id="0"/>
      <w:r w:rsidR="00BD2772" w:rsidRPr="005006A7">
        <w:t>170</w:t>
      </w:r>
    </w:p>
    <w:p w14:paraId="33D76C51" w14:textId="23F705ED" w:rsidR="002B3630" w:rsidRPr="005006A7" w:rsidRDefault="00235740" w:rsidP="002B3630">
      <w:pPr>
        <w:pStyle w:val="ATHeading2"/>
      </w:pPr>
      <w:r w:rsidRPr="005006A7">
        <w:rPr>
          <w:bCs/>
        </w:rPr>
        <w:t>Negative handelsbezogene Auswirkungen globaler Überkapazitäten auf den Stahlmarkt der Union</w:t>
      </w:r>
    </w:p>
    <w:p w14:paraId="6A633507" w14:textId="77777777" w:rsidR="002B3630" w:rsidRPr="005006A7" w:rsidRDefault="002B3630" w:rsidP="002B3630">
      <w:pPr>
        <w:rPr>
          <w:i/>
          <w:vanish/>
        </w:rPr>
      </w:pPr>
      <w:r w:rsidRPr="005006A7">
        <w:rPr>
          <w:i/>
        </w:rPr>
        <w:fldChar w:fldCharType="begin"/>
      </w:r>
      <w:r w:rsidRPr="005006A7">
        <w:rPr>
          <w:i/>
        </w:rPr>
        <w:instrText xml:space="preserve"> TC"(</w:instrText>
      </w:r>
      <w:bookmarkStart w:id="1" w:name="DocNumber"/>
      <w:r w:rsidRPr="005006A7">
        <w:rPr>
          <w:i/>
        </w:rPr>
        <w:instrText>A10-0012/2026</w:instrText>
      </w:r>
      <w:bookmarkEnd w:id="1"/>
      <w:r w:rsidRPr="005006A7">
        <w:rPr>
          <w:i/>
        </w:rPr>
        <w:instrText xml:space="preserve"> - Berichterstatterin: Karin Karlsbro)"\l3 \n&gt; \* MERGEFORMAT </w:instrText>
      </w:r>
      <w:r w:rsidRPr="005006A7">
        <w:rPr>
          <w:i/>
        </w:rPr>
        <w:fldChar w:fldCharType="end"/>
      </w:r>
    </w:p>
    <w:p w14:paraId="7AF64EAE" w14:textId="1BB97A77" w:rsidR="002B3630" w:rsidRPr="005006A7" w:rsidRDefault="002B3630" w:rsidP="002B3630">
      <w:pPr>
        <w:rPr>
          <w:vanish/>
        </w:rPr>
      </w:pPr>
      <w:bookmarkStart w:id="2" w:name="Commission"/>
      <w:r w:rsidRPr="005006A7">
        <w:rPr>
          <w:vanish/>
        </w:rPr>
        <w:t>Ausschuss für internationalen Handel</w:t>
      </w:r>
      <w:bookmarkEnd w:id="2"/>
    </w:p>
    <w:p w14:paraId="56355867" w14:textId="77777777" w:rsidR="002B3630" w:rsidRPr="005006A7" w:rsidRDefault="002B3630" w:rsidP="002B3630">
      <w:pPr>
        <w:rPr>
          <w:vanish/>
        </w:rPr>
      </w:pPr>
      <w:bookmarkStart w:id="3" w:name="PE"/>
      <w:r w:rsidRPr="005006A7">
        <w:rPr>
          <w:vanish/>
        </w:rPr>
        <w:t>PE779.727</w:t>
      </w:r>
      <w:bookmarkEnd w:id="3"/>
    </w:p>
    <w:p w14:paraId="578D5689" w14:textId="40BF9ABA" w:rsidR="002B3630" w:rsidRPr="005006A7" w:rsidRDefault="002B3630" w:rsidP="002B3630">
      <w:pPr>
        <w:pStyle w:val="ATHeading3"/>
      </w:pPr>
      <w:bookmarkStart w:id="4" w:name="Sujet"/>
      <w:r w:rsidRPr="005006A7">
        <w:t xml:space="preserve">Legislative Entschließung des Europäischen Parlaments vom </w:t>
      </w:r>
      <w:r w:rsidR="00235740" w:rsidRPr="005006A7">
        <w:t>19</w:t>
      </w:r>
      <w:r w:rsidRPr="005006A7">
        <w:t>. Mai 2026 zu dem Vorschlag für eine Verordnung des Europäischen Parlaments und des Rates zur Eindämmung der negativen handelsbezogenen Auswirkungen globaler Überkapazitäten auf den Stahlmarkt der Union</w:t>
      </w:r>
      <w:bookmarkEnd w:id="4"/>
      <w:r w:rsidRPr="005006A7">
        <w:t xml:space="preserve"> </w:t>
      </w:r>
      <w:bookmarkStart w:id="5" w:name="References"/>
      <w:r w:rsidRPr="005006A7">
        <w:t>(COM(2025)0726 – C10-0245/2025 – 2025/0726(COD))</w:t>
      </w:r>
      <w:bookmarkEnd w:id="5"/>
    </w:p>
    <w:p w14:paraId="405E1C5F" w14:textId="77777777" w:rsidR="00340DFC" w:rsidRPr="005006A7" w:rsidRDefault="00340DFC" w:rsidP="00340DFC">
      <w:pPr>
        <w:pStyle w:val="NormalBold"/>
      </w:pPr>
      <w:r w:rsidRPr="005006A7">
        <w:t>(Ordentliches Gesetzgebungsverfahren: erste Lesung)</w:t>
      </w:r>
    </w:p>
    <w:p w14:paraId="7573341D" w14:textId="079C5E2F" w:rsidR="00340DFC" w:rsidRPr="005006A7" w:rsidRDefault="00340DFC" w:rsidP="00340DFC">
      <w:pPr>
        <w:pStyle w:val="EPComma"/>
      </w:pPr>
      <w:r w:rsidRPr="005006A7">
        <w:rPr>
          <w:i/>
        </w:rPr>
        <w:t>Das Europäische Parlament</w:t>
      </w:r>
      <w:r w:rsidRPr="005006A7">
        <w:t>,</w:t>
      </w:r>
    </w:p>
    <w:p w14:paraId="5FA320F0" w14:textId="77777777" w:rsidR="00340DFC" w:rsidRPr="005006A7" w:rsidRDefault="00340DFC" w:rsidP="00340DFC">
      <w:pPr>
        <w:pStyle w:val="NormalHanging12a"/>
      </w:pPr>
      <w:r w:rsidRPr="005006A7">
        <w:t>–</w:t>
      </w:r>
      <w:r w:rsidRPr="005006A7">
        <w:tab/>
        <w:t>unter Hinweis auf den Vorschlag der Kommission an das Europäische Parlament und den Rat (</w:t>
      </w:r>
      <w:proofErr w:type="gramStart"/>
      <w:r w:rsidRPr="005006A7">
        <w:t>COM(</w:t>
      </w:r>
      <w:proofErr w:type="gramEnd"/>
      <w:r w:rsidRPr="005006A7">
        <w:t>2025)0726),</w:t>
      </w:r>
    </w:p>
    <w:p w14:paraId="10338051" w14:textId="77777777" w:rsidR="00340DFC" w:rsidRPr="005006A7" w:rsidRDefault="00340DFC" w:rsidP="00340DFC">
      <w:pPr>
        <w:pStyle w:val="NormalHanging12a"/>
      </w:pPr>
      <w:r w:rsidRPr="005006A7">
        <w:t>–</w:t>
      </w:r>
      <w:r w:rsidRPr="005006A7">
        <w:tab/>
        <w:t>gestützt auf Artikel 294 Absatz 2 und Artikel 207 Absatz 2 des Vertrags über die Arbeitsweise der Europäischen Union, auf deren Grundlage ihm der Vorschlag der Kommission unterbreitet wurde (C10-0245/2025),</w:t>
      </w:r>
    </w:p>
    <w:p w14:paraId="22CE50D6" w14:textId="77777777" w:rsidR="00340DFC" w:rsidRPr="005006A7" w:rsidRDefault="00340DFC" w:rsidP="00340DFC">
      <w:pPr>
        <w:pStyle w:val="NormalHanging12a"/>
      </w:pPr>
      <w:r w:rsidRPr="005006A7">
        <w:t>–</w:t>
      </w:r>
      <w:r w:rsidRPr="005006A7">
        <w:tab/>
        <w:t>gestützt auf Artikel 294 Absatz 3 des Vertrags über die Arbeitsweise der Europäischen Union,</w:t>
      </w:r>
    </w:p>
    <w:p w14:paraId="6167ABF5" w14:textId="1A3876BB" w:rsidR="00E263BA" w:rsidRPr="005006A7" w:rsidRDefault="00E263BA" w:rsidP="00340DFC">
      <w:pPr>
        <w:pStyle w:val="NormalHanging12a"/>
      </w:pPr>
      <w:r w:rsidRPr="005006A7">
        <w:t>–</w:t>
      </w:r>
      <w:r w:rsidRPr="005006A7">
        <w:tab/>
        <w:t>unter Hinweis auf die vorläufige Einigung, die gemäß Artikel 75 Absatz 4 seiner Geschäftsordnung vom zuständigen Ausschuss angenommen wurde, und auf die vom Vertreter des Rates mit Schreiben vom 23. April 2026 gemachte Zusage, den Standpunkt des Europäischen Parlaments gemäß Artikel 294 Absatz 4 des Vertrags über die Arbeitsweise der Europäischen Union zu billigen,</w:t>
      </w:r>
    </w:p>
    <w:p w14:paraId="5FFFD810" w14:textId="77777777" w:rsidR="00340DFC" w:rsidRPr="005006A7" w:rsidRDefault="00340DFC" w:rsidP="00340DFC">
      <w:pPr>
        <w:pStyle w:val="NormalHanging12a"/>
      </w:pPr>
      <w:r w:rsidRPr="005006A7">
        <w:t>–</w:t>
      </w:r>
      <w:r w:rsidRPr="005006A7">
        <w:tab/>
        <w:t>gestützt auf Artikel 60 seiner Geschäftsordnung,</w:t>
      </w:r>
    </w:p>
    <w:p w14:paraId="7510D219" w14:textId="77777777" w:rsidR="00340DFC" w:rsidRPr="005006A7" w:rsidRDefault="00340DFC" w:rsidP="00340DFC">
      <w:pPr>
        <w:pStyle w:val="NormalHanging12a"/>
      </w:pPr>
      <w:r w:rsidRPr="005006A7">
        <w:t>–</w:t>
      </w:r>
      <w:r w:rsidRPr="005006A7">
        <w:tab/>
        <w:t>unter Hinweis auf die Stellungnahme des Ausschusses für Industrie, Forschung und Energie,</w:t>
      </w:r>
    </w:p>
    <w:p w14:paraId="215905B1" w14:textId="77777777" w:rsidR="00340DFC" w:rsidRPr="005006A7" w:rsidRDefault="00340DFC" w:rsidP="00340DFC">
      <w:pPr>
        <w:pStyle w:val="NormalHanging12a"/>
      </w:pPr>
      <w:r w:rsidRPr="005006A7">
        <w:t>–</w:t>
      </w:r>
      <w:r w:rsidRPr="005006A7">
        <w:tab/>
        <w:t>unter Hinweis auf den Bericht des Ausschusses für internationalen Handel (A10-0012/2026),</w:t>
      </w:r>
    </w:p>
    <w:p w14:paraId="6F3C0D79" w14:textId="77777777" w:rsidR="00340DFC" w:rsidRPr="005006A7" w:rsidRDefault="00340DFC" w:rsidP="00340DFC">
      <w:pPr>
        <w:pStyle w:val="NormalHanging12a"/>
      </w:pPr>
      <w:r w:rsidRPr="005006A7">
        <w:t>1.</w:t>
      </w:r>
      <w:r w:rsidRPr="005006A7">
        <w:tab/>
        <w:t>legt den folgenden Standpunkt in erster Lesung fest;</w:t>
      </w:r>
    </w:p>
    <w:p w14:paraId="0FDEAA20" w14:textId="579B019C" w:rsidR="00F86EF0" w:rsidRPr="005006A7" w:rsidRDefault="00F86EF0" w:rsidP="00F86EF0">
      <w:pPr>
        <w:pStyle w:val="NormalHanging12a"/>
      </w:pPr>
      <w:r w:rsidRPr="005006A7">
        <w:lastRenderedPageBreak/>
        <w:t>2.</w:t>
      </w:r>
      <w:r w:rsidRPr="005006A7">
        <w:tab/>
        <w:t xml:space="preserve">billigt </w:t>
      </w:r>
      <w:r w:rsidR="006474DD" w:rsidRPr="005006A7">
        <w:t>die</w:t>
      </w:r>
      <w:r w:rsidRPr="005006A7">
        <w:t xml:space="preserve"> dieser Entschließung beigefügte gemeinsame Erklärung des Europäischen Parlaments, des Rates und der Kommission, die im </w:t>
      </w:r>
      <w:r w:rsidRPr="005006A7">
        <w:rPr>
          <w:i/>
        </w:rPr>
        <w:t>Amtsblatt der Europäischen Union</w:t>
      </w:r>
      <w:r w:rsidRPr="005006A7">
        <w:t xml:space="preserve"> (Reihe C) veröffentlicht wird;</w:t>
      </w:r>
    </w:p>
    <w:p w14:paraId="6DDDC14E" w14:textId="709997F5" w:rsidR="00340DFC" w:rsidRPr="005006A7" w:rsidRDefault="00E4100B" w:rsidP="00340DFC">
      <w:pPr>
        <w:pStyle w:val="NormalHanging12a"/>
      </w:pPr>
      <w:r w:rsidRPr="005006A7">
        <w:t>3</w:t>
      </w:r>
      <w:r w:rsidR="00340DFC" w:rsidRPr="005006A7">
        <w:t>.</w:t>
      </w:r>
      <w:r w:rsidR="00340DFC" w:rsidRPr="005006A7">
        <w:tab/>
        <w:t>fordert die Kommission auf, es erneut zu befassen, falls sie ihren Vorschlag ersetzt, entscheidend ändert oder beabsichtigt, ihn entscheidend zu ändern;</w:t>
      </w:r>
    </w:p>
    <w:p w14:paraId="6D4F677D" w14:textId="4F678D7C" w:rsidR="00F86EF0" w:rsidRPr="005006A7" w:rsidRDefault="00E4100B" w:rsidP="00F86EF0">
      <w:pPr>
        <w:pStyle w:val="NormalHanging12a"/>
        <w:sectPr w:rsidR="00F86EF0" w:rsidRPr="005006A7" w:rsidSect="00C42568">
          <w:footnotePr>
            <w:numRestart w:val="eachSect"/>
          </w:footnotePr>
          <w:endnotePr>
            <w:numFmt w:val="decimal"/>
          </w:endnotePr>
          <w:pgSz w:w="11906" w:h="16838" w:code="9"/>
          <w:pgMar w:top="1134" w:right="1418" w:bottom="1418" w:left="1418" w:header="1134" w:footer="567" w:gutter="0"/>
          <w:cols w:space="720"/>
          <w:noEndnote/>
          <w:docGrid w:linePitch="326"/>
        </w:sectPr>
      </w:pPr>
      <w:r w:rsidRPr="005006A7">
        <w:t>4</w:t>
      </w:r>
      <w:r w:rsidR="00340DFC" w:rsidRPr="005006A7">
        <w:t>.</w:t>
      </w:r>
      <w:r w:rsidR="00340DFC" w:rsidRPr="005006A7">
        <w:tab/>
        <w:t>beauftragt seine Präsidentin, den Standpunkt des Parlaments dem Rat und der Kommission sowie den nationalen Parlamenten zu übermitteln.</w:t>
      </w:r>
    </w:p>
    <w:p w14:paraId="059D83C4" w14:textId="77777777" w:rsidR="00E4100B" w:rsidRPr="005006A7" w:rsidRDefault="00E4100B" w:rsidP="00E4100B">
      <w:pPr>
        <w:autoSpaceDE w:val="0"/>
        <w:autoSpaceDN w:val="0"/>
        <w:adjustRightInd w:val="0"/>
        <w:spacing w:after="240"/>
        <w:rPr>
          <w:rFonts w:eastAsia="Calibri"/>
          <w:b/>
          <w:bCs/>
          <w:color w:val="000000"/>
          <w:szCs w:val="24"/>
        </w:rPr>
      </w:pPr>
      <w:r w:rsidRPr="005006A7">
        <w:rPr>
          <w:rFonts w:eastAsia="Calibri"/>
          <w:b/>
          <w:bCs/>
          <w:color w:val="000000"/>
          <w:szCs w:val="24"/>
        </w:rPr>
        <w:lastRenderedPageBreak/>
        <w:t>P10_TC1-</w:t>
      </w:r>
      <w:proofErr w:type="gramStart"/>
      <w:r w:rsidRPr="005006A7">
        <w:rPr>
          <w:rFonts w:eastAsia="Calibri"/>
          <w:b/>
          <w:bCs/>
          <w:color w:val="000000"/>
          <w:szCs w:val="24"/>
        </w:rPr>
        <w:t>COD(</w:t>
      </w:r>
      <w:proofErr w:type="gramEnd"/>
      <w:r w:rsidRPr="005006A7">
        <w:rPr>
          <w:rFonts w:eastAsia="Calibri"/>
          <w:b/>
          <w:bCs/>
          <w:color w:val="000000"/>
          <w:szCs w:val="24"/>
        </w:rPr>
        <w:t>2025)0726</w:t>
      </w:r>
    </w:p>
    <w:p w14:paraId="3985B193" w14:textId="77777777" w:rsidR="00E4100B" w:rsidRPr="00B20725" w:rsidRDefault="00E4100B" w:rsidP="00E4100B">
      <w:pPr>
        <w:pStyle w:val="NormalHanging12a"/>
        <w:ind w:left="0" w:firstLine="0"/>
        <w:rPr>
          <w:b/>
          <w:bCs/>
        </w:rPr>
      </w:pPr>
      <w:r w:rsidRPr="005006A7">
        <w:rPr>
          <w:b/>
          <w:bCs/>
        </w:rPr>
        <w:t xml:space="preserve">Standpunkt des Europäischen Parlaments festgelegt in erster Lesung am 19. Mai 2026 im Hinblick auf den Erlass der </w:t>
      </w:r>
      <w:r w:rsidRPr="00B20725">
        <w:rPr>
          <w:b/>
          <w:bCs/>
        </w:rPr>
        <w:t>Verordnung (EU) 2026/... des Europäischen Parlaments und des Rates zur Eindämmung der negativen handelsbezogenen Auswirkungen globaler Überkapazitäten auf den Stahlmarkt der Union und zur Änderung der Verordnung (EU) 2020/2170</w:t>
      </w:r>
    </w:p>
    <w:p w14:paraId="5365BFA7" w14:textId="340D90CF" w:rsidR="00E4100B" w:rsidRDefault="00B20725" w:rsidP="00B20725">
      <w:pPr>
        <w:widowControl/>
        <w:spacing w:before="120" w:after="120"/>
        <w:rPr>
          <w:szCs w:val="24"/>
          <w:lang w:eastAsia="en-US"/>
        </w:rPr>
      </w:pPr>
      <w:r>
        <w:rPr>
          <w:rStyle w:val="normaltextrun"/>
          <w:i/>
          <w:iCs/>
          <w:color w:val="000000"/>
          <w:shd w:val="clear" w:color="auto" w:fill="FFFFFF"/>
        </w:rPr>
        <w:t xml:space="preserve">(Da Parlament und Rat eine Einigung erzielt haben, entspricht der Standpunkt des Parlaments dem endgültigen Rechtsakt, Verordnung </w:t>
      </w:r>
      <w:r>
        <w:rPr>
          <w:rStyle w:val="normaltextrun"/>
          <w:i/>
          <w:iCs/>
          <w:color w:val="000000"/>
          <w:shd w:val="clear" w:color="auto" w:fill="FFFFFF"/>
        </w:rPr>
        <w:t>(EU) 2026/1384</w:t>
      </w:r>
      <w:r>
        <w:rPr>
          <w:rStyle w:val="normaltextrun"/>
          <w:i/>
          <w:iCs/>
          <w:color w:val="000000"/>
          <w:shd w:val="clear" w:color="auto" w:fill="FFFFFF"/>
        </w:rPr>
        <w:t>.)</w:t>
      </w:r>
      <w:r>
        <w:rPr>
          <w:rStyle w:val="eop"/>
          <w:color w:val="000000"/>
          <w:shd w:val="clear" w:color="auto" w:fill="FFFFFF"/>
        </w:rPr>
        <w:t> </w:t>
      </w:r>
    </w:p>
    <w:p w14:paraId="325614E6" w14:textId="77777777" w:rsidR="00B20725" w:rsidRDefault="00B20725" w:rsidP="00E4100B">
      <w:pPr>
        <w:widowControl/>
        <w:spacing w:before="120" w:after="120" w:line="360" w:lineRule="auto"/>
        <w:rPr>
          <w:szCs w:val="24"/>
          <w:lang w:eastAsia="en-US"/>
        </w:rPr>
      </w:pPr>
    </w:p>
    <w:p w14:paraId="623E2D80" w14:textId="5F093438" w:rsidR="00B20725" w:rsidRPr="005006A7" w:rsidRDefault="00B20725" w:rsidP="00E4100B">
      <w:pPr>
        <w:widowControl/>
        <w:spacing w:before="120" w:after="120" w:line="360" w:lineRule="auto"/>
        <w:rPr>
          <w:szCs w:val="24"/>
          <w:lang w:eastAsia="en-US"/>
        </w:rPr>
        <w:sectPr w:rsidR="00B20725" w:rsidRPr="005006A7" w:rsidSect="00C42568">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343FC47" w14:textId="502D5774" w:rsidR="00694841" w:rsidRPr="005006A7" w:rsidRDefault="00694841" w:rsidP="005006A7">
      <w:pPr>
        <w:spacing w:before="240"/>
        <w:jc w:val="right"/>
      </w:pPr>
      <w:r w:rsidRPr="005006A7">
        <w:lastRenderedPageBreak/>
        <w:t>ANLAGE ZUR LEGISLATIVEN ENTSCHLIESSUNG</w:t>
      </w:r>
    </w:p>
    <w:p w14:paraId="7BF1126C" w14:textId="2CA9E869" w:rsidR="00694841" w:rsidRPr="005006A7" w:rsidRDefault="00694841" w:rsidP="00694841">
      <w:pPr>
        <w:spacing w:before="240"/>
        <w:rPr>
          <w:szCs w:val="24"/>
        </w:rPr>
      </w:pPr>
      <w:r w:rsidRPr="005006A7">
        <w:rPr>
          <w:b/>
          <w:szCs w:val="24"/>
        </w:rPr>
        <w:t xml:space="preserve">Gemeinsame Erklärung des Europäischen Parlaments, des Rates und der Kommission zur Einfuhr von Stahlerzeugnissen aus Russland </w:t>
      </w:r>
    </w:p>
    <w:p w14:paraId="6A5CB982" w14:textId="77777777" w:rsidR="00694841" w:rsidRPr="005006A7" w:rsidRDefault="00694841" w:rsidP="00694841">
      <w:pPr>
        <w:widowControl/>
        <w:spacing w:before="240"/>
        <w:rPr>
          <w:szCs w:val="24"/>
        </w:rPr>
      </w:pPr>
      <w:r w:rsidRPr="005006A7">
        <w:rPr>
          <w:szCs w:val="24"/>
        </w:rPr>
        <w:t>Seit Beginn des Kriegs haben die Union und ihre Mitgliedstaaten beispiellose Maßnahmen ergriffen, um die wirtschaftlichen Abhängigkeiten von Russland zu mindern und darauf hinzuwirken, dass die Wirtschaftstätigkeit der Union nicht dazu beiträgt, die Kriegsanstrengungen Russlands zu fördern.</w:t>
      </w:r>
    </w:p>
    <w:p w14:paraId="0245AF3C" w14:textId="77777777" w:rsidR="00694841" w:rsidRPr="005006A7" w:rsidRDefault="00694841" w:rsidP="00694841">
      <w:pPr>
        <w:widowControl/>
        <w:spacing w:before="240"/>
        <w:rPr>
          <w:szCs w:val="24"/>
        </w:rPr>
      </w:pPr>
      <w:r w:rsidRPr="005006A7">
        <w:rPr>
          <w:szCs w:val="24"/>
        </w:rPr>
        <w:t>Mit diesen Maßnahmen wurden die Handelsströme in vielen verschiedenen Branchen wie dem Stahlsektor deutlich eingeschränkt, die Abkopplung vorangetrieben und zur Widerstandsfähigkeit der Union beigetragen, aber auch gezeigt, dass die Union in der Lage ist, geeint und entschlossen zu handeln, wenn ihre Werte und strategischen Interessen auf dem Spiel stehen.</w:t>
      </w:r>
    </w:p>
    <w:p w14:paraId="46603FB4" w14:textId="77777777" w:rsidR="00694841" w:rsidRPr="005006A7" w:rsidRDefault="00694841" w:rsidP="00694841">
      <w:pPr>
        <w:widowControl/>
        <w:spacing w:before="240"/>
        <w:rPr>
          <w:szCs w:val="24"/>
        </w:rPr>
      </w:pPr>
      <w:r w:rsidRPr="005006A7">
        <w:rPr>
          <w:szCs w:val="24"/>
        </w:rPr>
        <w:t>Gleichzeitig muss die Union weiterhin ihre Aufmerksamkeit auf die Bereiche richten, in denen nach wie vor Abhängigkeiten vorliegen, insbesondere im Hinblick auf bestimmte Stahlerzeugnisse, deren Einfuhr noch nicht uneingeschränkt verboten ist.</w:t>
      </w:r>
    </w:p>
    <w:p w14:paraId="7578AAFD" w14:textId="77777777" w:rsidR="00694841" w:rsidRPr="005006A7" w:rsidRDefault="00694841" w:rsidP="00694841">
      <w:pPr>
        <w:widowControl/>
        <w:spacing w:before="240"/>
        <w:rPr>
          <w:szCs w:val="24"/>
        </w:rPr>
      </w:pPr>
      <w:r w:rsidRPr="005006A7">
        <w:rPr>
          <w:szCs w:val="24"/>
        </w:rPr>
        <w:t xml:space="preserve">Vor allem sind im Einklang mit den Übergangsbestimmungen, die in den einschlägigen restriktiven Maßnahmen festgelegt wurden, die der Rat angenommen </w:t>
      </w:r>
      <w:proofErr w:type="gramStart"/>
      <w:r w:rsidRPr="005006A7">
        <w:rPr>
          <w:szCs w:val="24"/>
        </w:rPr>
        <w:t>hat</w:t>
      </w:r>
      <w:proofErr w:type="gramEnd"/>
      <w:r w:rsidRPr="005006A7">
        <w:rPr>
          <w:szCs w:val="24"/>
          <w:vertAlign w:val="superscript"/>
        </w:rPr>
        <w:footnoteReference w:id="1"/>
      </w:r>
      <w:r w:rsidRPr="005006A7">
        <w:rPr>
          <w:szCs w:val="24"/>
        </w:rPr>
        <w:t>, einige eingeschränkte Einfuhren aus Russland im Stahlsektor noch bis zum 30. September 2028 zulässig. Im Sinne einer schrittweisen, beständigen Diversifizierung sind diese Einfuhren durch Kontingente gedeckelt, deren Mengen jährlich sinken.</w:t>
      </w:r>
    </w:p>
    <w:p w14:paraId="70FA0B79" w14:textId="0D45CF4D" w:rsidR="00E365E1" w:rsidRPr="005006A7" w:rsidRDefault="00694841" w:rsidP="00694841">
      <w:pPr>
        <w:widowControl/>
        <w:spacing w:before="240" w:after="240"/>
      </w:pPr>
      <w:r w:rsidRPr="005006A7">
        <w:rPr>
          <w:szCs w:val="24"/>
        </w:rPr>
        <w:t>Das Europäische Parlament, der Rat und die Kommission weisen auf den institutionellen Rahmen hin, der für restriktive Maßnahmen gilt, und betonen, dass die einschlägigen restriktiven Maßnahmen, die vom Rat angenommen wurden, den Weg hin zu einem vollständigen Ausstieg aus den übrigen Einfuhren russischer Stahlerzeugnisse, insbesondere Brammen, bis zum 30. September 2028 untermauern.</w:t>
      </w:r>
    </w:p>
    <w:sectPr w:rsidR="00E365E1" w:rsidRPr="005006A7" w:rsidSect="00C4256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C6974" w14:textId="77777777" w:rsidR="002B3630" w:rsidRPr="00C42568" w:rsidRDefault="002B3630">
      <w:r w:rsidRPr="00C42568">
        <w:separator/>
      </w:r>
    </w:p>
  </w:endnote>
  <w:endnote w:type="continuationSeparator" w:id="0">
    <w:p w14:paraId="50538084" w14:textId="77777777" w:rsidR="002B3630" w:rsidRPr="00C42568" w:rsidRDefault="002B3630">
      <w:r w:rsidRPr="00C425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9C2BA" w14:textId="2B511FD0" w:rsidR="00E4100B" w:rsidRPr="00E4100B" w:rsidRDefault="00E4100B" w:rsidP="00503C97">
    <w:pPr>
      <w:pStyle w:val="EPFooter2"/>
      <w:rPr>
        <w:b w:val="0"/>
        <w:bCs/>
        <w:sz w:val="24"/>
        <w:szCs w:val="24"/>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16291" w14:textId="77777777" w:rsidR="002B3630" w:rsidRPr="00C42568" w:rsidRDefault="002B3630">
      <w:r w:rsidRPr="00C42568">
        <w:separator/>
      </w:r>
    </w:p>
  </w:footnote>
  <w:footnote w:type="continuationSeparator" w:id="0">
    <w:p w14:paraId="42630C43" w14:textId="77777777" w:rsidR="002B3630" w:rsidRPr="00C42568" w:rsidRDefault="002B3630">
      <w:r w:rsidRPr="00C42568">
        <w:continuationSeparator/>
      </w:r>
    </w:p>
  </w:footnote>
  <w:footnote w:id="1">
    <w:p w14:paraId="335A9CF9" w14:textId="3BAA1D79" w:rsidR="00694841" w:rsidRPr="00694841" w:rsidRDefault="00694841" w:rsidP="00694841">
      <w:pPr>
        <w:pStyle w:val="FootnoteText"/>
        <w:ind w:left="709" w:hanging="709"/>
        <w:rPr>
          <w:lang w:val="de-DE"/>
        </w:rPr>
      </w:pPr>
      <w:r w:rsidRPr="00136428">
        <w:rPr>
          <w:rStyle w:val="FootnoteReference"/>
        </w:rPr>
        <w:footnoteRef/>
      </w:r>
      <w:r w:rsidRPr="00694841">
        <w:rPr>
          <w:lang w:val="de-DE"/>
        </w:rPr>
        <w:t xml:space="preserve"> </w:t>
      </w:r>
      <w:r w:rsidRPr="00694841">
        <w:rPr>
          <w:lang w:val="de-DE"/>
        </w:rPr>
        <w:tab/>
      </w:r>
      <w:r w:rsidRPr="00694841">
        <w:rPr>
          <w:sz w:val="24"/>
          <w:szCs w:val="24"/>
          <w:lang w:val="de-DE"/>
        </w:rPr>
        <w:t>Beschluss 2014/512/GASP des Rates vom 31. Juli 2014 über restriktive Maßnahmen angesichts der Handlungen Russlands, die die Lage in der Ukraine destabilisieren</w:t>
      </w:r>
      <w:r w:rsidR="00B20725">
        <w:rPr>
          <w:sz w:val="24"/>
          <w:szCs w:val="24"/>
          <w:lang w:val="de-DE"/>
        </w:rPr>
        <w:t xml:space="preserve"> (</w:t>
      </w:r>
      <w:proofErr w:type="spellStart"/>
      <w:r w:rsidR="00B20725" w:rsidRPr="00B20725">
        <w:rPr>
          <w:sz w:val="24"/>
          <w:szCs w:val="24"/>
          <w:lang w:val="de-DE"/>
        </w:rPr>
        <w:t>ABl.</w:t>
      </w:r>
      <w:proofErr w:type="spellEnd"/>
      <w:r w:rsidR="00B20725" w:rsidRPr="00B20725">
        <w:rPr>
          <w:sz w:val="24"/>
          <w:szCs w:val="24"/>
          <w:lang w:val="de-DE"/>
        </w:rPr>
        <w:t xml:space="preserve"> L 229 vom 31.7.2014,</w:t>
      </w:r>
      <w:r w:rsidR="00B20725">
        <w:rPr>
          <w:sz w:val="24"/>
          <w:szCs w:val="24"/>
          <w:lang w:val="de-DE"/>
        </w:rPr>
        <w:t xml:space="preserve"> S. 13, </w:t>
      </w:r>
      <w:r w:rsidR="00B20725" w:rsidRPr="00B20725">
        <w:rPr>
          <w:lang w:val="de-DE"/>
        </w:rPr>
        <w:t>ELI</w:t>
      </w:r>
      <w:r w:rsidR="00B20725" w:rsidRPr="00B20725">
        <w:rPr>
          <w:sz w:val="24"/>
          <w:szCs w:val="24"/>
          <w:lang w:val="de-DE"/>
        </w:rPr>
        <w:t>: </w:t>
      </w:r>
      <w:hyperlink r:id="rId1" w:tooltip="Gives access to this document through its ELI URI." w:history="1">
        <w:r w:rsidR="00B20725" w:rsidRPr="00B20725">
          <w:rPr>
            <w:rStyle w:val="Hyperlink"/>
            <w:sz w:val="24"/>
            <w:szCs w:val="24"/>
            <w:lang w:val="de-DE"/>
          </w:rPr>
          <w:t>http://data.europa.eu/eli/dec/2014/512/oj</w:t>
        </w:r>
      </w:hyperlink>
      <w:r w:rsidR="00B20725">
        <w:rPr>
          <w:sz w:val="24"/>
          <w:szCs w:val="24"/>
          <w:lang w:val="de-DE"/>
        </w:rPr>
        <w:t>)</w:t>
      </w:r>
      <w:r w:rsidRPr="00694841">
        <w:rPr>
          <w:sz w:val="24"/>
          <w:szCs w:val="24"/>
          <w:lang w:val="de-DE"/>
        </w:rPr>
        <w:t>, und Verordnung (EU) Nr. 833/2014 des Rates vom 31. Juli 2014 über restriktive Maßnahmen angesichts der Handlungen Russlands, die die Lage in der Ukraine destabilisieren</w:t>
      </w:r>
      <w:r w:rsidR="00B20725">
        <w:rPr>
          <w:sz w:val="24"/>
          <w:szCs w:val="24"/>
          <w:lang w:val="de-DE"/>
        </w:rPr>
        <w:t xml:space="preserve"> (</w:t>
      </w:r>
      <w:proofErr w:type="spellStart"/>
      <w:r w:rsidR="00B20725" w:rsidRPr="00B20725">
        <w:rPr>
          <w:sz w:val="24"/>
          <w:szCs w:val="24"/>
          <w:lang w:val="de-DE"/>
        </w:rPr>
        <w:t>ABl.</w:t>
      </w:r>
      <w:proofErr w:type="spellEnd"/>
      <w:r w:rsidR="00B20725" w:rsidRPr="00B20725">
        <w:rPr>
          <w:sz w:val="24"/>
          <w:szCs w:val="24"/>
          <w:lang w:val="de-DE"/>
        </w:rPr>
        <w:t xml:space="preserve"> L 229 vom 31.7.2014</w:t>
      </w:r>
      <w:r w:rsidR="00B20725">
        <w:rPr>
          <w:sz w:val="24"/>
          <w:szCs w:val="24"/>
          <w:lang w:val="de-DE"/>
        </w:rPr>
        <w:t xml:space="preserve">, S. 1, </w:t>
      </w:r>
      <w:r w:rsidR="00B20725" w:rsidRPr="00B20725">
        <w:rPr>
          <w:sz w:val="24"/>
          <w:szCs w:val="24"/>
          <w:lang w:val="de-DE"/>
        </w:rPr>
        <w:t>ELI: </w:t>
      </w:r>
      <w:hyperlink r:id="rId2" w:tooltip="Gives access to this document through its ELI URI." w:history="1">
        <w:r w:rsidR="00B20725" w:rsidRPr="00B20725">
          <w:rPr>
            <w:rStyle w:val="Hyperlink"/>
            <w:sz w:val="24"/>
            <w:szCs w:val="24"/>
            <w:lang w:val="de-DE"/>
          </w:rPr>
          <w:t>http://data.europa.eu/eli/reg/2014/833/oj</w:t>
        </w:r>
      </w:hyperlink>
      <w:r w:rsidR="00B20725">
        <w:rPr>
          <w:sz w:val="24"/>
          <w:szCs w:val="24"/>
          <w:lang w:val="de-DE"/>
        </w:rPr>
        <w:t>)</w:t>
      </w:r>
      <w:r w:rsidRPr="00694841">
        <w:rPr>
          <w:sz w:val="24"/>
          <w:szCs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7C76E95"/>
    <w:multiLevelType w:val="hybridMultilevel"/>
    <w:tmpl w:val="D9A6633E"/>
    <w:lvl w:ilvl="0" w:tplc="7B784AC4">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3C77951"/>
    <w:multiLevelType w:val="hybridMultilevel"/>
    <w:tmpl w:val="CF046FD2"/>
    <w:lvl w:ilvl="0" w:tplc="13B09380">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417CBC7C">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977011FA">
      <w:numFmt w:val="bullet"/>
      <w:lvlText w:val="•"/>
      <w:lvlJc w:val="left"/>
      <w:pPr>
        <w:ind w:left="2402" w:hanging="567"/>
      </w:pPr>
      <w:rPr>
        <w:lang w:val="en-US" w:eastAsia="en-US" w:bidi="ar-SA"/>
      </w:rPr>
    </w:lvl>
    <w:lvl w:ilvl="3" w:tplc="28EC36DE">
      <w:numFmt w:val="bullet"/>
      <w:lvlText w:val="•"/>
      <w:lvlJc w:val="left"/>
      <w:pPr>
        <w:ind w:left="3265" w:hanging="567"/>
      </w:pPr>
      <w:rPr>
        <w:lang w:val="en-US" w:eastAsia="en-US" w:bidi="ar-SA"/>
      </w:rPr>
    </w:lvl>
    <w:lvl w:ilvl="4" w:tplc="518605CA">
      <w:numFmt w:val="bullet"/>
      <w:lvlText w:val="•"/>
      <w:lvlJc w:val="left"/>
      <w:pPr>
        <w:ind w:left="4128" w:hanging="567"/>
      </w:pPr>
      <w:rPr>
        <w:lang w:val="en-US" w:eastAsia="en-US" w:bidi="ar-SA"/>
      </w:rPr>
    </w:lvl>
    <w:lvl w:ilvl="5" w:tplc="89DC1CC0">
      <w:numFmt w:val="bullet"/>
      <w:lvlText w:val="•"/>
      <w:lvlJc w:val="left"/>
      <w:pPr>
        <w:ind w:left="4991" w:hanging="567"/>
      </w:pPr>
      <w:rPr>
        <w:lang w:val="en-US" w:eastAsia="en-US" w:bidi="ar-SA"/>
      </w:rPr>
    </w:lvl>
    <w:lvl w:ilvl="6" w:tplc="61C41DC8">
      <w:numFmt w:val="bullet"/>
      <w:lvlText w:val="•"/>
      <w:lvlJc w:val="left"/>
      <w:pPr>
        <w:ind w:left="5854" w:hanging="567"/>
      </w:pPr>
      <w:rPr>
        <w:lang w:val="en-US" w:eastAsia="en-US" w:bidi="ar-SA"/>
      </w:rPr>
    </w:lvl>
    <w:lvl w:ilvl="7" w:tplc="0374B48E">
      <w:numFmt w:val="bullet"/>
      <w:lvlText w:val="•"/>
      <w:lvlJc w:val="left"/>
      <w:pPr>
        <w:ind w:left="6717" w:hanging="567"/>
      </w:pPr>
      <w:rPr>
        <w:lang w:val="en-US" w:eastAsia="en-US" w:bidi="ar-SA"/>
      </w:rPr>
    </w:lvl>
    <w:lvl w:ilvl="8" w:tplc="2A8A7690">
      <w:numFmt w:val="bullet"/>
      <w:lvlText w:val="•"/>
      <w:lvlJc w:val="left"/>
      <w:pPr>
        <w:ind w:left="7580" w:hanging="567"/>
      </w:pPr>
      <w:rPr>
        <w:lang w:val="en-US" w:eastAsia="en-US" w:bidi="ar-SA"/>
      </w:rPr>
    </w:lvl>
  </w:abstractNum>
  <w:abstractNum w:abstractNumId="14" w15:restartNumberingAfterBreak="0">
    <w:nsid w:val="4D3C337A"/>
    <w:multiLevelType w:val="hybridMultilevel"/>
    <w:tmpl w:val="F398A9F8"/>
    <w:lvl w:ilvl="0" w:tplc="D9226F70">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8500C4E2">
      <w:numFmt w:val="bullet"/>
      <w:lvlText w:val="•"/>
      <w:lvlJc w:val="left"/>
      <w:pPr>
        <w:ind w:left="1794" w:hanging="850"/>
      </w:pPr>
      <w:rPr>
        <w:lang w:val="en-US" w:eastAsia="en-US" w:bidi="ar-SA"/>
      </w:rPr>
    </w:lvl>
    <w:lvl w:ilvl="2" w:tplc="8764954C">
      <w:numFmt w:val="bullet"/>
      <w:lvlText w:val="•"/>
      <w:lvlJc w:val="left"/>
      <w:pPr>
        <w:ind w:left="2629" w:hanging="850"/>
      </w:pPr>
      <w:rPr>
        <w:lang w:val="en-US" w:eastAsia="en-US" w:bidi="ar-SA"/>
      </w:rPr>
    </w:lvl>
    <w:lvl w:ilvl="3" w:tplc="0A32774A">
      <w:numFmt w:val="bullet"/>
      <w:lvlText w:val="•"/>
      <w:lvlJc w:val="left"/>
      <w:pPr>
        <w:ind w:left="3463" w:hanging="850"/>
      </w:pPr>
      <w:rPr>
        <w:lang w:val="en-US" w:eastAsia="en-US" w:bidi="ar-SA"/>
      </w:rPr>
    </w:lvl>
    <w:lvl w:ilvl="4" w:tplc="B5842CDC">
      <w:numFmt w:val="bullet"/>
      <w:lvlText w:val="•"/>
      <w:lvlJc w:val="left"/>
      <w:pPr>
        <w:ind w:left="4298" w:hanging="850"/>
      </w:pPr>
      <w:rPr>
        <w:lang w:val="en-US" w:eastAsia="en-US" w:bidi="ar-SA"/>
      </w:rPr>
    </w:lvl>
    <w:lvl w:ilvl="5" w:tplc="66C876D2">
      <w:numFmt w:val="bullet"/>
      <w:lvlText w:val="•"/>
      <w:lvlJc w:val="left"/>
      <w:pPr>
        <w:ind w:left="5133" w:hanging="850"/>
      </w:pPr>
      <w:rPr>
        <w:lang w:val="en-US" w:eastAsia="en-US" w:bidi="ar-SA"/>
      </w:rPr>
    </w:lvl>
    <w:lvl w:ilvl="6" w:tplc="C53E53BA">
      <w:numFmt w:val="bullet"/>
      <w:lvlText w:val="•"/>
      <w:lvlJc w:val="left"/>
      <w:pPr>
        <w:ind w:left="5967" w:hanging="850"/>
      </w:pPr>
      <w:rPr>
        <w:lang w:val="en-US" w:eastAsia="en-US" w:bidi="ar-SA"/>
      </w:rPr>
    </w:lvl>
    <w:lvl w:ilvl="7" w:tplc="A1002CA8">
      <w:numFmt w:val="bullet"/>
      <w:lvlText w:val="•"/>
      <w:lvlJc w:val="left"/>
      <w:pPr>
        <w:ind w:left="6802" w:hanging="850"/>
      </w:pPr>
      <w:rPr>
        <w:lang w:val="en-US" w:eastAsia="en-US" w:bidi="ar-SA"/>
      </w:rPr>
    </w:lvl>
    <w:lvl w:ilvl="8" w:tplc="90BACE14">
      <w:numFmt w:val="bullet"/>
      <w:lvlText w:val="•"/>
      <w:lvlJc w:val="left"/>
      <w:pPr>
        <w:ind w:left="7637" w:hanging="850"/>
      </w:pPr>
      <w:rPr>
        <w:lang w:val="en-US" w:eastAsia="en-US" w:bidi="ar-SA"/>
      </w:rPr>
    </w:lvl>
  </w:abstractNum>
  <w:abstractNum w:abstractNumId="15" w15:restartNumberingAfterBreak="0">
    <w:nsid w:val="60B67A4F"/>
    <w:multiLevelType w:val="hybridMultilevel"/>
    <w:tmpl w:val="F996A700"/>
    <w:lvl w:ilvl="0" w:tplc="1DE40614">
      <w:start w:val="1"/>
      <w:numFmt w:val="decimal"/>
      <w:lvlText w:val="(%1)"/>
      <w:lvlJc w:val="left"/>
      <w:pPr>
        <w:ind w:left="824" w:hanging="708"/>
      </w:pPr>
      <w:rPr>
        <w:rFonts w:ascii="Times New Roman" w:eastAsia="Times New Roman" w:hAnsi="Times New Roman" w:cs="Times New Roman" w:hint="default"/>
        <w:b w:val="0"/>
        <w:bCs w:val="0"/>
        <w:i w:val="0"/>
        <w:iCs w:val="0"/>
        <w:spacing w:val="0"/>
        <w:w w:val="100"/>
        <w:sz w:val="24"/>
        <w:szCs w:val="24"/>
        <w:lang w:val="en-US" w:eastAsia="en-US" w:bidi="ar-SA"/>
      </w:rPr>
    </w:lvl>
    <w:lvl w:ilvl="1" w:tplc="86FE282E">
      <w:numFmt w:val="bullet"/>
      <w:lvlText w:val="•"/>
      <w:lvlJc w:val="left"/>
      <w:pPr>
        <w:ind w:left="1668" w:hanging="708"/>
      </w:pPr>
      <w:rPr>
        <w:lang w:val="en-US" w:eastAsia="en-US" w:bidi="ar-SA"/>
      </w:rPr>
    </w:lvl>
    <w:lvl w:ilvl="2" w:tplc="D55A5638">
      <w:numFmt w:val="bullet"/>
      <w:lvlText w:val="•"/>
      <w:lvlJc w:val="left"/>
      <w:pPr>
        <w:ind w:left="2517" w:hanging="708"/>
      </w:pPr>
      <w:rPr>
        <w:lang w:val="en-US" w:eastAsia="en-US" w:bidi="ar-SA"/>
      </w:rPr>
    </w:lvl>
    <w:lvl w:ilvl="3" w:tplc="14484C48">
      <w:numFmt w:val="bullet"/>
      <w:lvlText w:val="•"/>
      <w:lvlJc w:val="left"/>
      <w:pPr>
        <w:ind w:left="3365" w:hanging="708"/>
      </w:pPr>
      <w:rPr>
        <w:lang w:val="en-US" w:eastAsia="en-US" w:bidi="ar-SA"/>
      </w:rPr>
    </w:lvl>
    <w:lvl w:ilvl="4" w:tplc="E200BF16">
      <w:numFmt w:val="bullet"/>
      <w:lvlText w:val="•"/>
      <w:lvlJc w:val="left"/>
      <w:pPr>
        <w:ind w:left="4214" w:hanging="708"/>
      </w:pPr>
      <w:rPr>
        <w:lang w:val="en-US" w:eastAsia="en-US" w:bidi="ar-SA"/>
      </w:rPr>
    </w:lvl>
    <w:lvl w:ilvl="5" w:tplc="2102A82A">
      <w:numFmt w:val="bullet"/>
      <w:lvlText w:val="•"/>
      <w:lvlJc w:val="left"/>
      <w:pPr>
        <w:ind w:left="5063" w:hanging="708"/>
      </w:pPr>
      <w:rPr>
        <w:lang w:val="en-US" w:eastAsia="en-US" w:bidi="ar-SA"/>
      </w:rPr>
    </w:lvl>
    <w:lvl w:ilvl="6" w:tplc="ECE217F2">
      <w:numFmt w:val="bullet"/>
      <w:lvlText w:val="•"/>
      <w:lvlJc w:val="left"/>
      <w:pPr>
        <w:ind w:left="5911" w:hanging="708"/>
      </w:pPr>
      <w:rPr>
        <w:lang w:val="en-US" w:eastAsia="en-US" w:bidi="ar-SA"/>
      </w:rPr>
    </w:lvl>
    <w:lvl w:ilvl="7" w:tplc="FECA334E">
      <w:numFmt w:val="bullet"/>
      <w:lvlText w:val="•"/>
      <w:lvlJc w:val="left"/>
      <w:pPr>
        <w:ind w:left="6760" w:hanging="708"/>
      </w:pPr>
      <w:rPr>
        <w:lang w:val="en-US" w:eastAsia="en-US" w:bidi="ar-SA"/>
      </w:rPr>
    </w:lvl>
    <w:lvl w:ilvl="8" w:tplc="9FB6B88E">
      <w:numFmt w:val="bullet"/>
      <w:lvlText w:val="•"/>
      <w:lvlJc w:val="left"/>
      <w:pPr>
        <w:ind w:left="7609" w:hanging="708"/>
      </w:pPr>
      <w:rPr>
        <w:lang w:val="en-US" w:eastAsia="en-US" w:bidi="ar-SA"/>
      </w:rPr>
    </w:lvl>
  </w:abstractNum>
  <w:abstractNum w:abstractNumId="16" w15:restartNumberingAfterBreak="0">
    <w:nsid w:val="66D377C0"/>
    <w:multiLevelType w:val="hybridMultilevel"/>
    <w:tmpl w:val="898671CA"/>
    <w:lvl w:ilvl="0" w:tplc="0D2E06C2">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83083C64">
      <w:start w:val="1"/>
      <w:numFmt w:val="lowerLetter"/>
      <w:lvlText w:val="(%2)"/>
      <w:lvlJc w:val="left"/>
      <w:pPr>
        <w:ind w:left="1532" w:hanging="567"/>
      </w:pPr>
      <w:rPr>
        <w:rFonts w:ascii="Times New Roman" w:eastAsia="Times New Roman" w:hAnsi="Times New Roman" w:cs="Times New Roman" w:hint="default"/>
        <w:b w:val="0"/>
        <w:bCs w:val="0"/>
        <w:i w:val="0"/>
        <w:iCs w:val="0"/>
        <w:spacing w:val="-1"/>
        <w:w w:val="100"/>
        <w:sz w:val="24"/>
        <w:szCs w:val="24"/>
        <w:lang w:val="en-US" w:eastAsia="en-US" w:bidi="ar-SA"/>
      </w:rPr>
    </w:lvl>
    <w:lvl w:ilvl="2" w:tplc="43881A04">
      <w:numFmt w:val="bullet"/>
      <w:lvlText w:val="•"/>
      <w:lvlJc w:val="left"/>
      <w:pPr>
        <w:ind w:left="2402" w:hanging="567"/>
      </w:pPr>
      <w:rPr>
        <w:lang w:val="en-US" w:eastAsia="en-US" w:bidi="ar-SA"/>
      </w:rPr>
    </w:lvl>
    <w:lvl w:ilvl="3" w:tplc="6E16C81C">
      <w:numFmt w:val="bullet"/>
      <w:lvlText w:val="•"/>
      <w:lvlJc w:val="left"/>
      <w:pPr>
        <w:ind w:left="3265" w:hanging="567"/>
      </w:pPr>
      <w:rPr>
        <w:lang w:val="en-US" w:eastAsia="en-US" w:bidi="ar-SA"/>
      </w:rPr>
    </w:lvl>
    <w:lvl w:ilvl="4" w:tplc="97A2B200">
      <w:numFmt w:val="bullet"/>
      <w:lvlText w:val="•"/>
      <w:lvlJc w:val="left"/>
      <w:pPr>
        <w:ind w:left="4128" w:hanging="567"/>
      </w:pPr>
      <w:rPr>
        <w:lang w:val="en-US" w:eastAsia="en-US" w:bidi="ar-SA"/>
      </w:rPr>
    </w:lvl>
    <w:lvl w:ilvl="5" w:tplc="22A43A3C">
      <w:numFmt w:val="bullet"/>
      <w:lvlText w:val="•"/>
      <w:lvlJc w:val="left"/>
      <w:pPr>
        <w:ind w:left="4991" w:hanging="567"/>
      </w:pPr>
      <w:rPr>
        <w:lang w:val="en-US" w:eastAsia="en-US" w:bidi="ar-SA"/>
      </w:rPr>
    </w:lvl>
    <w:lvl w:ilvl="6" w:tplc="66C28A5E">
      <w:numFmt w:val="bullet"/>
      <w:lvlText w:val="•"/>
      <w:lvlJc w:val="left"/>
      <w:pPr>
        <w:ind w:left="5854" w:hanging="567"/>
      </w:pPr>
      <w:rPr>
        <w:lang w:val="en-US" w:eastAsia="en-US" w:bidi="ar-SA"/>
      </w:rPr>
    </w:lvl>
    <w:lvl w:ilvl="7" w:tplc="D0F01EB4">
      <w:numFmt w:val="bullet"/>
      <w:lvlText w:val="•"/>
      <w:lvlJc w:val="left"/>
      <w:pPr>
        <w:ind w:left="6717" w:hanging="567"/>
      </w:pPr>
      <w:rPr>
        <w:lang w:val="en-US" w:eastAsia="en-US" w:bidi="ar-SA"/>
      </w:rPr>
    </w:lvl>
    <w:lvl w:ilvl="8" w:tplc="50D6ABA2">
      <w:numFmt w:val="bullet"/>
      <w:lvlText w:val="•"/>
      <w:lvlJc w:val="left"/>
      <w:pPr>
        <w:ind w:left="7580" w:hanging="567"/>
      </w:pPr>
      <w:rPr>
        <w:lang w:val="en-US" w:eastAsia="en-US" w:bidi="ar-SA"/>
      </w:rPr>
    </w:lvl>
  </w:abstractNum>
  <w:num w:numId="1" w16cid:durableId="1435637282">
    <w:abstractNumId w:val="9"/>
  </w:num>
  <w:num w:numId="2" w16cid:durableId="757823639">
    <w:abstractNumId w:val="9"/>
  </w:num>
  <w:num w:numId="3" w16cid:durableId="1035933582">
    <w:abstractNumId w:val="7"/>
  </w:num>
  <w:num w:numId="4" w16cid:durableId="1854420608">
    <w:abstractNumId w:val="7"/>
  </w:num>
  <w:num w:numId="5" w16cid:durableId="1537236685">
    <w:abstractNumId w:val="6"/>
  </w:num>
  <w:num w:numId="6" w16cid:durableId="2012638027">
    <w:abstractNumId w:val="6"/>
  </w:num>
  <w:num w:numId="7" w16cid:durableId="1915243249">
    <w:abstractNumId w:val="5"/>
  </w:num>
  <w:num w:numId="8" w16cid:durableId="1769808564">
    <w:abstractNumId w:val="5"/>
  </w:num>
  <w:num w:numId="9" w16cid:durableId="1484664942">
    <w:abstractNumId w:val="4"/>
  </w:num>
  <w:num w:numId="10" w16cid:durableId="652368429">
    <w:abstractNumId w:val="4"/>
  </w:num>
  <w:num w:numId="11" w16cid:durableId="2029872042">
    <w:abstractNumId w:val="8"/>
  </w:num>
  <w:num w:numId="12" w16cid:durableId="1245727825">
    <w:abstractNumId w:val="8"/>
  </w:num>
  <w:num w:numId="13" w16cid:durableId="1180123651">
    <w:abstractNumId w:val="3"/>
  </w:num>
  <w:num w:numId="14" w16cid:durableId="2051562850">
    <w:abstractNumId w:val="3"/>
  </w:num>
  <w:num w:numId="15" w16cid:durableId="128136344">
    <w:abstractNumId w:val="2"/>
  </w:num>
  <w:num w:numId="16" w16cid:durableId="930969732">
    <w:abstractNumId w:val="2"/>
  </w:num>
  <w:num w:numId="17" w16cid:durableId="1071387237">
    <w:abstractNumId w:val="1"/>
  </w:num>
  <w:num w:numId="18" w16cid:durableId="1564873446">
    <w:abstractNumId w:val="1"/>
  </w:num>
  <w:num w:numId="19" w16cid:durableId="1783377631">
    <w:abstractNumId w:val="0"/>
  </w:num>
  <w:num w:numId="20" w16cid:durableId="706101725">
    <w:abstractNumId w:val="0"/>
  </w:num>
  <w:num w:numId="21" w16cid:durableId="1574002338">
    <w:abstractNumId w:val="9"/>
  </w:num>
  <w:num w:numId="22" w16cid:durableId="896404629">
    <w:abstractNumId w:val="7"/>
  </w:num>
  <w:num w:numId="23" w16cid:durableId="1771051458">
    <w:abstractNumId w:val="6"/>
  </w:num>
  <w:num w:numId="24" w16cid:durableId="2081587002">
    <w:abstractNumId w:val="5"/>
  </w:num>
  <w:num w:numId="25" w16cid:durableId="2008286938">
    <w:abstractNumId w:val="4"/>
  </w:num>
  <w:num w:numId="26" w16cid:durableId="911736905">
    <w:abstractNumId w:val="8"/>
  </w:num>
  <w:num w:numId="27" w16cid:durableId="1102803893">
    <w:abstractNumId w:val="3"/>
  </w:num>
  <w:num w:numId="28" w16cid:durableId="1027949512">
    <w:abstractNumId w:val="2"/>
  </w:num>
  <w:num w:numId="29" w16cid:durableId="2112627934">
    <w:abstractNumId w:val="1"/>
  </w:num>
  <w:num w:numId="30" w16cid:durableId="1184703838">
    <w:abstractNumId w:val="0"/>
  </w:num>
  <w:num w:numId="31" w16cid:durableId="2054960728">
    <w:abstractNumId w:val="9"/>
  </w:num>
  <w:num w:numId="32" w16cid:durableId="1479108584">
    <w:abstractNumId w:val="7"/>
  </w:num>
  <w:num w:numId="33" w16cid:durableId="1278639737">
    <w:abstractNumId w:val="6"/>
  </w:num>
  <w:num w:numId="34" w16cid:durableId="1185100235">
    <w:abstractNumId w:val="5"/>
  </w:num>
  <w:num w:numId="35" w16cid:durableId="1228295845">
    <w:abstractNumId w:val="4"/>
  </w:num>
  <w:num w:numId="36" w16cid:durableId="1523547937">
    <w:abstractNumId w:val="8"/>
  </w:num>
  <w:num w:numId="37" w16cid:durableId="2064985173">
    <w:abstractNumId w:val="3"/>
  </w:num>
  <w:num w:numId="38" w16cid:durableId="1794906401">
    <w:abstractNumId w:val="2"/>
  </w:num>
  <w:num w:numId="39" w16cid:durableId="603151214">
    <w:abstractNumId w:val="1"/>
  </w:num>
  <w:num w:numId="40" w16cid:durableId="631135587">
    <w:abstractNumId w:val="0"/>
  </w:num>
  <w:num w:numId="41" w16cid:durableId="198204936">
    <w:abstractNumId w:val="10"/>
  </w:num>
  <w:num w:numId="42" w16cid:durableId="713893457">
    <w:abstractNumId w:val="10"/>
  </w:num>
  <w:num w:numId="43" w16cid:durableId="39405613">
    <w:abstractNumId w:val="10"/>
  </w:num>
  <w:num w:numId="44" w16cid:durableId="1880434523">
    <w:abstractNumId w:val="12"/>
  </w:num>
  <w:num w:numId="45" w16cid:durableId="177623198">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46" w16cid:durableId="822936252">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47" w16cid:durableId="759564492">
    <w:abstractNumId w:val="14"/>
    <w:lvlOverride w:ilvl="0">
      <w:startOverride w:val="1"/>
    </w:lvlOverride>
    <w:lvlOverride w:ilvl="1"/>
    <w:lvlOverride w:ilvl="2"/>
    <w:lvlOverride w:ilvl="3"/>
    <w:lvlOverride w:ilvl="4"/>
    <w:lvlOverride w:ilvl="5"/>
    <w:lvlOverride w:ilvl="6"/>
    <w:lvlOverride w:ilvl="7"/>
    <w:lvlOverride w:ilvl="8"/>
  </w:num>
  <w:num w:numId="48" w16cid:durableId="1725374262">
    <w:abstractNumId w:val="15"/>
    <w:lvlOverride w:ilvl="0">
      <w:startOverride w:val="1"/>
    </w:lvlOverride>
    <w:lvlOverride w:ilvl="1"/>
    <w:lvlOverride w:ilvl="2"/>
    <w:lvlOverride w:ilvl="3"/>
    <w:lvlOverride w:ilvl="4"/>
    <w:lvlOverride w:ilvl="5"/>
    <w:lvlOverride w:ilvl="6"/>
    <w:lvlOverride w:ilvl="7"/>
    <w:lvlOverride w:ilvl="8"/>
  </w:num>
  <w:num w:numId="49" w16cid:durableId="1196936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2/2026"/>
    <w:docVar w:name="dvlangue" w:val="DE"/>
    <w:docVar w:name="dvnumam" w:val="88"/>
    <w:docVar w:name="dvpe" w:val="779.727"/>
    <w:docVar w:name="dvrapporteur" w:val="Berichterstatterin: "/>
    <w:docVar w:name="dvstar" w:val="***I"/>
    <w:docVar w:name="dvtitre" w:val="Legislative Entschließung des Europäischen Parlaments vom XX. Mai 2026 zu dem Vorschlag für eine Verordnung des Europäischen Parlaments und des Rates zur Eindämmung der negativen handelsbezogenen Auswirkungen globaler Überkapazitäten auf den Stahlmarkt der Union(COM(2025)0726 – C10-/0245/2025 – 2025/0726(COD))"/>
  </w:docVars>
  <w:rsids>
    <w:rsidRoot w:val="002B3630"/>
    <w:rsid w:val="00002272"/>
    <w:rsid w:val="00064002"/>
    <w:rsid w:val="000677B9"/>
    <w:rsid w:val="000831BA"/>
    <w:rsid w:val="000A42CC"/>
    <w:rsid w:val="000B6004"/>
    <w:rsid w:val="000E7DD9"/>
    <w:rsid w:val="0010095E"/>
    <w:rsid w:val="00125B37"/>
    <w:rsid w:val="00187494"/>
    <w:rsid w:val="001F32AE"/>
    <w:rsid w:val="00235740"/>
    <w:rsid w:val="0026079C"/>
    <w:rsid w:val="002767FF"/>
    <w:rsid w:val="002B18FE"/>
    <w:rsid w:val="002B3630"/>
    <w:rsid w:val="002B5493"/>
    <w:rsid w:val="00340DFC"/>
    <w:rsid w:val="00343214"/>
    <w:rsid w:val="00361C00"/>
    <w:rsid w:val="00395FA1"/>
    <w:rsid w:val="003B5447"/>
    <w:rsid w:val="003C0BFE"/>
    <w:rsid w:val="003E15D4"/>
    <w:rsid w:val="00411CCE"/>
    <w:rsid w:val="0041666E"/>
    <w:rsid w:val="00421060"/>
    <w:rsid w:val="00471C19"/>
    <w:rsid w:val="004867E3"/>
    <w:rsid w:val="00494A28"/>
    <w:rsid w:val="004C0004"/>
    <w:rsid w:val="004C5D52"/>
    <w:rsid w:val="005006A7"/>
    <w:rsid w:val="0050519A"/>
    <w:rsid w:val="005072A1"/>
    <w:rsid w:val="00514517"/>
    <w:rsid w:val="00545827"/>
    <w:rsid w:val="00560270"/>
    <w:rsid w:val="005A3D07"/>
    <w:rsid w:val="005C2568"/>
    <w:rsid w:val="005F1B17"/>
    <w:rsid w:val="006037C0"/>
    <w:rsid w:val="006474DD"/>
    <w:rsid w:val="006631B6"/>
    <w:rsid w:val="006762F7"/>
    <w:rsid w:val="00680577"/>
    <w:rsid w:val="00684335"/>
    <w:rsid w:val="00694841"/>
    <w:rsid w:val="006F74FA"/>
    <w:rsid w:val="00731ADD"/>
    <w:rsid w:val="00734777"/>
    <w:rsid w:val="00747932"/>
    <w:rsid w:val="00751A4A"/>
    <w:rsid w:val="00756632"/>
    <w:rsid w:val="00762C74"/>
    <w:rsid w:val="00786EC0"/>
    <w:rsid w:val="007B1D67"/>
    <w:rsid w:val="007B4D85"/>
    <w:rsid w:val="007C1F0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4851"/>
    <w:rsid w:val="00A15113"/>
    <w:rsid w:val="00A1687D"/>
    <w:rsid w:val="00A271F9"/>
    <w:rsid w:val="00A43E52"/>
    <w:rsid w:val="00A4641B"/>
    <w:rsid w:val="00A4678D"/>
    <w:rsid w:val="00A778C7"/>
    <w:rsid w:val="00A820A0"/>
    <w:rsid w:val="00A93A9A"/>
    <w:rsid w:val="00AA028B"/>
    <w:rsid w:val="00AB441E"/>
    <w:rsid w:val="00AB6293"/>
    <w:rsid w:val="00AE0928"/>
    <w:rsid w:val="00AF1711"/>
    <w:rsid w:val="00AF3B82"/>
    <w:rsid w:val="00B12E95"/>
    <w:rsid w:val="00B20725"/>
    <w:rsid w:val="00B22876"/>
    <w:rsid w:val="00B558F0"/>
    <w:rsid w:val="00BB72AC"/>
    <w:rsid w:val="00BC497B"/>
    <w:rsid w:val="00BD2772"/>
    <w:rsid w:val="00BD48FE"/>
    <w:rsid w:val="00BD7BD8"/>
    <w:rsid w:val="00BE2CF3"/>
    <w:rsid w:val="00BE6ADC"/>
    <w:rsid w:val="00BF2A0A"/>
    <w:rsid w:val="00C05BFE"/>
    <w:rsid w:val="00C23CD4"/>
    <w:rsid w:val="00C42568"/>
    <w:rsid w:val="00C555F6"/>
    <w:rsid w:val="00C61C0C"/>
    <w:rsid w:val="00C6544C"/>
    <w:rsid w:val="00C941CB"/>
    <w:rsid w:val="00CC2357"/>
    <w:rsid w:val="00CF071A"/>
    <w:rsid w:val="00D058B8"/>
    <w:rsid w:val="00D56C11"/>
    <w:rsid w:val="00D834A0"/>
    <w:rsid w:val="00D872DF"/>
    <w:rsid w:val="00D91E21"/>
    <w:rsid w:val="00DA16A5"/>
    <w:rsid w:val="00DA7FCD"/>
    <w:rsid w:val="00E263BA"/>
    <w:rsid w:val="00E365E1"/>
    <w:rsid w:val="00E4100B"/>
    <w:rsid w:val="00E820A4"/>
    <w:rsid w:val="00EB006A"/>
    <w:rsid w:val="00EB4772"/>
    <w:rsid w:val="00ED169E"/>
    <w:rsid w:val="00ED4235"/>
    <w:rsid w:val="00F04346"/>
    <w:rsid w:val="00F075DC"/>
    <w:rsid w:val="00F149E9"/>
    <w:rsid w:val="00F5134D"/>
    <w:rsid w:val="00F74202"/>
    <w:rsid w:val="00F86EF0"/>
    <w:rsid w:val="00F87713"/>
    <w:rsid w:val="00FA2F4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1FB77C26"/>
  <w15:chartTrackingRefBased/>
  <w15:docId w15:val="{F4D5F138-6FBE-4201-B5F5-4D1412F75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Body Text" w:uiPriority="1"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40DFC"/>
    <w:rPr>
      <w:b/>
      <w:kern w:val="28"/>
      <w:sz w:val="28"/>
      <w:lang w:val="fr-FR" w:eastAsia="fr-FR"/>
    </w:rPr>
  </w:style>
  <w:style w:type="character" w:customStyle="1" w:styleId="Heading2Char">
    <w:name w:val="Heading 2 Char"/>
    <w:basedOn w:val="DefaultParagraphFont"/>
    <w:link w:val="Heading2"/>
    <w:semiHidden/>
    <w:rsid w:val="00340DFC"/>
    <w:rPr>
      <w:sz w:val="24"/>
      <w:lang w:val="fr-FR" w:eastAsia="fr-FR"/>
    </w:rPr>
  </w:style>
  <w:style w:type="character" w:customStyle="1" w:styleId="Heading3Char">
    <w:name w:val="Heading 3 Char"/>
    <w:basedOn w:val="DefaultParagraphFont"/>
    <w:link w:val="Heading3"/>
    <w:semiHidden/>
    <w:rsid w:val="00340DFC"/>
    <w:rPr>
      <w:rFonts w:ascii="Arial" w:hAnsi="Arial"/>
      <w:sz w:val="24"/>
      <w:lang w:val="fr-FR" w:eastAsia="fr-FR"/>
    </w:rPr>
  </w:style>
  <w:style w:type="character" w:customStyle="1" w:styleId="Heading4Char">
    <w:name w:val="Heading 4 Char"/>
    <w:basedOn w:val="DefaultParagraphFont"/>
    <w:link w:val="Heading4"/>
    <w:semiHidden/>
    <w:rsid w:val="00340DFC"/>
    <w:rPr>
      <w:sz w:val="24"/>
      <w:lang w:val="en-US" w:eastAsia="fr-FR"/>
    </w:rPr>
  </w:style>
  <w:style w:type="character" w:customStyle="1" w:styleId="Heading5Char">
    <w:name w:val="Heading 5 Char"/>
    <w:basedOn w:val="DefaultParagraphFont"/>
    <w:link w:val="Heading5"/>
    <w:semiHidden/>
    <w:rsid w:val="00340DFC"/>
    <w:rPr>
      <w:sz w:val="24"/>
      <w:lang w:val="en-US" w:eastAsia="fr-FR"/>
    </w:rPr>
  </w:style>
  <w:style w:type="character" w:customStyle="1" w:styleId="Heading6Char">
    <w:name w:val="Heading 6 Char"/>
    <w:basedOn w:val="DefaultParagraphFont"/>
    <w:link w:val="Heading6"/>
    <w:semiHidden/>
    <w:rsid w:val="00340DFC"/>
    <w:rPr>
      <w:i/>
      <w:sz w:val="22"/>
      <w:lang w:val="de-DE"/>
    </w:rPr>
  </w:style>
  <w:style w:type="character" w:customStyle="1" w:styleId="Heading7Char">
    <w:name w:val="Heading 7 Char"/>
    <w:basedOn w:val="DefaultParagraphFont"/>
    <w:link w:val="Heading7"/>
    <w:semiHidden/>
    <w:rsid w:val="00340DFC"/>
    <w:rPr>
      <w:rFonts w:ascii="Arial" w:hAnsi="Arial"/>
      <w:sz w:val="24"/>
      <w:lang w:val="de-DE"/>
    </w:rPr>
  </w:style>
  <w:style w:type="character" w:customStyle="1" w:styleId="Heading8Char">
    <w:name w:val="Heading 8 Char"/>
    <w:basedOn w:val="DefaultParagraphFont"/>
    <w:link w:val="Heading8"/>
    <w:semiHidden/>
    <w:rsid w:val="00340DFC"/>
    <w:rPr>
      <w:rFonts w:ascii="Arial" w:hAnsi="Arial"/>
      <w:i/>
      <w:sz w:val="24"/>
      <w:lang w:val="de-DE"/>
    </w:rPr>
  </w:style>
  <w:style w:type="character" w:customStyle="1" w:styleId="Heading9Char">
    <w:name w:val="Heading 9 Char"/>
    <w:basedOn w:val="DefaultParagraphFont"/>
    <w:link w:val="Heading9"/>
    <w:semiHidden/>
    <w:rsid w:val="00340DFC"/>
    <w:rPr>
      <w:rFonts w:ascii="Arial" w:hAnsi="Arial"/>
      <w:b/>
      <w:i/>
      <w:sz w:val="18"/>
      <w:lang w:val="de-DE"/>
    </w:rPr>
  </w:style>
  <w:style w:type="paragraph" w:styleId="TOCHeading">
    <w:name w:val="TOC Heading"/>
    <w:basedOn w:val="Normal"/>
    <w:next w:val="Normal"/>
    <w:unhideWhenUsed/>
    <w:qFormat/>
    <w:rsid w:val="00340DFC"/>
    <w:pPr>
      <w:widowControl/>
      <w:spacing w:after="240"/>
    </w:pPr>
    <w:rPr>
      <w:lang w:val="en-GB"/>
    </w:rPr>
  </w:style>
  <w:style w:type="paragraph" w:customStyle="1" w:styleId="EPFooter2">
    <w:name w:val="EPFooter2"/>
    <w:basedOn w:val="Normal"/>
    <w:next w:val="Normal"/>
    <w:rsid w:val="00340DF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40DFC"/>
    <w:pPr>
      <w:keepNext/>
      <w:spacing w:after="240"/>
      <w:jc w:val="right"/>
    </w:pPr>
    <w:rPr>
      <w:rFonts w:ascii="Arial" w:hAnsi="Arial"/>
      <w:b/>
    </w:rPr>
  </w:style>
  <w:style w:type="paragraph" w:customStyle="1" w:styleId="Normal6a">
    <w:name w:val="Normal6a"/>
    <w:basedOn w:val="Normal"/>
    <w:rsid w:val="00340DFC"/>
    <w:pPr>
      <w:spacing w:after="120"/>
    </w:pPr>
  </w:style>
  <w:style w:type="paragraph" w:customStyle="1" w:styleId="PageHeading">
    <w:name w:val="PageHeading"/>
    <w:basedOn w:val="Normal"/>
    <w:qFormat/>
    <w:rsid w:val="00340DFC"/>
    <w:pPr>
      <w:keepNext/>
      <w:spacing w:after="480"/>
      <w:jc w:val="center"/>
    </w:pPr>
    <w:rPr>
      <w:rFonts w:ascii="Arial" w:hAnsi="Arial" w:cs="Arial"/>
      <w:b/>
    </w:rPr>
  </w:style>
  <w:style w:type="paragraph" w:customStyle="1" w:styleId="NormalBold">
    <w:name w:val="NormalBold"/>
    <w:basedOn w:val="Normal"/>
    <w:link w:val="NormalBoldChar"/>
    <w:rsid w:val="00340DFC"/>
    <w:rPr>
      <w:b/>
    </w:rPr>
  </w:style>
  <w:style w:type="paragraph" w:customStyle="1" w:styleId="NormalBold12a">
    <w:name w:val="NormalBold12a"/>
    <w:basedOn w:val="Normal"/>
    <w:rsid w:val="00340DFC"/>
    <w:pPr>
      <w:spacing w:after="240"/>
    </w:pPr>
    <w:rPr>
      <w:b/>
    </w:rPr>
  </w:style>
  <w:style w:type="paragraph" w:customStyle="1" w:styleId="AmJustText">
    <w:name w:val="AmJustText"/>
    <w:basedOn w:val="Normal"/>
    <w:rsid w:val="00340DFC"/>
    <w:pPr>
      <w:spacing w:after="240"/>
    </w:pPr>
    <w:rPr>
      <w:i/>
    </w:rPr>
  </w:style>
  <w:style w:type="paragraph" w:customStyle="1" w:styleId="NormalHanging12a">
    <w:name w:val="NormalHanging12a"/>
    <w:basedOn w:val="Normal"/>
    <w:rsid w:val="00340DFC"/>
    <w:pPr>
      <w:spacing w:after="240"/>
      <w:ind w:left="567" w:hanging="567"/>
    </w:pPr>
  </w:style>
  <w:style w:type="paragraph" w:customStyle="1" w:styleId="CoverNormal24a">
    <w:name w:val="CoverNormal24a"/>
    <w:basedOn w:val="Normal"/>
    <w:rsid w:val="00340DFC"/>
    <w:pPr>
      <w:spacing w:after="480"/>
      <w:ind w:left="1417"/>
    </w:pPr>
  </w:style>
  <w:style w:type="paragraph" w:customStyle="1" w:styleId="CoverNormal">
    <w:name w:val="CoverNormal"/>
    <w:basedOn w:val="Normal"/>
    <w:rsid w:val="00340DFC"/>
    <w:pPr>
      <w:ind w:left="1418"/>
    </w:pPr>
  </w:style>
  <w:style w:type="paragraph" w:customStyle="1" w:styleId="AmCrossRef">
    <w:name w:val="AmCrossRef"/>
    <w:basedOn w:val="Normal"/>
    <w:rsid w:val="00340DFC"/>
    <w:pPr>
      <w:spacing w:before="240" w:after="240"/>
      <w:jc w:val="center"/>
    </w:pPr>
    <w:rPr>
      <w:i/>
    </w:rPr>
  </w:style>
  <w:style w:type="paragraph" w:customStyle="1" w:styleId="AmJustTitle">
    <w:name w:val="AmJustTitle"/>
    <w:basedOn w:val="Normal"/>
    <w:next w:val="AmJustText"/>
    <w:rsid w:val="00340DFC"/>
    <w:pPr>
      <w:keepNext/>
      <w:spacing w:before="240" w:after="240"/>
      <w:jc w:val="center"/>
    </w:pPr>
    <w:rPr>
      <w:i/>
    </w:rPr>
  </w:style>
  <w:style w:type="paragraph" w:customStyle="1" w:styleId="CoverReference">
    <w:name w:val="CoverReference"/>
    <w:basedOn w:val="Normal"/>
    <w:rsid w:val="00340DFC"/>
    <w:pPr>
      <w:spacing w:before="1080"/>
      <w:jc w:val="right"/>
    </w:pPr>
    <w:rPr>
      <w:rFonts w:ascii="Arial" w:hAnsi="Arial" w:cs="Arial"/>
      <w:b/>
    </w:rPr>
  </w:style>
  <w:style w:type="paragraph" w:customStyle="1" w:styleId="CoverDocType">
    <w:name w:val="CoverDocType"/>
    <w:basedOn w:val="Normal"/>
    <w:rsid w:val="00340DFC"/>
    <w:pPr>
      <w:ind w:left="1418"/>
    </w:pPr>
    <w:rPr>
      <w:rFonts w:ascii="Arial" w:hAnsi="Arial"/>
      <w:b/>
      <w:sz w:val="48"/>
    </w:rPr>
  </w:style>
  <w:style w:type="paragraph" w:customStyle="1" w:styleId="CoverDocType24a">
    <w:name w:val="CoverDocType24a"/>
    <w:basedOn w:val="Normal"/>
    <w:rsid w:val="00340DFC"/>
    <w:pPr>
      <w:spacing w:after="480"/>
      <w:ind w:left="1418"/>
    </w:pPr>
    <w:rPr>
      <w:rFonts w:ascii="Arial" w:hAnsi="Arial"/>
      <w:b/>
      <w:sz w:val="48"/>
    </w:rPr>
  </w:style>
  <w:style w:type="paragraph" w:customStyle="1" w:styleId="CoverDate">
    <w:name w:val="CoverDate"/>
    <w:basedOn w:val="Normal"/>
    <w:rsid w:val="00340DFC"/>
    <w:pPr>
      <w:spacing w:before="240" w:after="1200"/>
    </w:pPr>
  </w:style>
  <w:style w:type="paragraph" w:styleId="Header">
    <w:name w:val="header"/>
    <w:basedOn w:val="Normal"/>
    <w:link w:val="HeaderChar"/>
    <w:rsid w:val="00340DFC"/>
    <w:pPr>
      <w:tabs>
        <w:tab w:val="center" w:pos="4513"/>
        <w:tab w:val="right" w:pos="9026"/>
      </w:tabs>
    </w:pPr>
  </w:style>
  <w:style w:type="character" w:customStyle="1" w:styleId="HeaderChar">
    <w:name w:val="Header Char"/>
    <w:basedOn w:val="DefaultParagraphFont"/>
    <w:link w:val="Header"/>
    <w:rsid w:val="00340DFC"/>
    <w:rPr>
      <w:sz w:val="24"/>
      <w:lang w:val="de-DE"/>
    </w:rPr>
  </w:style>
  <w:style w:type="paragraph" w:customStyle="1" w:styleId="AmOrLang">
    <w:name w:val="AmOrLang"/>
    <w:basedOn w:val="Normal"/>
    <w:rsid w:val="00340DFC"/>
    <w:pPr>
      <w:spacing w:before="240" w:after="240"/>
      <w:jc w:val="right"/>
    </w:pPr>
  </w:style>
  <w:style w:type="paragraph" w:customStyle="1" w:styleId="AmColumnHeading">
    <w:name w:val="AmColumnHeading"/>
    <w:basedOn w:val="Normal"/>
    <w:rsid w:val="00340DFC"/>
    <w:pPr>
      <w:spacing w:after="240"/>
      <w:jc w:val="center"/>
    </w:pPr>
    <w:rPr>
      <w:i/>
    </w:rPr>
  </w:style>
  <w:style w:type="paragraph" w:customStyle="1" w:styleId="AmNumberTabs">
    <w:name w:val="AmNumberTabs"/>
    <w:basedOn w:val="Normal"/>
    <w:rsid w:val="00340D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40DFC"/>
    <w:pPr>
      <w:spacing w:before="240"/>
    </w:pPr>
    <w:rPr>
      <w:b/>
    </w:rPr>
  </w:style>
  <w:style w:type="paragraph" w:customStyle="1" w:styleId="EPBody">
    <w:name w:val="EPBody"/>
    <w:basedOn w:val="Normal"/>
    <w:rsid w:val="00340DFC"/>
    <w:pPr>
      <w:jc w:val="center"/>
    </w:pPr>
    <w:rPr>
      <w:rFonts w:ascii="Arial" w:hAnsi="Arial" w:cs="Arial"/>
      <w:i/>
      <w:sz w:val="22"/>
      <w:szCs w:val="22"/>
    </w:rPr>
  </w:style>
  <w:style w:type="paragraph" w:customStyle="1" w:styleId="EPFooter">
    <w:name w:val="EPFooter"/>
    <w:basedOn w:val="Normal"/>
    <w:rsid w:val="00340DFC"/>
    <w:pPr>
      <w:tabs>
        <w:tab w:val="center" w:pos="4535"/>
        <w:tab w:val="right" w:pos="9071"/>
      </w:tabs>
      <w:spacing w:before="240" w:after="240"/>
    </w:pPr>
    <w:rPr>
      <w:color w:val="010000"/>
      <w:sz w:val="22"/>
    </w:rPr>
  </w:style>
  <w:style w:type="paragraph" w:customStyle="1" w:styleId="EPComma">
    <w:name w:val="EPComma"/>
    <w:basedOn w:val="Normal"/>
    <w:rsid w:val="00340DFC"/>
    <w:pPr>
      <w:spacing w:before="480" w:after="240"/>
    </w:pPr>
  </w:style>
  <w:style w:type="paragraph" w:customStyle="1" w:styleId="Lgendesigne">
    <w:name w:val="Légende signe"/>
    <w:basedOn w:val="Normal"/>
    <w:rsid w:val="00340DFC"/>
    <w:pPr>
      <w:tabs>
        <w:tab w:val="right" w:pos="454"/>
        <w:tab w:val="left" w:pos="737"/>
      </w:tabs>
      <w:ind w:left="737" w:hanging="737"/>
    </w:pPr>
    <w:rPr>
      <w:snapToGrid w:val="0"/>
      <w:sz w:val="18"/>
      <w:lang w:eastAsia="en-US"/>
    </w:rPr>
  </w:style>
  <w:style w:type="paragraph" w:customStyle="1" w:styleId="Lgendetitre">
    <w:name w:val="Légende titre"/>
    <w:basedOn w:val="Normal"/>
    <w:rsid w:val="00340DFC"/>
    <w:pPr>
      <w:spacing w:before="240" w:after="240"/>
    </w:pPr>
    <w:rPr>
      <w:b/>
      <w:i/>
      <w:snapToGrid w:val="0"/>
      <w:lang w:eastAsia="en-US"/>
    </w:rPr>
  </w:style>
  <w:style w:type="paragraph" w:customStyle="1" w:styleId="Lgendestandard">
    <w:name w:val="Légende standard"/>
    <w:basedOn w:val="Normal"/>
    <w:rsid w:val="00340DFC"/>
    <w:rPr>
      <w:sz w:val="18"/>
    </w:rPr>
  </w:style>
  <w:style w:type="paragraph" w:customStyle="1" w:styleId="Default">
    <w:name w:val="Default"/>
    <w:rsid w:val="00340DFC"/>
    <w:pPr>
      <w:autoSpaceDE w:val="0"/>
      <w:autoSpaceDN w:val="0"/>
      <w:adjustRightInd w:val="0"/>
    </w:pPr>
    <w:rPr>
      <w:color w:val="000000"/>
      <w:sz w:val="24"/>
      <w:szCs w:val="24"/>
      <w:lang w:val="de-DE"/>
    </w:rPr>
  </w:style>
  <w:style w:type="character" w:customStyle="1" w:styleId="Normal6Char">
    <w:name w:val="Normal6 Char"/>
    <w:basedOn w:val="DefaultParagraphFont"/>
    <w:link w:val="Normal6"/>
    <w:locked/>
    <w:rsid w:val="00340DFC"/>
    <w:rPr>
      <w:b/>
      <w:bCs/>
      <w:i/>
      <w:iCs/>
      <w:sz w:val="24"/>
      <w:lang w:val="de-DE"/>
    </w:rPr>
  </w:style>
  <w:style w:type="paragraph" w:customStyle="1" w:styleId="Normal6">
    <w:name w:val="Normal6"/>
    <w:basedOn w:val="Normal"/>
    <w:link w:val="Normal6Char"/>
    <w:rsid w:val="00340DFC"/>
    <w:pPr>
      <w:spacing w:after="120"/>
    </w:pPr>
    <w:rPr>
      <w:b/>
      <w:bCs/>
      <w:i/>
      <w:iCs/>
    </w:rPr>
  </w:style>
  <w:style w:type="character" w:customStyle="1" w:styleId="NormalBoldChar">
    <w:name w:val="NormalBold Char"/>
    <w:basedOn w:val="DefaultParagraphFont"/>
    <w:link w:val="NormalBold"/>
    <w:locked/>
    <w:rsid w:val="00340DFC"/>
    <w:rPr>
      <w:b/>
      <w:sz w:val="24"/>
      <w:lang w:val="de-DE"/>
    </w:rPr>
  </w:style>
  <w:style w:type="paragraph" w:customStyle="1" w:styleId="ColumnHeading">
    <w:name w:val="ColumnHeading"/>
    <w:basedOn w:val="Normal"/>
    <w:rsid w:val="00340DFC"/>
    <w:pPr>
      <w:spacing w:after="240"/>
      <w:jc w:val="center"/>
    </w:pPr>
    <w:rPr>
      <w:i/>
    </w:rPr>
  </w:style>
  <w:style w:type="paragraph" w:customStyle="1" w:styleId="AMNumberTabs0">
    <w:name w:val="AMNumberTabs"/>
    <w:basedOn w:val="Normal"/>
    <w:rsid w:val="00340D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40DFC"/>
    <w:pPr>
      <w:jc w:val="right"/>
    </w:pPr>
    <w:rPr>
      <w:lang w:val="de-DE"/>
    </w:rPr>
  </w:style>
  <w:style w:type="character" w:styleId="Hyperlink">
    <w:name w:val="Hyperlink"/>
    <w:basedOn w:val="DefaultParagraphFont"/>
    <w:unhideWhenUsed/>
    <w:rsid w:val="00340DFC"/>
    <w:rPr>
      <w:color w:val="467886"/>
      <w:u w:val="single"/>
    </w:rPr>
  </w:style>
  <w:style w:type="paragraph" w:styleId="Revision">
    <w:name w:val="Revision"/>
    <w:hidden/>
    <w:uiPriority w:val="99"/>
    <w:semiHidden/>
    <w:rsid w:val="00340DFC"/>
    <w:rPr>
      <w:sz w:val="24"/>
      <w:lang w:val="de-DE"/>
    </w:rPr>
  </w:style>
  <w:style w:type="character" w:styleId="CommentReference">
    <w:name w:val="annotation reference"/>
    <w:basedOn w:val="DefaultParagraphFont"/>
    <w:rsid w:val="00340DFC"/>
    <w:rPr>
      <w:sz w:val="16"/>
      <w:szCs w:val="16"/>
    </w:rPr>
  </w:style>
  <w:style w:type="paragraph" w:styleId="CommentText">
    <w:name w:val="annotation text"/>
    <w:basedOn w:val="Normal"/>
    <w:link w:val="CommentTextChar"/>
    <w:rsid w:val="00340DFC"/>
    <w:rPr>
      <w:sz w:val="20"/>
    </w:rPr>
  </w:style>
  <w:style w:type="character" w:customStyle="1" w:styleId="CommentTextChar">
    <w:name w:val="Comment Text Char"/>
    <w:basedOn w:val="DefaultParagraphFont"/>
    <w:link w:val="CommentText"/>
    <w:rsid w:val="00340DFC"/>
    <w:rPr>
      <w:lang w:val="de-DE"/>
    </w:rPr>
  </w:style>
  <w:style w:type="paragraph" w:styleId="CommentSubject">
    <w:name w:val="annotation subject"/>
    <w:basedOn w:val="CommentText"/>
    <w:next w:val="CommentText"/>
    <w:link w:val="CommentSubjectChar"/>
    <w:unhideWhenUsed/>
    <w:rsid w:val="00340DFC"/>
    <w:rPr>
      <w:b/>
      <w:bCs/>
    </w:rPr>
  </w:style>
  <w:style w:type="character" w:customStyle="1" w:styleId="CommentSubjectChar">
    <w:name w:val="Comment Subject Char"/>
    <w:basedOn w:val="CommentTextChar"/>
    <w:link w:val="CommentSubject"/>
    <w:rsid w:val="00340DFC"/>
    <w:rPr>
      <w:b/>
      <w:bCs/>
      <w:lang w:val="de-DE"/>
    </w:rPr>
  </w:style>
  <w:style w:type="character" w:styleId="UnresolvedMention">
    <w:name w:val="Unresolved Mention"/>
    <w:basedOn w:val="DefaultParagraphFont"/>
    <w:uiPriority w:val="99"/>
    <w:semiHidden/>
    <w:unhideWhenUsed/>
    <w:rsid w:val="00340DFC"/>
    <w:rPr>
      <w:color w:val="605E5C"/>
      <w:shd w:val="clear" w:color="auto" w:fill="E1DFDD"/>
    </w:rPr>
  </w:style>
  <w:style w:type="character" w:styleId="Emphasis">
    <w:name w:val="Emphasis"/>
    <w:basedOn w:val="DefaultParagraphFont"/>
    <w:uiPriority w:val="20"/>
    <w:qFormat/>
    <w:rsid w:val="00340DFC"/>
    <w:rPr>
      <w:i/>
      <w:iCs/>
    </w:rPr>
  </w:style>
  <w:style w:type="paragraph" w:styleId="ListParagraph">
    <w:name w:val="List Paragraph"/>
    <w:basedOn w:val="Normal"/>
    <w:uiPriority w:val="1"/>
    <w:qFormat/>
    <w:rsid w:val="00340DFC"/>
    <w:pPr>
      <w:ind w:left="720"/>
      <w:contextualSpacing/>
    </w:pPr>
  </w:style>
  <w:style w:type="paragraph" w:styleId="BodyText">
    <w:name w:val="Body Text"/>
    <w:basedOn w:val="Normal"/>
    <w:link w:val="BodyTextChar"/>
    <w:uiPriority w:val="1"/>
    <w:unhideWhenUsed/>
    <w:qFormat/>
    <w:rsid w:val="00340DFC"/>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340DFC"/>
    <w:rPr>
      <w:sz w:val="24"/>
      <w:szCs w:val="24"/>
      <w:lang w:val="de-DE" w:eastAsia="en-US"/>
    </w:rPr>
  </w:style>
  <w:style w:type="paragraph" w:customStyle="1" w:styleId="Normal12a">
    <w:name w:val="Normal12a"/>
    <w:basedOn w:val="Normal"/>
    <w:rsid w:val="00340DFC"/>
    <w:pPr>
      <w:spacing w:after="240"/>
    </w:pPr>
  </w:style>
  <w:style w:type="paragraph" w:customStyle="1" w:styleId="PageHeadingNotTOC">
    <w:name w:val="PageHeadingNotTOC"/>
    <w:basedOn w:val="Normal"/>
    <w:rsid w:val="00340DFC"/>
    <w:pPr>
      <w:keepNext/>
      <w:spacing w:after="480"/>
      <w:jc w:val="center"/>
    </w:pPr>
    <w:rPr>
      <w:rFonts w:ascii="Arial" w:hAnsi="Arial" w:cs="Arial"/>
      <w:b/>
    </w:rPr>
  </w:style>
  <w:style w:type="paragraph" w:customStyle="1" w:styleId="AmHeadingPA">
    <w:name w:val="AmHeadingPA"/>
    <w:basedOn w:val="Normal"/>
    <w:next w:val="Normal"/>
    <w:rsid w:val="00340DFC"/>
    <w:pPr>
      <w:spacing w:before="480" w:after="240"/>
      <w:jc w:val="center"/>
    </w:pPr>
    <w:rPr>
      <w:rFonts w:ascii="Arial" w:hAnsi="Arial"/>
      <w:b/>
      <w:caps/>
      <w:snapToGrid w:val="0"/>
      <w:szCs w:val="24"/>
      <w:lang w:eastAsia="en-US"/>
    </w:rPr>
  </w:style>
  <w:style w:type="paragraph" w:customStyle="1" w:styleId="Normal24a">
    <w:name w:val="Normal24a"/>
    <w:basedOn w:val="Normal"/>
    <w:rsid w:val="00340DFC"/>
    <w:pPr>
      <w:spacing w:after="480"/>
    </w:pPr>
    <w:rPr>
      <w:szCs w:val="24"/>
    </w:rPr>
  </w:style>
  <w:style w:type="paragraph" w:customStyle="1" w:styleId="NormalBoldCenter">
    <w:name w:val="NormalBoldCenter"/>
    <w:basedOn w:val="Normal"/>
    <w:rsid w:val="00340DFC"/>
    <w:pPr>
      <w:jc w:val="center"/>
    </w:pPr>
    <w:rPr>
      <w:b/>
      <w:szCs w:val="24"/>
    </w:rPr>
  </w:style>
  <w:style w:type="paragraph" w:customStyle="1" w:styleId="Footprint12b">
    <w:name w:val="Footprint12b"/>
    <w:basedOn w:val="Normal"/>
    <w:rsid w:val="00340DFC"/>
    <w:pPr>
      <w:spacing w:before="240"/>
    </w:pPr>
    <w:rPr>
      <w:szCs w:val="24"/>
    </w:rPr>
  </w:style>
  <w:style w:type="paragraph" w:customStyle="1" w:styleId="NormalSingle">
    <w:name w:val="NormalSingle"/>
    <w:basedOn w:val="Normal"/>
    <w:qFormat/>
    <w:rsid w:val="00340DFC"/>
    <w:rPr>
      <w:szCs w:val="24"/>
    </w:rPr>
  </w:style>
  <w:style w:type="paragraph" w:customStyle="1" w:styleId="RollCallSymbols14pt">
    <w:name w:val="RollCallSymbols14pt"/>
    <w:basedOn w:val="Normal"/>
    <w:rsid w:val="00340DF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40DFC"/>
    <w:pPr>
      <w:tabs>
        <w:tab w:val="center" w:pos="284"/>
        <w:tab w:val="left" w:pos="426"/>
      </w:tabs>
    </w:pPr>
    <w:rPr>
      <w:snapToGrid w:val="0"/>
      <w:lang w:eastAsia="en-US"/>
    </w:rPr>
  </w:style>
  <w:style w:type="paragraph" w:customStyle="1" w:styleId="RollCallVotes">
    <w:name w:val="RollCallVotes"/>
    <w:basedOn w:val="Normal"/>
    <w:rsid w:val="00340DFC"/>
    <w:pPr>
      <w:spacing w:before="120" w:after="120"/>
      <w:jc w:val="center"/>
    </w:pPr>
    <w:rPr>
      <w:b/>
      <w:bCs/>
      <w:snapToGrid w:val="0"/>
      <w:sz w:val="16"/>
      <w:lang w:eastAsia="en-US"/>
    </w:rPr>
  </w:style>
  <w:style w:type="paragraph" w:customStyle="1" w:styleId="RollCallTable">
    <w:name w:val="RollCallTable"/>
    <w:basedOn w:val="Normal"/>
    <w:rsid w:val="00340DFC"/>
    <w:pPr>
      <w:spacing w:before="120" w:after="120"/>
    </w:pPr>
    <w:rPr>
      <w:snapToGrid w:val="0"/>
      <w:sz w:val="16"/>
      <w:lang w:eastAsia="en-US"/>
    </w:rPr>
  </w:style>
  <w:style w:type="paragraph" w:customStyle="1" w:styleId="FootnoteTextForceStyle">
    <w:name w:val="Footnote Text ForceStyle"/>
    <w:rsid w:val="00E4100B"/>
    <w:pPr>
      <w:keepLines/>
      <w:spacing w:line="240" w:lineRule="exact"/>
      <w:ind w:left="850" w:hanging="850"/>
    </w:pPr>
    <w:rPr>
      <w:sz w:val="24"/>
      <w:lang w:val="de-DE" w:eastAsia="en-US"/>
    </w:rPr>
  </w:style>
  <w:style w:type="character" w:customStyle="1" w:styleId="Footer2">
    <w:name w:val="Footer2"/>
    <w:rsid w:val="00E4100B"/>
    <w:rPr>
      <w:rFonts w:ascii="Arial" w:hAnsi="Arial"/>
      <w:b/>
      <w:sz w:val="48"/>
    </w:rPr>
  </w:style>
  <w:style w:type="paragraph" w:customStyle="1" w:styleId="Footer1">
    <w:name w:val="Footer1"/>
    <w:basedOn w:val="Normal"/>
    <w:rsid w:val="00E4100B"/>
    <w:pPr>
      <w:widowControl/>
      <w:tabs>
        <w:tab w:val="center" w:pos="4534"/>
        <w:tab w:val="right" w:pos="9638"/>
        <w:tab w:val="right" w:pos="10772"/>
      </w:tabs>
      <w:spacing w:before="360" w:line="360" w:lineRule="auto"/>
      <w:ind w:left="-840" w:right="-840"/>
    </w:pPr>
    <w:rPr>
      <w:szCs w:val="24"/>
      <w:lang w:eastAsia="en-US"/>
    </w:rPr>
  </w:style>
  <w:style w:type="character" w:customStyle="1" w:styleId="Hyperlink1">
    <w:name w:val="Hyperlink1"/>
    <w:basedOn w:val="DefaultParagraphFont"/>
    <w:rsid w:val="00E4100B"/>
    <w:rPr>
      <w:color w:val="0000FF"/>
      <w:u w:val="single"/>
    </w:rPr>
  </w:style>
  <w:style w:type="paragraph" w:styleId="Footer">
    <w:name w:val="footer"/>
    <w:basedOn w:val="Normal"/>
    <w:link w:val="FooterChar"/>
    <w:rsid w:val="00E4100B"/>
    <w:pPr>
      <w:tabs>
        <w:tab w:val="center" w:pos="4513"/>
        <w:tab w:val="right" w:pos="9026"/>
      </w:tabs>
    </w:pPr>
  </w:style>
  <w:style w:type="character" w:customStyle="1" w:styleId="FooterChar">
    <w:name w:val="Footer Char"/>
    <w:basedOn w:val="DefaultParagraphFont"/>
    <w:link w:val="Footer"/>
    <w:rsid w:val="00E4100B"/>
    <w:rPr>
      <w:sz w:val="24"/>
      <w:lang w:val="de-DE"/>
    </w:rPr>
  </w:style>
  <w:style w:type="character" w:customStyle="1" w:styleId="normaltextrun">
    <w:name w:val="normaltextrun"/>
    <w:basedOn w:val="DefaultParagraphFont"/>
    <w:rsid w:val="00B20725"/>
  </w:style>
  <w:style w:type="character" w:customStyle="1" w:styleId="eop">
    <w:name w:val="eop"/>
    <w:basedOn w:val="DefaultParagraphFont"/>
    <w:rsid w:val="00B20725"/>
  </w:style>
  <w:style w:type="paragraph" w:styleId="NormalWeb">
    <w:name w:val="Normal (Web)"/>
    <w:basedOn w:val="Normal"/>
    <w:rsid w:val="00B20725"/>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6583">
      <w:bodyDiv w:val="1"/>
      <w:marLeft w:val="0"/>
      <w:marRight w:val="0"/>
      <w:marTop w:val="0"/>
      <w:marBottom w:val="0"/>
      <w:divBdr>
        <w:top w:val="none" w:sz="0" w:space="0" w:color="auto"/>
        <w:left w:val="none" w:sz="0" w:space="0" w:color="auto"/>
        <w:bottom w:val="none" w:sz="0" w:space="0" w:color="auto"/>
        <w:right w:val="none" w:sz="0" w:space="0" w:color="auto"/>
      </w:divBdr>
      <w:divsChild>
        <w:div w:id="677657191">
          <w:marLeft w:val="0"/>
          <w:marRight w:val="0"/>
          <w:marTop w:val="0"/>
          <w:marBottom w:val="0"/>
          <w:divBdr>
            <w:top w:val="none" w:sz="0" w:space="0" w:color="auto"/>
            <w:left w:val="none" w:sz="0" w:space="0" w:color="auto"/>
            <w:bottom w:val="none" w:sz="0" w:space="0" w:color="auto"/>
            <w:right w:val="none" w:sz="0" w:space="0" w:color="auto"/>
          </w:divBdr>
          <w:divsChild>
            <w:div w:id="194788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63592">
      <w:bodyDiv w:val="1"/>
      <w:marLeft w:val="0"/>
      <w:marRight w:val="0"/>
      <w:marTop w:val="0"/>
      <w:marBottom w:val="0"/>
      <w:divBdr>
        <w:top w:val="none" w:sz="0" w:space="0" w:color="auto"/>
        <w:left w:val="none" w:sz="0" w:space="0" w:color="auto"/>
        <w:bottom w:val="none" w:sz="0" w:space="0" w:color="auto"/>
        <w:right w:val="none" w:sz="0" w:space="0" w:color="auto"/>
      </w:divBdr>
      <w:divsChild>
        <w:div w:id="1394229786">
          <w:marLeft w:val="0"/>
          <w:marRight w:val="0"/>
          <w:marTop w:val="0"/>
          <w:marBottom w:val="0"/>
          <w:divBdr>
            <w:top w:val="none" w:sz="0" w:space="0" w:color="auto"/>
            <w:left w:val="none" w:sz="0" w:space="0" w:color="auto"/>
            <w:bottom w:val="none" w:sz="0" w:space="0" w:color="auto"/>
            <w:right w:val="none" w:sz="0" w:space="0" w:color="auto"/>
          </w:divBdr>
          <w:divsChild>
            <w:div w:id="75190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4/833/oj" TargetMode="External"/><Relationship Id="rId1" Type="http://schemas.openxmlformats.org/officeDocument/2006/relationships/hyperlink" Target="http://data.europa.eu/eli/dec/2014/5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586</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2026-07-08T16:28:00Z</dcterms:created>
  <dcterms:modified xsi:type="dcterms:W3CDTF">2026-07-08T16:28:00Z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P10_TA(2026)0170_</vt:lpwstr>
  </property>
  <property fmtid="{D5CDD505-2E9C-101B-9397-08002B2CF9AE}" pid="4" name="&lt;Type&gt;">
    <vt:lpwstr>RR</vt:lpwstr>
  </property>
</Properties>
</file>