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DB7" w14:paraId="45000CC6" w14:textId="77777777" w:rsidTr="0010095E">
        <w:trPr>
          <w:trHeight w:hRule="exact" w:val="1418"/>
        </w:trPr>
        <w:tc>
          <w:tcPr>
            <w:tcW w:w="6804" w:type="dxa"/>
            <w:shd w:val="clear" w:color="auto" w:fill="auto"/>
            <w:vAlign w:val="center"/>
          </w:tcPr>
          <w:p w14:paraId="63DC2DBE" w14:textId="77777777" w:rsidR="00751A4A" w:rsidRPr="004C2DB7" w:rsidRDefault="009154EB" w:rsidP="0010095E">
            <w:pPr>
              <w:pStyle w:val="EPName"/>
            </w:pPr>
            <w:r w:rsidRPr="004C2DB7">
              <w:t>Ευρωπαϊκό Κοινοβούλιο</w:t>
            </w:r>
          </w:p>
          <w:p w14:paraId="10D3B276" w14:textId="77777777" w:rsidR="00751A4A" w:rsidRPr="004C2DB7" w:rsidRDefault="005F1B17" w:rsidP="005F1B17">
            <w:pPr>
              <w:pStyle w:val="EPTerm"/>
              <w:rPr>
                <w:rStyle w:val="HideTWBExt"/>
                <w:noProof w:val="0"/>
                <w:vanish w:val="0"/>
                <w:color w:val="auto"/>
              </w:rPr>
            </w:pPr>
            <w:r w:rsidRPr="004C2DB7">
              <w:t>2024</w:t>
            </w:r>
            <w:r w:rsidR="00817416" w:rsidRPr="004C2DB7">
              <w:t>-202</w:t>
            </w:r>
            <w:r w:rsidRPr="004C2DB7">
              <w:t>9</w:t>
            </w:r>
          </w:p>
        </w:tc>
        <w:tc>
          <w:tcPr>
            <w:tcW w:w="2268" w:type="dxa"/>
            <w:shd w:val="clear" w:color="auto" w:fill="auto"/>
          </w:tcPr>
          <w:p w14:paraId="24720394" w14:textId="77777777" w:rsidR="00751A4A" w:rsidRPr="004C2DB7" w:rsidRDefault="00187494" w:rsidP="0010095E">
            <w:pPr>
              <w:pStyle w:val="EPLogo"/>
            </w:pPr>
            <w:r w:rsidRPr="004C2DB7">
              <w:rPr>
                <w:noProof/>
                <w:lang w:eastAsia="ja-JP"/>
              </w:rPr>
              <w:drawing>
                <wp:inline distT="0" distB="0" distL="0" distR="0" wp14:anchorId="038896E6" wp14:editId="2A11B0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F6D0C3" w14:textId="77777777" w:rsidR="00D058B8" w:rsidRPr="004C2DB7" w:rsidRDefault="00D058B8" w:rsidP="004C5D52">
      <w:pPr>
        <w:pStyle w:val="LineTop"/>
      </w:pPr>
    </w:p>
    <w:p w14:paraId="70B39198" w14:textId="77777777" w:rsidR="00680577" w:rsidRPr="004C2DB7" w:rsidRDefault="009154EB" w:rsidP="00680577">
      <w:pPr>
        <w:pStyle w:val="EPBodyTA1"/>
      </w:pPr>
      <w:r w:rsidRPr="004C2DB7">
        <w:t>ΚΕΙΜΕΝΑ ΠΟΥ ΕΓΚΡΙΘΗΚΑΝ</w:t>
      </w:r>
    </w:p>
    <w:p w14:paraId="33E55C5F" w14:textId="77777777" w:rsidR="00D058B8" w:rsidRPr="004C2DB7" w:rsidRDefault="00D058B8" w:rsidP="00D058B8">
      <w:pPr>
        <w:pStyle w:val="LineBottom"/>
      </w:pPr>
    </w:p>
    <w:p w14:paraId="01156E93" w14:textId="05F82A30" w:rsidR="009154EB" w:rsidRPr="004C2DB7" w:rsidRDefault="009154EB" w:rsidP="009154EB">
      <w:pPr>
        <w:pStyle w:val="ATHeading1"/>
      </w:pPr>
      <w:bookmarkStart w:id="0" w:name="TANumber"/>
      <w:r w:rsidRPr="004C2DB7">
        <w:t>P10_TA(2026)0</w:t>
      </w:r>
      <w:r w:rsidR="004C2DB7" w:rsidRPr="004C2DB7">
        <w:t>17</w:t>
      </w:r>
      <w:r w:rsidRPr="004C2DB7">
        <w:t>0</w:t>
      </w:r>
      <w:bookmarkEnd w:id="0"/>
    </w:p>
    <w:p w14:paraId="2E3FAA83" w14:textId="73BE7CA2" w:rsidR="009154EB" w:rsidRPr="004C2DB7" w:rsidRDefault="00D62F04" w:rsidP="009154EB">
      <w:pPr>
        <w:pStyle w:val="ATHeading2"/>
      </w:pPr>
      <w:bookmarkStart w:id="1" w:name="title"/>
      <w:r w:rsidRPr="004C2DB7">
        <w:t>Αρνητικές εμπορικές επιπτώσεις της παγκόσμιας πλεονάζουσας παραγωγικής ικανότητας στην ενωσιακή αγορά χάλυβα</w:t>
      </w:r>
      <w:bookmarkEnd w:id="1"/>
    </w:p>
    <w:p w14:paraId="5B7D2467" w14:textId="77777777" w:rsidR="009154EB" w:rsidRPr="004C2DB7" w:rsidRDefault="009154EB" w:rsidP="009154EB">
      <w:pPr>
        <w:rPr>
          <w:i/>
          <w:vanish/>
        </w:rPr>
      </w:pPr>
      <w:r w:rsidRPr="004C2DB7">
        <w:rPr>
          <w:i/>
        </w:rPr>
        <w:fldChar w:fldCharType="begin"/>
      </w:r>
      <w:r w:rsidRPr="004C2DB7">
        <w:rPr>
          <w:i/>
        </w:rPr>
        <w:instrText xml:space="preserve"> TC"(</w:instrText>
      </w:r>
      <w:bookmarkStart w:id="2" w:name="DocNumber"/>
      <w:r w:rsidRPr="004C2DB7">
        <w:rPr>
          <w:i/>
        </w:rPr>
        <w:instrText>A10-0012/2026</w:instrText>
      </w:r>
      <w:bookmarkEnd w:id="2"/>
      <w:r w:rsidRPr="004C2DB7">
        <w:rPr>
          <w:i/>
        </w:rPr>
        <w:instrText xml:space="preserve"> - Εισηγήτρια: Karin Karlsbro)"\l3 \n&gt; \* MERGEFORMAT </w:instrText>
      </w:r>
      <w:r w:rsidRPr="004C2DB7">
        <w:rPr>
          <w:i/>
        </w:rPr>
        <w:fldChar w:fldCharType="end"/>
      </w:r>
    </w:p>
    <w:p w14:paraId="6AEA6D54" w14:textId="77777777" w:rsidR="009154EB" w:rsidRPr="004C2DB7" w:rsidRDefault="009154EB" w:rsidP="009154EB">
      <w:pPr>
        <w:rPr>
          <w:vanish/>
        </w:rPr>
      </w:pPr>
      <w:bookmarkStart w:id="3" w:name="Commission"/>
      <w:r w:rsidRPr="004C2DB7">
        <w:rPr>
          <w:vanish/>
        </w:rPr>
        <w:t>Επιτροπή Διεθνούς Εμπορίου</w:t>
      </w:r>
      <w:bookmarkEnd w:id="3"/>
    </w:p>
    <w:p w14:paraId="3E7112DF" w14:textId="77777777" w:rsidR="009154EB" w:rsidRPr="004C2DB7" w:rsidRDefault="009154EB" w:rsidP="009154EB">
      <w:pPr>
        <w:rPr>
          <w:vanish/>
        </w:rPr>
      </w:pPr>
      <w:bookmarkStart w:id="4" w:name="PE"/>
      <w:r w:rsidRPr="004C2DB7">
        <w:rPr>
          <w:vanish/>
        </w:rPr>
        <w:t>PE779.727</w:t>
      </w:r>
      <w:bookmarkEnd w:id="4"/>
    </w:p>
    <w:p w14:paraId="12EDC975" w14:textId="65E22611" w:rsidR="009154EB" w:rsidRPr="004C2DB7" w:rsidRDefault="009154EB" w:rsidP="009154EB">
      <w:pPr>
        <w:pStyle w:val="ATHeading3"/>
      </w:pPr>
      <w:bookmarkStart w:id="5" w:name="Sujet"/>
      <w:r w:rsidRPr="004C2DB7">
        <w:t xml:space="preserve">Νομοθετικό ψήφισμα του Ευρωπαϊκού Κοινοβουλίου της </w:t>
      </w:r>
      <w:r w:rsidR="00D62F04" w:rsidRPr="004C2DB7">
        <w:t>19</w:t>
      </w:r>
      <w:r w:rsidR="00D85C82" w:rsidRPr="004C2DB7">
        <w:t>ης Μαΐου</w:t>
      </w:r>
      <w:r w:rsidRPr="004C2DB7">
        <w:t xml:space="preserve"> 2026 σχετικά με την πρόταση κανονισμού του Ευρωπαϊκού Κοινοβουλίου και του Συμβουλίου για την αντιμετώπιση των αρνητικών εμπορικών επιπτώσεων της παγκόσμιας πλεονάζουσας παραγωγικής ικανότητας στην ενωσιακή αγορά χάλυβα</w:t>
      </w:r>
      <w:bookmarkEnd w:id="5"/>
      <w:r w:rsidRPr="004C2DB7">
        <w:t xml:space="preserve"> </w:t>
      </w:r>
      <w:bookmarkStart w:id="6" w:name="References"/>
      <w:r w:rsidRPr="004C2DB7">
        <w:t>(COM(2025)0726 – C10-0245/2025 – 2025/0726(COD))</w:t>
      </w:r>
      <w:bookmarkEnd w:id="6"/>
    </w:p>
    <w:p w14:paraId="260D0ECA" w14:textId="77777777" w:rsidR="00E110B8" w:rsidRPr="004C2DB7" w:rsidRDefault="00E110B8" w:rsidP="004223CC">
      <w:pPr>
        <w:pStyle w:val="NormalBold"/>
      </w:pPr>
    </w:p>
    <w:p w14:paraId="0AAFD73C" w14:textId="174DFDC4" w:rsidR="004223CC" w:rsidRPr="004C2DB7" w:rsidRDefault="004223CC" w:rsidP="004223CC">
      <w:pPr>
        <w:pStyle w:val="NormalBold"/>
      </w:pPr>
      <w:r w:rsidRPr="004C2DB7">
        <w:t>(Συνήθης νομοθετική διαδικασία: πρώτη ανάγνωση)</w:t>
      </w:r>
    </w:p>
    <w:p w14:paraId="16E0BFD6" w14:textId="77777777" w:rsidR="004223CC" w:rsidRPr="004C2DB7" w:rsidRDefault="004223CC" w:rsidP="004223CC">
      <w:pPr>
        <w:pStyle w:val="EPComma"/>
      </w:pPr>
      <w:r w:rsidRPr="004C2DB7">
        <w:rPr>
          <w:i/>
          <w:iCs/>
        </w:rPr>
        <w:t>Το Ευρωπαϊκό Κοινοβούλιο,</w:t>
      </w:r>
    </w:p>
    <w:p w14:paraId="472C4092" w14:textId="77777777" w:rsidR="004223CC" w:rsidRPr="004C2DB7" w:rsidRDefault="004223CC" w:rsidP="004223CC">
      <w:pPr>
        <w:pStyle w:val="NormalHanging12a"/>
      </w:pPr>
      <w:r w:rsidRPr="004C2DB7">
        <w:t>–</w:t>
      </w:r>
      <w:r w:rsidRPr="004C2DB7">
        <w:tab/>
        <w:t>έχοντας υπόψη την πρόταση της Επιτροπής προς το Κοινοβούλιο και το Συμβούλιο (COM(2025)0726),</w:t>
      </w:r>
    </w:p>
    <w:p w14:paraId="07B5F3FD" w14:textId="77777777" w:rsidR="004223CC" w:rsidRPr="004C2DB7" w:rsidRDefault="004223CC" w:rsidP="004223CC">
      <w:pPr>
        <w:pStyle w:val="NormalHanging12a"/>
      </w:pPr>
      <w:r w:rsidRPr="004C2DB7">
        <w:t>–</w:t>
      </w:r>
      <w:r w:rsidRPr="004C2DB7">
        <w:tab/>
        <w:t>έχοντας υπόψη το άρθρο 294 παράγραφος 2 και το άρθρο 207 παράγραφος 2 της Συνθήκης για τη λειτουργία της Ευρωπαϊκής Ένωσης, σύμφωνα με τα οποία του υποβλήθηκε η πρόταση από την Επιτροπή (C10‑0245/2025),</w:t>
      </w:r>
    </w:p>
    <w:p w14:paraId="6A5DE74E" w14:textId="77777777" w:rsidR="004223CC" w:rsidRPr="004C2DB7" w:rsidRDefault="004223CC" w:rsidP="004223CC">
      <w:pPr>
        <w:pStyle w:val="NormalHanging12a"/>
      </w:pPr>
      <w:r w:rsidRPr="004C2DB7">
        <w:t>–</w:t>
      </w:r>
      <w:r w:rsidRPr="004C2DB7">
        <w:tab/>
        <w:t>έχοντας υπόψη το άρθρο 294 παράγραφος 3 της Συνθήκης για τη λειτουργία της Ευρωπαϊκής Ένωσης,</w:t>
      </w:r>
    </w:p>
    <w:p w14:paraId="244FF312" w14:textId="01BED969" w:rsidR="00D62F04" w:rsidRPr="004C2DB7" w:rsidRDefault="00D62F04" w:rsidP="004223CC">
      <w:pPr>
        <w:pStyle w:val="NormalHanging12a"/>
      </w:pPr>
      <w:r w:rsidRPr="004C2DB7">
        <w:t>–</w:t>
      </w:r>
      <w:r w:rsidRPr="004C2DB7">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23ης Απριλίου 2026, να εγκρίνει τη θέση του Κοινοβουλίου, σύμφωνα με το άρθρο 294 παράγραφος 4 της Συνθήκης για τη λειτουργία της Ευρωπαϊκής Ένωσης,</w:t>
      </w:r>
    </w:p>
    <w:p w14:paraId="2F7F9698" w14:textId="77777777" w:rsidR="004223CC" w:rsidRPr="004C2DB7" w:rsidRDefault="004223CC" w:rsidP="004223CC">
      <w:pPr>
        <w:pStyle w:val="NormalHanging12a"/>
      </w:pPr>
      <w:r w:rsidRPr="004C2DB7">
        <w:t>–</w:t>
      </w:r>
      <w:r w:rsidRPr="004C2DB7">
        <w:tab/>
        <w:t>έχοντας υπόψη το άρθρο 60 του Κανονισμού του,</w:t>
      </w:r>
    </w:p>
    <w:p w14:paraId="4CC11757" w14:textId="77777777" w:rsidR="004223CC" w:rsidRPr="004C2DB7" w:rsidRDefault="004223CC" w:rsidP="004223CC">
      <w:pPr>
        <w:pStyle w:val="NormalHanging12a"/>
      </w:pPr>
      <w:r w:rsidRPr="004C2DB7">
        <w:t>–</w:t>
      </w:r>
      <w:r w:rsidRPr="004C2DB7">
        <w:tab/>
        <w:t>έχοντας υπόψη τη γνωμοδότηση της Επιτροπής Βιομηχανίας, Έρευνας και Ενέργειας,</w:t>
      </w:r>
    </w:p>
    <w:p w14:paraId="26A94172" w14:textId="77777777" w:rsidR="004223CC" w:rsidRPr="004C2DB7" w:rsidRDefault="004223CC" w:rsidP="004223CC">
      <w:pPr>
        <w:pStyle w:val="NormalHanging12a"/>
      </w:pPr>
      <w:r w:rsidRPr="004C2DB7">
        <w:t>–</w:t>
      </w:r>
      <w:r w:rsidRPr="004C2DB7">
        <w:tab/>
        <w:t>έχοντας υπόψη την έκθεση της Επιτροπής Διεθνούς Εμπορίου (A10-0012/2026),</w:t>
      </w:r>
    </w:p>
    <w:p w14:paraId="464067EA" w14:textId="7B52A9E9" w:rsidR="004223CC" w:rsidRPr="004C2DB7" w:rsidRDefault="004223CC" w:rsidP="004223CC">
      <w:pPr>
        <w:pStyle w:val="NormalHanging12a"/>
      </w:pPr>
      <w:r w:rsidRPr="004C2DB7">
        <w:t>1.</w:t>
      </w:r>
      <w:r w:rsidRPr="004C2DB7">
        <w:tab/>
        <w:t>εγκρίνει τη θέση του σε πρώτη ανάγνωση όπως παρατίθεται κατωτέρω·</w:t>
      </w:r>
    </w:p>
    <w:p w14:paraId="511E679E" w14:textId="416DD251" w:rsidR="00626521" w:rsidRPr="004C2DB7" w:rsidRDefault="00626521" w:rsidP="004223CC">
      <w:pPr>
        <w:pStyle w:val="NormalHanging12a"/>
      </w:pPr>
      <w:r w:rsidRPr="004C2DB7">
        <w:t>2.</w:t>
      </w:r>
      <w:r w:rsidRPr="004C2DB7">
        <w:tab/>
        <w:t xml:space="preserve">εγκρίνει την κοινή δήλωση του Κοινοβουλίου, του Συμβουλίου και της Επιτροπής που επισυνάπτεται στο παρόν ψήφισμα, η οποία θα δημοσιευτεί στη σειρά C της </w:t>
      </w:r>
      <w:r w:rsidRPr="004C2DB7">
        <w:rPr>
          <w:i/>
          <w:iCs/>
        </w:rPr>
        <w:t>Επίσημης Εφημερίδας της Ευρωπαϊκής Ένωσης</w:t>
      </w:r>
      <w:r w:rsidRPr="004C2DB7">
        <w:t>·</w:t>
      </w:r>
    </w:p>
    <w:p w14:paraId="2FDF4A02" w14:textId="2D4D49A1" w:rsidR="004223CC" w:rsidRPr="004C2DB7" w:rsidRDefault="00626521" w:rsidP="004223CC">
      <w:pPr>
        <w:pStyle w:val="NormalHanging12a"/>
      </w:pPr>
      <w:r w:rsidRPr="004C2DB7">
        <w:lastRenderedPageBreak/>
        <w:t>3</w:t>
      </w:r>
      <w:r w:rsidR="004223CC" w:rsidRPr="004C2DB7">
        <w:t>.</w:t>
      </w:r>
      <w:r w:rsidR="004223CC" w:rsidRPr="004C2DB7">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24270BF0" w14:textId="090E743E" w:rsidR="004223CC" w:rsidRPr="004C2DB7" w:rsidRDefault="00626521" w:rsidP="004223CC">
      <w:pPr>
        <w:pStyle w:val="NormalHanging12a"/>
      </w:pPr>
      <w:r w:rsidRPr="004C2DB7">
        <w:t>4</w:t>
      </w:r>
      <w:r w:rsidR="004223CC" w:rsidRPr="004C2DB7">
        <w:t>.</w:t>
      </w:r>
      <w:r w:rsidR="004223CC" w:rsidRPr="004C2DB7">
        <w:tab/>
        <w:t>αναθέτει στην Πρόεδρό του να διαβιβάσει τη θέση του Κοινοβουλίου στο Συμβούλιο, στην Επιτροπή και στα εθνικά κοινοβούλια.</w:t>
      </w:r>
    </w:p>
    <w:p w14:paraId="0901CE88" w14:textId="77777777" w:rsidR="004223CC" w:rsidRPr="004C2DB7" w:rsidRDefault="004223CC" w:rsidP="004223CC">
      <w:pPr>
        <w:pStyle w:val="NormalHanging12a"/>
      </w:pPr>
    </w:p>
    <w:p w14:paraId="76685012" w14:textId="77777777" w:rsidR="007B3242" w:rsidRPr="004C2DB7" w:rsidRDefault="007B3242" w:rsidP="004223CC">
      <w:pPr>
        <w:pStyle w:val="NormalHanging12a"/>
        <w:sectPr w:rsidR="007B3242" w:rsidRPr="004C2DB7" w:rsidSect="005E27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83875C" w14:textId="69AA268B" w:rsidR="007B3242" w:rsidRPr="004C2DB7" w:rsidRDefault="007B3242" w:rsidP="007B324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4C2DB7">
        <w:rPr>
          <w:b/>
          <w:lang w:val="en-GB"/>
        </w:rPr>
        <w:lastRenderedPageBreak/>
        <w:t>P</w:t>
      </w:r>
      <w:r w:rsidRPr="004C2DB7">
        <w:rPr>
          <w:b/>
        </w:rPr>
        <w:t>10_</w:t>
      </w:r>
      <w:r w:rsidRPr="004C2DB7">
        <w:rPr>
          <w:b/>
          <w:lang w:val="en-GB"/>
        </w:rPr>
        <w:t>TC</w:t>
      </w:r>
      <w:r w:rsidRPr="004C2DB7">
        <w:rPr>
          <w:b/>
        </w:rPr>
        <w:t>1-</w:t>
      </w:r>
      <w:proofErr w:type="gramStart"/>
      <w:r w:rsidRPr="004C2DB7">
        <w:rPr>
          <w:b/>
          <w:lang w:val="en-GB"/>
        </w:rPr>
        <w:t>COD</w:t>
      </w:r>
      <w:r w:rsidRPr="004C2DB7">
        <w:rPr>
          <w:b/>
        </w:rPr>
        <w:t>(</w:t>
      </w:r>
      <w:proofErr w:type="gramEnd"/>
      <w:r w:rsidRPr="004C2DB7">
        <w:rPr>
          <w:b/>
        </w:rPr>
        <w:t>2025)0726</w:t>
      </w:r>
    </w:p>
    <w:p w14:paraId="0C9CEB1A" w14:textId="092E5203" w:rsidR="007B3242" w:rsidRPr="00225FE6" w:rsidRDefault="007B3242" w:rsidP="007B324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bCs/>
          <w:szCs w:val="24"/>
          <w:lang w:eastAsia="en-US"/>
        </w:rPr>
      </w:pPr>
      <w:r w:rsidRPr="004C2DB7">
        <w:rPr>
          <w:b/>
        </w:rPr>
        <w:t xml:space="preserve">Θέση του Ευρωπαϊκού Κοινοβουλίου που καθορίστηκε σε πρώτη ανάγνωση στις 19 Μαΐου 2026 εν όψει της έγκρισης κανονισμού (ΕΕ) 2026/... του Ευρωπαϊκού Κοινοβουλίου και του Συμβουλίου </w:t>
      </w:r>
      <w:r w:rsidRPr="004C2DB7">
        <w:rPr>
          <w:b/>
          <w:szCs w:val="24"/>
          <w:lang w:eastAsia="en-US"/>
        </w:rPr>
        <w:t xml:space="preserve">για την αντιμετώπιση των αρνητικών εμπορικών </w:t>
      </w:r>
      <w:r w:rsidRPr="00225FE6">
        <w:rPr>
          <w:b/>
          <w:szCs w:val="24"/>
          <w:lang w:eastAsia="en-US"/>
        </w:rPr>
        <w:t>επιπτώσεων της παγκόσμιας πλεονάζουσας παραγωγικής ικανότητας στην ενωσιακή αγορά χάλυβα και την τροποποίηση του κανονισμού (ΕΕ) 2020/2170</w:t>
      </w:r>
    </w:p>
    <w:p w14:paraId="2BEE0041" w14:textId="48984CFD" w:rsidR="00225FE6" w:rsidRDefault="00225FE6" w:rsidP="00225FE6">
      <w:pPr>
        <w:rPr>
          <w:i/>
        </w:rPr>
      </w:pPr>
      <w:bookmarkStart w:id="7" w:name="_Hlk211942760"/>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2026/</w:t>
      </w:r>
      <w:r>
        <w:rPr>
          <w:i/>
        </w:rPr>
        <w:t>1384</w:t>
      </w:r>
      <w:r>
        <w:rPr>
          <w:i/>
        </w:rPr>
        <w:t>.</w:t>
      </w:r>
      <w:r w:rsidRPr="007B7B26">
        <w:rPr>
          <w:i/>
        </w:rPr>
        <w:t>)</w:t>
      </w:r>
    </w:p>
    <w:bookmarkEnd w:id="7"/>
    <w:p w14:paraId="648C8E3C" w14:textId="77777777" w:rsidR="00225FE6" w:rsidRDefault="00225FE6" w:rsidP="00225FE6">
      <w:pPr>
        <w:rPr>
          <w:i/>
        </w:rPr>
      </w:pPr>
    </w:p>
    <w:p w14:paraId="4BBD8F17" w14:textId="77777777" w:rsidR="007B3242" w:rsidRPr="004C2DB7" w:rsidRDefault="007B3242" w:rsidP="007B3242">
      <w:r w:rsidRPr="004C2DB7">
        <w:rPr>
          <w:rFonts w:ascii="Arial" w:hAnsi="Arial"/>
          <w:vanish/>
          <w:color w:val="000080"/>
          <w:sz w:val="20"/>
        </w:rPr>
        <w:t>&lt;/Amend&gt;</w:t>
      </w:r>
    </w:p>
    <w:p w14:paraId="3DD78900" w14:textId="77777777" w:rsidR="00626521" w:rsidRPr="004C2DB7" w:rsidRDefault="00626521" w:rsidP="004223CC">
      <w:pPr>
        <w:pStyle w:val="NormalHanging12a"/>
        <w:sectPr w:rsidR="00626521" w:rsidRPr="004C2DB7" w:rsidSect="005E275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069F2B" w14:textId="7503C08A" w:rsidR="007B3242" w:rsidRPr="004C2DB7" w:rsidRDefault="00626521" w:rsidP="00626521">
      <w:pPr>
        <w:pStyle w:val="NormalHanging12a"/>
        <w:jc w:val="right"/>
      </w:pPr>
      <w:r w:rsidRPr="004C2DB7">
        <w:lastRenderedPageBreak/>
        <w:t>ΠΑΡΑΡΤΗΜΑ ΣΤΟ ΝΟΜΟΘΕΤΙΚΟ ΨΗΦΙΣΜΑ</w:t>
      </w:r>
    </w:p>
    <w:p w14:paraId="2F88ED17" w14:textId="6942D79D" w:rsidR="00626521" w:rsidRPr="004C2DB7" w:rsidRDefault="00626521" w:rsidP="00626521">
      <w:pPr>
        <w:spacing w:after="240"/>
        <w:rPr>
          <w:b/>
          <w:bCs/>
        </w:rPr>
      </w:pPr>
      <w:r w:rsidRPr="004C2DB7">
        <w:rPr>
          <w:b/>
        </w:rPr>
        <w:t xml:space="preserve">Κοινή δήλωση του Ευρωπαϊκού Κοινοβουλίου, του Συμβουλίου και της Επιτροπής σχετικά με τις εισαγωγές προϊόντων χάλυβα από τη Ρωσία </w:t>
      </w:r>
    </w:p>
    <w:p w14:paraId="32FC5BD4" w14:textId="77777777" w:rsidR="00626521" w:rsidRPr="004C2DB7" w:rsidRDefault="00626521" w:rsidP="00626521">
      <w:pPr>
        <w:spacing w:after="240"/>
      </w:pPr>
      <w:r w:rsidRPr="004C2DB7">
        <w:t>Από την έναρξη του πολέμου, η Ένωση και τα κράτη μέλη της έχουν λάβει πρωτοφανή μέτρα για να μειώσουν τις οικονομικές εξαρτήσεις από τη Ρωσία και να εργαστούν για να διασφαλίσουν ότι η οικονομική δραστηριότητα της Ένωσης δεν συμβάλλει στη στήριξη της πολεμικής δράσης της Ρωσίας.</w:t>
      </w:r>
    </w:p>
    <w:p w14:paraId="165BB101" w14:textId="77777777" w:rsidR="00626521" w:rsidRPr="004C2DB7" w:rsidRDefault="00626521" w:rsidP="00626521">
      <w:pPr>
        <w:spacing w:after="240"/>
      </w:pPr>
      <w:r w:rsidRPr="004C2DB7">
        <w:t>Τα μέτρα αυτά έχουν μειώσει σημαντικά τις εμπορικές ροές σε ευρύ φάσμα τομέων, συμπεριλαμβανομένου του χάλυβα, έχουν επιταχύνει την αποσύνδεση και έχουν συμβάλει στην ανθεκτικότητα της Ένωσης, καταδεικνύοντας παράλληλα την ικανότητα της Ένωσης να ενεργεί με ενιαίο και αποφασιστικό τρόπο όταν διακυβεύονται οι αξίες και τα στρατηγικά συμφέροντά της.</w:t>
      </w:r>
    </w:p>
    <w:p w14:paraId="56A236CC" w14:textId="77777777" w:rsidR="00626521" w:rsidRPr="004C2DB7" w:rsidRDefault="00626521" w:rsidP="00626521">
      <w:pPr>
        <w:spacing w:after="240"/>
      </w:pPr>
      <w:r w:rsidRPr="004C2DB7">
        <w:t>Ταυτόχρονα, η Ένωση πρέπει να συνεχίσει να παρακολουθεί προσεκτικά τους τομείς στους οποίους εξακολουθούν να υπάρχουν εξαρτήσεις, ιδίως όσον αφορά ορισμένα προϊόντα χάλυβα των οποίων η εισαγωγή δεν έχει ακόμη απαγορευθεί πλήρως.</w:t>
      </w:r>
    </w:p>
    <w:p w14:paraId="281D1C3C" w14:textId="77777777" w:rsidR="00626521" w:rsidRPr="004C2DB7" w:rsidRDefault="00626521" w:rsidP="00626521">
      <w:pPr>
        <w:spacing w:after="240"/>
      </w:pPr>
      <w:r w:rsidRPr="004C2DB7">
        <w:t>Ειδικότερα, κάποιες περιορισμένες εισαγωγές ρωσικής προέλευσης συνεχίζονται στον τομέα του χάλυβα έως τις 30 Σεπτεμβρίου 2028, σύμφωνα με τις μεταβατικές ρυθμίσεις που προβλέπονται στα σχετικά περιοριστικά μέτρα που θέσπισε το Συμβούλιο</w:t>
      </w:r>
      <w:r w:rsidRPr="004C2DB7">
        <w:rPr>
          <w:rStyle w:val="FootnoteReference"/>
        </w:rPr>
        <w:footnoteReference w:id="1"/>
      </w:r>
      <w:r w:rsidRPr="004C2DB7">
        <w:t>. Για να εξασφαλιστεί η σταδιακή και σταθερή διαφοροποίηση, οι εισαγωγές αυτές υπόκεινται σε ποσοστώσεις, ενώ οι ποσότητες μειώνονται ετησίως.</w:t>
      </w:r>
    </w:p>
    <w:p w14:paraId="7FD0E164" w14:textId="4456A0BD" w:rsidR="00626521" w:rsidRPr="004C2DB7" w:rsidRDefault="00626521" w:rsidP="00626521">
      <w:r w:rsidRPr="004C2DB7">
        <w:t>Υπενθυμίζοντας το θεσμικό πλαίσιο που εφαρμόζεται στα περιοριστικά μέτρα, το Ευρωπαϊκό Κοινοβούλιο, το Συμβούλιο και η Επιτροπή τονίζουν ότι τα σχετικά περιοριστικά μέτρα που ενέκρινε το Συμβούλιο εντάσσονται σε μια σταδιακή πορεία προς την πλήρη κατάργηση των υπόλοιπων εισαγωγών ρωσικών προϊόντων χάλυβα, ιδίως πλακών χάλυβα, έως τις 30 Σεπτεμβρίου 2028.</w:t>
      </w:r>
    </w:p>
    <w:p w14:paraId="0B63B0FE" w14:textId="77777777" w:rsidR="00626521" w:rsidRPr="004C2DB7" w:rsidRDefault="00626521" w:rsidP="00626521">
      <w:pPr>
        <w:rPr>
          <w:noProof/>
        </w:rPr>
      </w:pPr>
      <w:r w:rsidRPr="004C2DB7">
        <w:rPr>
          <w:rStyle w:val="HideTWBExt"/>
        </w:rPr>
        <w:t>&lt;/Amend&gt;</w:t>
      </w:r>
    </w:p>
    <w:p w14:paraId="5D73544A" w14:textId="77777777" w:rsidR="00626521" w:rsidRPr="004C2DB7" w:rsidRDefault="00626521" w:rsidP="004223CC">
      <w:pPr>
        <w:pStyle w:val="NormalHanging12a"/>
      </w:pPr>
    </w:p>
    <w:sectPr w:rsidR="00626521" w:rsidRPr="004C2DB7" w:rsidSect="005E27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F957" w14:textId="77777777" w:rsidR="009154EB" w:rsidRPr="005E275B" w:rsidRDefault="009154EB">
      <w:r w:rsidRPr="005E275B">
        <w:separator/>
      </w:r>
    </w:p>
  </w:endnote>
  <w:endnote w:type="continuationSeparator" w:id="0">
    <w:p w14:paraId="0D28A630" w14:textId="77777777" w:rsidR="009154EB" w:rsidRPr="005E275B" w:rsidRDefault="009154EB">
      <w:r w:rsidRPr="005E27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D2EC" w14:textId="77777777" w:rsidR="00064002" w:rsidRPr="005E27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A598" w14:textId="77777777" w:rsidR="00064002" w:rsidRPr="005E27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5297D" w14:textId="77777777" w:rsidR="00064002" w:rsidRPr="005E27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68939" w14:textId="77777777" w:rsidR="009154EB" w:rsidRPr="005E275B" w:rsidRDefault="009154EB">
      <w:r w:rsidRPr="005E275B">
        <w:separator/>
      </w:r>
    </w:p>
  </w:footnote>
  <w:footnote w:type="continuationSeparator" w:id="0">
    <w:p w14:paraId="0F95A722" w14:textId="77777777" w:rsidR="009154EB" w:rsidRPr="005E275B" w:rsidRDefault="009154EB">
      <w:r w:rsidRPr="005E275B">
        <w:continuationSeparator/>
      </w:r>
    </w:p>
  </w:footnote>
  <w:footnote w:id="1">
    <w:p w14:paraId="0A89B6E6" w14:textId="5E319500" w:rsidR="00626521" w:rsidRPr="00626521" w:rsidRDefault="00626521" w:rsidP="00626521">
      <w:pPr>
        <w:pStyle w:val="FootnoteText"/>
        <w:ind w:left="720" w:hanging="720"/>
        <w:rPr>
          <w:sz w:val="24"/>
          <w:szCs w:val="24"/>
          <w:lang w:val="el-GR"/>
        </w:rPr>
      </w:pPr>
      <w:r w:rsidRPr="00A024E8">
        <w:rPr>
          <w:rStyle w:val="FootnoteReference"/>
          <w:sz w:val="24"/>
          <w:szCs w:val="24"/>
        </w:rPr>
        <w:footnoteRef/>
      </w:r>
      <w:r w:rsidRPr="00626521">
        <w:rPr>
          <w:sz w:val="24"/>
          <w:szCs w:val="24"/>
          <w:lang w:val="el-GR"/>
        </w:rPr>
        <w:t xml:space="preserve"> </w:t>
      </w:r>
      <w:r w:rsidRPr="00626521">
        <w:rPr>
          <w:sz w:val="24"/>
          <w:szCs w:val="24"/>
          <w:lang w:val="el-GR"/>
        </w:rPr>
        <w:tab/>
        <w:t xml:space="preserve">Απόφαση 2014/512/ΚΕΠΠΑ του Συμβουλίου, της 31ης Ιουλίου 2014, σχετικά με περιοριστικά μέτρα λόγω ενεργειών της Ρωσίας που αποσταθεροποιούν την κατάσταση στην Ουκρανία </w:t>
      </w:r>
      <w:r w:rsidR="00225FE6" w:rsidRPr="00225FE6">
        <w:rPr>
          <w:sz w:val="24"/>
          <w:szCs w:val="24"/>
          <w:lang w:val="el-GR"/>
        </w:rPr>
        <w:t>(</w:t>
      </w:r>
      <w:r w:rsidR="00225FE6">
        <w:rPr>
          <w:sz w:val="24"/>
          <w:szCs w:val="24"/>
          <w:lang w:val="el-GR"/>
        </w:rPr>
        <w:t>ΕΕ</w:t>
      </w:r>
      <w:r w:rsidR="00225FE6" w:rsidRPr="00225FE6">
        <w:rPr>
          <w:sz w:val="24"/>
          <w:szCs w:val="24"/>
          <w:lang w:val="el-GR"/>
        </w:rPr>
        <w:t xml:space="preserve"> L 229</w:t>
      </w:r>
      <w:r w:rsidR="00225FE6">
        <w:rPr>
          <w:sz w:val="24"/>
          <w:szCs w:val="24"/>
          <w:lang w:val="el-GR"/>
        </w:rPr>
        <w:t xml:space="preserve"> της</w:t>
      </w:r>
      <w:r w:rsidR="00225FE6" w:rsidRPr="00225FE6">
        <w:rPr>
          <w:sz w:val="24"/>
          <w:szCs w:val="24"/>
          <w:lang w:val="el-GR"/>
        </w:rPr>
        <w:t xml:space="preserve"> 31.7.2014, </w:t>
      </w:r>
      <w:r w:rsidR="00225FE6">
        <w:rPr>
          <w:sz w:val="24"/>
          <w:szCs w:val="24"/>
          <w:lang w:val="el-GR"/>
        </w:rPr>
        <w:t>σ</w:t>
      </w:r>
      <w:r w:rsidR="00225FE6" w:rsidRPr="00225FE6">
        <w:rPr>
          <w:sz w:val="24"/>
          <w:szCs w:val="24"/>
          <w:lang w:val="el-GR"/>
        </w:rPr>
        <w:t xml:space="preserve">. 13, ELI: </w:t>
      </w:r>
      <w:hyperlink r:id="rId1" w:history="1">
        <w:r w:rsidR="00225FE6" w:rsidRPr="000E168F">
          <w:rPr>
            <w:rStyle w:val="Hyperlink"/>
            <w:sz w:val="24"/>
            <w:szCs w:val="24"/>
            <w:lang w:val="el-GR"/>
          </w:rPr>
          <w:t>http://data.europa.eu/eli/dec/2014/512/oj</w:t>
        </w:r>
      </w:hyperlink>
      <w:r w:rsidR="00225FE6" w:rsidRPr="00225FE6">
        <w:rPr>
          <w:sz w:val="24"/>
          <w:szCs w:val="24"/>
          <w:lang w:val="el-GR"/>
        </w:rPr>
        <w:t>)</w:t>
      </w:r>
      <w:r w:rsidR="00225FE6">
        <w:rPr>
          <w:sz w:val="24"/>
          <w:szCs w:val="24"/>
          <w:lang w:val="el-GR"/>
        </w:rPr>
        <w:t xml:space="preserve"> </w:t>
      </w:r>
      <w:r w:rsidRPr="00626521">
        <w:rPr>
          <w:sz w:val="24"/>
          <w:szCs w:val="24"/>
          <w:lang w:val="el-GR"/>
        </w:rPr>
        <w:t>και κανονισμός (ΕΕ) αριθ. 833/2014 του Συμβουλίου, της 31ης Ιουλίου 2014, σχετικά με περιοριστικά μέτρα λόγω ενεργειών της Ρωσίας που αποσταθεροποιούν την κατάσταση στην Ουκρανία</w:t>
      </w:r>
      <w:r w:rsidR="00225FE6">
        <w:rPr>
          <w:sz w:val="24"/>
          <w:szCs w:val="24"/>
          <w:lang w:val="el-GR"/>
        </w:rPr>
        <w:t xml:space="preserve"> </w:t>
      </w:r>
      <w:r w:rsidR="00225FE6" w:rsidRPr="00225FE6">
        <w:rPr>
          <w:sz w:val="24"/>
          <w:szCs w:val="24"/>
          <w:lang w:val="el-GR"/>
        </w:rPr>
        <w:t>(</w:t>
      </w:r>
      <w:r w:rsidR="00225FE6">
        <w:rPr>
          <w:sz w:val="24"/>
          <w:szCs w:val="24"/>
          <w:lang w:val="el-GR"/>
        </w:rPr>
        <w:t>ΕΕ</w:t>
      </w:r>
      <w:r w:rsidR="00225FE6" w:rsidRPr="00225FE6">
        <w:rPr>
          <w:sz w:val="24"/>
          <w:szCs w:val="24"/>
          <w:lang w:val="el-GR"/>
        </w:rPr>
        <w:t xml:space="preserve"> L 229</w:t>
      </w:r>
      <w:r w:rsidR="00225FE6">
        <w:rPr>
          <w:sz w:val="24"/>
          <w:szCs w:val="24"/>
          <w:lang w:val="el-GR"/>
        </w:rPr>
        <w:t xml:space="preserve"> της</w:t>
      </w:r>
      <w:r w:rsidR="00225FE6" w:rsidRPr="00225FE6">
        <w:rPr>
          <w:sz w:val="24"/>
          <w:szCs w:val="24"/>
          <w:lang w:val="el-GR"/>
        </w:rPr>
        <w:t xml:space="preserve"> 31.7.2014, </w:t>
      </w:r>
      <w:r w:rsidR="00225FE6">
        <w:rPr>
          <w:sz w:val="24"/>
          <w:szCs w:val="24"/>
          <w:lang w:val="el-GR"/>
        </w:rPr>
        <w:t>σ</w:t>
      </w:r>
      <w:r w:rsidR="00225FE6" w:rsidRPr="00225FE6">
        <w:rPr>
          <w:sz w:val="24"/>
          <w:szCs w:val="24"/>
          <w:lang w:val="el-GR"/>
        </w:rPr>
        <w:t xml:space="preserve">. 1, ELI: </w:t>
      </w:r>
      <w:hyperlink r:id="rId2" w:history="1">
        <w:r w:rsidR="00225FE6" w:rsidRPr="00225FE6">
          <w:rPr>
            <w:rStyle w:val="Hyperlink"/>
            <w:sz w:val="24"/>
            <w:szCs w:val="24"/>
            <w:lang w:val="el-GR"/>
          </w:rPr>
          <w:t>http://data.europa.eu/eli/reg/2014/833/oj</w:t>
        </w:r>
      </w:hyperlink>
      <w:r w:rsidR="00225FE6">
        <w:rPr>
          <w:sz w:val="24"/>
          <w:szCs w:val="24"/>
          <w:lang w:val="el-GR"/>
        </w:rPr>
        <w:t>)</w:t>
      </w:r>
      <w:r w:rsidRPr="00626521">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DF0C" w14:textId="77777777" w:rsidR="00064002" w:rsidRPr="005E27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8D61" w14:textId="77777777" w:rsidR="00064002" w:rsidRPr="005E27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1F50" w14:textId="77777777" w:rsidR="00064002" w:rsidRPr="005E27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3C77951"/>
    <w:multiLevelType w:val="hybridMultilevel"/>
    <w:tmpl w:val="CF046FD2"/>
    <w:lvl w:ilvl="0" w:tplc="42D8CFEC">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31D62868">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7F4AE298">
      <w:numFmt w:val="bullet"/>
      <w:lvlText w:val="•"/>
      <w:lvlJc w:val="left"/>
      <w:pPr>
        <w:ind w:left="2402" w:hanging="567"/>
      </w:pPr>
      <w:rPr>
        <w:lang w:val="en-US" w:eastAsia="en-US" w:bidi="ar-SA"/>
      </w:rPr>
    </w:lvl>
    <w:lvl w:ilvl="3" w:tplc="9FD88C88">
      <w:numFmt w:val="bullet"/>
      <w:lvlText w:val="•"/>
      <w:lvlJc w:val="left"/>
      <w:pPr>
        <w:ind w:left="3265" w:hanging="567"/>
      </w:pPr>
      <w:rPr>
        <w:lang w:val="en-US" w:eastAsia="en-US" w:bidi="ar-SA"/>
      </w:rPr>
    </w:lvl>
    <w:lvl w:ilvl="4" w:tplc="AF42E656">
      <w:numFmt w:val="bullet"/>
      <w:lvlText w:val="•"/>
      <w:lvlJc w:val="left"/>
      <w:pPr>
        <w:ind w:left="4128" w:hanging="567"/>
      </w:pPr>
      <w:rPr>
        <w:lang w:val="en-US" w:eastAsia="en-US" w:bidi="ar-SA"/>
      </w:rPr>
    </w:lvl>
    <w:lvl w:ilvl="5" w:tplc="1D4C66F6">
      <w:numFmt w:val="bullet"/>
      <w:lvlText w:val="•"/>
      <w:lvlJc w:val="left"/>
      <w:pPr>
        <w:ind w:left="4991" w:hanging="567"/>
      </w:pPr>
      <w:rPr>
        <w:lang w:val="en-US" w:eastAsia="en-US" w:bidi="ar-SA"/>
      </w:rPr>
    </w:lvl>
    <w:lvl w:ilvl="6" w:tplc="8AF6A44A">
      <w:numFmt w:val="bullet"/>
      <w:lvlText w:val="•"/>
      <w:lvlJc w:val="left"/>
      <w:pPr>
        <w:ind w:left="5854" w:hanging="567"/>
      </w:pPr>
      <w:rPr>
        <w:lang w:val="en-US" w:eastAsia="en-US" w:bidi="ar-SA"/>
      </w:rPr>
    </w:lvl>
    <w:lvl w:ilvl="7" w:tplc="37AE77A2">
      <w:numFmt w:val="bullet"/>
      <w:lvlText w:val="•"/>
      <w:lvlJc w:val="left"/>
      <w:pPr>
        <w:ind w:left="6717" w:hanging="567"/>
      </w:pPr>
      <w:rPr>
        <w:lang w:val="en-US" w:eastAsia="en-US" w:bidi="ar-SA"/>
      </w:rPr>
    </w:lvl>
    <w:lvl w:ilvl="8" w:tplc="01DA825C">
      <w:numFmt w:val="bullet"/>
      <w:lvlText w:val="•"/>
      <w:lvlJc w:val="left"/>
      <w:pPr>
        <w:ind w:left="7580" w:hanging="567"/>
      </w:pPr>
      <w:rPr>
        <w:lang w:val="en-US" w:eastAsia="en-US" w:bidi="ar-SA"/>
      </w:rPr>
    </w:lvl>
  </w:abstractNum>
  <w:abstractNum w:abstractNumId="13" w15:restartNumberingAfterBreak="0">
    <w:nsid w:val="4D3C337A"/>
    <w:multiLevelType w:val="hybridMultilevel"/>
    <w:tmpl w:val="F398A9F8"/>
    <w:lvl w:ilvl="0" w:tplc="78EECBE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2BCCB39C">
      <w:numFmt w:val="bullet"/>
      <w:lvlText w:val="•"/>
      <w:lvlJc w:val="left"/>
      <w:pPr>
        <w:ind w:left="1794" w:hanging="850"/>
      </w:pPr>
      <w:rPr>
        <w:lang w:val="en-US" w:eastAsia="en-US" w:bidi="ar-SA"/>
      </w:rPr>
    </w:lvl>
    <w:lvl w:ilvl="2" w:tplc="1FA2FDF6">
      <w:numFmt w:val="bullet"/>
      <w:lvlText w:val="•"/>
      <w:lvlJc w:val="left"/>
      <w:pPr>
        <w:ind w:left="2629" w:hanging="850"/>
      </w:pPr>
      <w:rPr>
        <w:lang w:val="en-US" w:eastAsia="en-US" w:bidi="ar-SA"/>
      </w:rPr>
    </w:lvl>
    <w:lvl w:ilvl="3" w:tplc="6D86415A">
      <w:numFmt w:val="bullet"/>
      <w:lvlText w:val="•"/>
      <w:lvlJc w:val="left"/>
      <w:pPr>
        <w:ind w:left="3463" w:hanging="850"/>
      </w:pPr>
      <w:rPr>
        <w:lang w:val="en-US" w:eastAsia="en-US" w:bidi="ar-SA"/>
      </w:rPr>
    </w:lvl>
    <w:lvl w:ilvl="4" w:tplc="A67A3920">
      <w:numFmt w:val="bullet"/>
      <w:lvlText w:val="•"/>
      <w:lvlJc w:val="left"/>
      <w:pPr>
        <w:ind w:left="4298" w:hanging="850"/>
      </w:pPr>
      <w:rPr>
        <w:lang w:val="en-US" w:eastAsia="en-US" w:bidi="ar-SA"/>
      </w:rPr>
    </w:lvl>
    <w:lvl w:ilvl="5" w:tplc="F9CEF1E2">
      <w:numFmt w:val="bullet"/>
      <w:lvlText w:val="•"/>
      <w:lvlJc w:val="left"/>
      <w:pPr>
        <w:ind w:left="5133" w:hanging="850"/>
      </w:pPr>
      <w:rPr>
        <w:lang w:val="en-US" w:eastAsia="en-US" w:bidi="ar-SA"/>
      </w:rPr>
    </w:lvl>
    <w:lvl w:ilvl="6" w:tplc="01626F56">
      <w:numFmt w:val="bullet"/>
      <w:lvlText w:val="•"/>
      <w:lvlJc w:val="left"/>
      <w:pPr>
        <w:ind w:left="5967" w:hanging="850"/>
      </w:pPr>
      <w:rPr>
        <w:lang w:val="en-US" w:eastAsia="en-US" w:bidi="ar-SA"/>
      </w:rPr>
    </w:lvl>
    <w:lvl w:ilvl="7" w:tplc="AFE8D8B0">
      <w:numFmt w:val="bullet"/>
      <w:lvlText w:val="•"/>
      <w:lvlJc w:val="left"/>
      <w:pPr>
        <w:ind w:left="6802" w:hanging="850"/>
      </w:pPr>
      <w:rPr>
        <w:lang w:val="en-US" w:eastAsia="en-US" w:bidi="ar-SA"/>
      </w:rPr>
    </w:lvl>
    <w:lvl w:ilvl="8" w:tplc="8F00735A">
      <w:numFmt w:val="bullet"/>
      <w:lvlText w:val="•"/>
      <w:lvlJc w:val="left"/>
      <w:pPr>
        <w:ind w:left="7637" w:hanging="850"/>
      </w:pPr>
      <w:rPr>
        <w:lang w:val="en-US" w:eastAsia="en-US" w:bidi="ar-SA"/>
      </w:rPr>
    </w:lvl>
  </w:abstractNum>
  <w:abstractNum w:abstractNumId="14" w15:restartNumberingAfterBreak="0">
    <w:nsid w:val="60B67A4F"/>
    <w:multiLevelType w:val="hybridMultilevel"/>
    <w:tmpl w:val="F996A700"/>
    <w:lvl w:ilvl="0" w:tplc="FAEA91A2">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663EF46E">
      <w:numFmt w:val="bullet"/>
      <w:lvlText w:val="•"/>
      <w:lvlJc w:val="left"/>
      <w:pPr>
        <w:ind w:left="1668" w:hanging="708"/>
      </w:pPr>
      <w:rPr>
        <w:lang w:val="en-US" w:eastAsia="en-US" w:bidi="ar-SA"/>
      </w:rPr>
    </w:lvl>
    <w:lvl w:ilvl="2" w:tplc="BB1472A6">
      <w:numFmt w:val="bullet"/>
      <w:lvlText w:val="•"/>
      <w:lvlJc w:val="left"/>
      <w:pPr>
        <w:ind w:left="2517" w:hanging="708"/>
      </w:pPr>
      <w:rPr>
        <w:lang w:val="en-US" w:eastAsia="en-US" w:bidi="ar-SA"/>
      </w:rPr>
    </w:lvl>
    <w:lvl w:ilvl="3" w:tplc="CBCA9614">
      <w:numFmt w:val="bullet"/>
      <w:lvlText w:val="•"/>
      <w:lvlJc w:val="left"/>
      <w:pPr>
        <w:ind w:left="3365" w:hanging="708"/>
      </w:pPr>
      <w:rPr>
        <w:lang w:val="en-US" w:eastAsia="en-US" w:bidi="ar-SA"/>
      </w:rPr>
    </w:lvl>
    <w:lvl w:ilvl="4" w:tplc="F0A0B9A6">
      <w:numFmt w:val="bullet"/>
      <w:lvlText w:val="•"/>
      <w:lvlJc w:val="left"/>
      <w:pPr>
        <w:ind w:left="4214" w:hanging="708"/>
      </w:pPr>
      <w:rPr>
        <w:lang w:val="en-US" w:eastAsia="en-US" w:bidi="ar-SA"/>
      </w:rPr>
    </w:lvl>
    <w:lvl w:ilvl="5" w:tplc="A73AE31E">
      <w:numFmt w:val="bullet"/>
      <w:lvlText w:val="•"/>
      <w:lvlJc w:val="left"/>
      <w:pPr>
        <w:ind w:left="5063" w:hanging="708"/>
      </w:pPr>
      <w:rPr>
        <w:lang w:val="en-US" w:eastAsia="en-US" w:bidi="ar-SA"/>
      </w:rPr>
    </w:lvl>
    <w:lvl w:ilvl="6" w:tplc="727EEA8E">
      <w:numFmt w:val="bullet"/>
      <w:lvlText w:val="•"/>
      <w:lvlJc w:val="left"/>
      <w:pPr>
        <w:ind w:left="5911" w:hanging="708"/>
      </w:pPr>
      <w:rPr>
        <w:lang w:val="en-US" w:eastAsia="en-US" w:bidi="ar-SA"/>
      </w:rPr>
    </w:lvl>
    <w:lvl w:ilvl="7" w:tplc="D444BF1A">
      <w:numFmt w:val="bullet"/>
      <w:lvlText w:val="•"/>
      <w:lvlJc w:val="left"/>
      <w:pPr>
        <w:ind w:left="6760" w:hanging="708"/>
      </w:pPr>
      <w:rPr>
        <w:lang w:val="en-US" w:eastAsia="en-US" w:bidi="ar-SA"/>
      </w:rPr>
    </w:lvl>
    <w:lvl w:ilvl="8" w:tplc="0240BA08">
      <w:numFmt w:val="bullet"/>
      <w:lvlText w:val="•"/>
      <w:lvlJc w:val="left"/>
      <w:pPr>
        <w:ind w:left="7609" w:hanging="708"/>
      </w:pPr>
      <w:rPr>
        <w:lang w:val="en-US" w:eastAsia="en-US" w:bidi="ar-SA"/>
      </w:rPr>
    </w:lvl>
  </w:abstractNum>
  <w:abstractNum w:abstractNumId="15" w15:restartNumberingAfterBreak="0">
    <w:nsid w:val="66D377C0"/>
    <w:multiLevelType w:val="hybridMultilevel"/>
    <w:tmpl w:val="898671CA"/>
    <w:lvl w:ilvl="0" w:tplc="EF66E4C4">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D47E92AA">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F616531A">
      <w:numFmt w:val="bullet"/>
      <w:lvlText w:val="•"/>
      <w:lvlJc w:val="left"/>
      <w:pPr>
        <w:ind w:left="2402" w:hanging="567"/>
      </w:pPr>
      <w:rPr>
        <w:lang w:val="en-US" w:eastAsia="en-US" w:bidi="ar-SA"/>
      </w:rPr>
    </w:lvl>
    <w:lvl w:ilvl="3" w:tplc="8BA262E6">
      <w:numFmt w:val="bullet"/>
      <w:lvlText w:val="•"/>
      <w:lvlJc w:val="left"/>
      <w:pPr>
        <w:ind w:left="3265" w:hanging="567"/>
      </w:pPr>
      <w:rPr>
        <w:lang w:val="en-US" w:eastAsia="en-US" w:bidi="ar-SA"/>
      </w:rPr>
    </w:lvl>
    <w:lvl w:ilvl="4" w:tplc="89B2D2DE">
      <w:numFmt w:val="bullet"/>
      <w:lvlText w:val="•"/>
      <w:lvlJc w:val="left"/>
      <w:pPr>
        <w:ind w:left="4128" w:hanging="567"/>
      </w:pPr>
      <w:rPr>
        <w:lang w:val="en-US" w:eastAsia="en-US" w:bidi="ar-SA"/>
      </w:rPr>
    </w:lvl>
    <w:lvl w:ilvl="5" w:tplc="4F34F1E6">
      <w:numFmt w:val="bullet"/>
      <w:lvlText w:val="•"/>
      <w:lvlJc w:val="left"/>
      <w:pPr>
        <w:ind w:left="4991" w:hanging="567"/>
      </w:pPr>
      <w:rPr>
        <w:lang w:val="en-US" w:eastAsia="en-US" w:bidi="ar-SA"/>
      </w:rPr>
    </w:lvl>
    <w:lvl w:ilvl="6" w:tplc="CAF80B6C">
      <w:numFmt w:val="bullet"/>
      <w:lvlText w:val="•"/>
      <w:lvlJc w:val="left"/>
      <w:pPr>
        <w:ind w:left="5854" w:hanging="567"/>
      </w:pPr>
      <w:rPr>
        <w:lang w:val="en-US" w:eastAsia="en-US" w:bidi="ar-SA"/>
      </w:rPr>
    </w:lvl>
    <w:lvl w:ilvl="7" w:tplc="A7DE8C82">
      <w:numFmt w:val="bullet"/>
      <w:lvlText w:val="•"/>
      <w:lvlJc w:val="left"/>
      <w:pPr>
        <w:ind w:left="6717" w:hanging="567"/>
      </w:pPr>
      <w:rPr>
        <w:lang w:val="en-US" w:eastAsia="en-US" w:bidi="ar-SA"/>
      </w:rPr>
    </w:lvl>
    <w:lvl w:ilvl="8" w:tplc="FA764812">
      <w:numFmt w:val="bullet"/>
      <w:lvlText w:val="•"/>
      <w:lvlJc w:val="left"/>
      <w:pPr>
        <w:ind w:left="7580" w:hanging="567"/>
      </w:pPr>
      <w:rPr>
        <w:lang w:val="en-US" w:eastAsia="en-US" w:bidi="ar-SA"/>
      </w:rPr>
    </w:lvl>
  </w:abstractNum>
  <w:num w:numId="1" w16cid:durableId="853812589">
    <w:abstractNumId w:val="9"/>
  </w:num>
  <w:num w:numId="2" w16cid:durableId="115686022">
    <w:abstractNumId w:val="9"/>
  </w:num>
  <w:num w:numId="3" w16cid:durableId="1214653514">
    <w:abstractNumId w:val="7"/>
  </w:num>
  <w:num w:numId="4" w16cid:durableId="27611841">
    <w:abstractNumId w:val="7"/>
  </w:num>
  <w:num w:numId="5" w16cid:durableId="1311716553">
    <w:abstractNumId w:val="6"/>
  </w:num>
  <w:num w:numId="6" w16cid:durableId="1172139400">
    <w:abstractNumId w:val="6"/>
  </w:num>
  <w:num w:numId="7" w16cid:durableId="1031491360">
    <w:abstractNumId w:val="5"/>
  </w:num>
  <w:num w:numId="8" w16cid:durableId="1765611935">
    <w:abstractNumId w:val="5"/>
  </w:num>
  <w:num w:numId="9" w16cid:durableId="107938951">
    <w:abstractNumId w:val="4"/>
  </w:num>
  <w:num w:numId="10" w16cid:durableId="655376071">
    <w:abstractNumId w:val="4"/>
  </w:num>
  <w:num w:numId="11" w16cid:durableId="2116944363">
    <w:abstractNumId w:val="8"/>
  </w:num>
  <w:num w:numId="12" w16cid:durableId="1654529205">
    <w:abstractNumId w:val="8"/>
  </w:num>
  <w:num w:numId="13" w16cid:durableId="1795630880">
    <w:abstractNumId w:val="3"/>
  </w:num>
  <w:num w:numId="14" w16cid:durableId="705376343">
    <w:abstractNumId w:val="3"/>
  </w:num>
  <w:num w:numId="15" w16cid:durableId="1480224620">
    <w:abstractNumId w:val="2"/>
  </w:num>
  <w:num w:numId="16" w16cid:durableId="1377511124">
    <w:abstractNumId w:val="2"/>
  </w:num>
  <w:num w:numId="17" w16cid:durableId="102195356">
    <w:abstractNumId w:val="1"/>
  </w:num>
  <w:num w:numId="18" w16cid:durableId="674846766">
    <w:abstractNumId w:val="1"/>
  </w:num>
  <w:num w:numId="19" w16cid:durableId="282810142">
    <w:abstractNumId w:val="0"/>
  </w:num>
  <w:num w:numId="20" w16cid:durableId="2000228838">
    <w:abstractNumId w:val="0"/>
  </w:num>
  <w:num w:numId="21" w16cid:durableId="545141147">
    <w:abstractNumId w:val="9"/>
  </w:num>
  <w:num w:numId="22" w16cid:durableId="458837364">
    <w:abstractNumId w:val="7"/>
  </w:num>
  <w:num w:numId="23" w16cid:durableId="287051333">
    <w:abstractNumId w:val="6"/>
  </w:num>
  <w:num w:numId="24" w16cid:durableId="1071120648">
    <w:abstractNumId w:val="5"/>
  </w:num>
  <w:num w:numId="25" w16cid:durableId="1688292557">
    <w:abstractNumId w:val="4"/>
  </w:num>
  <w:num w:numId="26" w16cid:durableId="323163026">
    <w:abstractNumId w:val="8"/>
  </w:num>
  <w:num w:numId="27" w16cid:durableId="777408355">
    <w:abstractNumId w:val="3"/>
  </w:num>
  <w:num w:numId="28" w16cid:durableId="718012540">
    <w:abstractNumId w:val="2"/>
  </w:num>
  <w:num w:numId="29" w16cid:durableId="216205091">
    <w:abstractNumId w:val="1"/>
  </w:num>
  <w:num w:numId="30" w16cid:durableId="1452893825">
    <w:abstractNumId w:val="0"/>
  </w:num>
  <w:num w:numId="31" w16cid:durableId="955408570">
    <w:abstractNumId w:val="9"/>
  </w:num>
  <w:num w:numId="32" w16cid:durableId="1168712522">
    <w:abstractNumId w:val="7"/>
  </w:num>
  <w:num w:numId="33" w16cid:durableId="1150756007">
    <w:abstractNumId w:val="6"/>
  </w:num>
  <w:num w:numId="34" w16cid:durableId="1756631480">
    <w:abstractNumId w:val="5"/>
  </w:num>
  <w:num w:numId="35" w16cid:durableId="1671832717">
    <w:abstractNumId w:val="4"/>
  </w:num>
  <w:num w:numId="36" w16cid:durableId="206841660">
    <w:abstractNumId w:val="8"/>
  </w:num>
  <w:num w:numId="37" w16cid:durableId="1248424913">
    <w:abstractNumId w:val="3"/>
  </w:num>
  <w:num w:numId="38" w16cid:durableId="1905069053">
    <w:abstractNumId w:val="2"/>
  </w:num>
  <w:num w:numId="39" w16cid:durableId="1324897937">
    <w:abstractNumId w:val="1"/>
  </w:num>
  <w:num w:numId="40" w16cid:durableId="94718743">
    <w:abstractNumId w:val="0"/>
  </w:num>
  <w:num w:numId="41" w16cid:durableId="785808469">
    <w:abstractNumId w:val="10"/>
  </w:num>
  <w:num w:numId="42" w16cid:durableId="1706127998">
    <w:abstractNumId w:val="10"/>
  </w:num>
  <w:num w:numId="43" w16cid:durableId="1309355649">
    <w:abstractNumId w:val="10"/>
  </w:num>
  <w:num w:numId="44" w16cid:durableId="820849949">
    <w:abstractNumId w:val="11"/>
  </w:num>
  <w:num w:numId="45" w16cid:durableId="17762319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3"/>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EL"/>
    <w:docVar w:name="dvnumam" w:val="0"/>
    <w:docVar w:name="dvpe" w:val="779.727"/>
    <w:docVar w:name="dvrapporteur" w:val="Εισηγήτρια: "/>
    <w:docVar w:name="dvstar" w:val="***I"/>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ν αντιμετώπιση των αρνητικών εμπορικών επιπτώσεων της παγκόσμιας πλεονάζουσας παραγωγικής ικανότητας στην ενωσιακή αγορά χάλυβα(COM(2025)0726 – C10-0245/2025 – 2025/0726(COD))"/>
  </w:docVars>
  <w:rsids>
    <w:rsidRoot w:val="009154EB"/>
    <w:rsid w:val="00002272"/>
    <w:rsid w:val="00064002"/>
    <w:rsid w:val="000677B9"/>
    <w:rsid w:val="000831BA"/>
    <w:rsid w:val="000A42CC"/>
    <w:rsid w:val="000E7DD9"/>
    <w:rsid w:val="0010095E"/>
    <w:rsid w:val="00125B37"/>
    <w:rsid w:val="00187494"/>
    <w:rsid w:val="001F32AE"/>
    <w:rsid w:val="00210A6E"/>
    <w:rsid w:val="00225FE6"/>
    <w:rsid w:val="00253B5D"/>
    <w:rsid w:val="002767FF"/>
    <w:rsid w:val="002B18FE"/>
    <w:rsid w:val="002B5493"/>
    <w:rsid w:val="00343214"/>
    <w:rsid w:val="00361C00"/>
    <w:rsid w:val="003936F2"/>
    <w:rsid w:val="00395FA1"/>
    <w:rsid w:val="003C7667"/>
    <w:rsid w:val="003E15D4"/>
    <w:rsid w:val="00411CCE"/>
    <w:rsid w:val="0041666E"/>
    <w:rsid w:val="00421060"/>
    <w:rsid w:val="004223CC"/>
    <w:rsid w:val="00471C19"/>
    <w:rsid w:val="004867E3"/>
    <w:rsid w:val="0049219E"/>
    <w:rsid w:val="00494A28"/>
    <w:rsid w:val="004C0004"/>
    <w:rsid w:val="004C2DB7"/>
    <w:rsid w:val="004C5D52"/>
    <w:rsid w:val="0050519A"/>
    <w:rsid w:val="005072A1"/>
    <w:rsid w:val="00514517"/>
    <w:rsid w:val="00545827"/>
    <w:rsid w:val="00560270"/>
    <w:rsid w:val="00576AE0"/>
    <w:rsid w:val="005B3106"/>
    <w:rsid w:val="005C2568"/>
    <w:rsid w:val="005E275B"/>
    <w:rsid w:val="005F1B17"/>
    <w:rsid w:val="006037C0"/>
    <w:rsid w:val="006171E5"/>
    <w:rsid w:val="00626521"/>
    <w:rsid w:val="006631B6"/>
    <w:rsid w:val="00680577"/>
    <w:rsid w:val="006F74FA"/>
    <w:rsid w:val="00731ADD"/>
    <w:rsid w:val="00734777"/>
    <w:rsid w:val="00747932"/>
    <w:rsid w:val="00751A4A"/>
    <w:rsid w:val="00756632"/>
    <w:rsid w:val="00762C74"/>
    <w:rsid w:val="00772E01"/>
    <w:rsid w:val="00786EC0"/>
    <w:rsid w:val="00790507"/>
    <w:rsid w:val="007B3242"/>
    <w:rsid w:val="007B36E0"/>
    <w:rsid w:val="007D1690"/>
    <w:rsid w:val="007E22AD"/>
    <w:rsid w:val="007F4E49"/>
    <w:rsid w:val="00817416"/>
    <w:rsid w:val="00821C91"/>
    <w:rsid w:val="00842779"/>
    <w:rsid w:val="00865F67"/>
    <w:rsid w:val="00881A7B"/>
    <w:rsid w:val="008840E5"/>
    <w:rsid w:val="00887B3E"/>
    <w:rsid w:val="008C2AC6"/>
    <w:rsid w:val="009154EB"/>
    <w:rsid w:val="00930C23"/>
    <w:rsid w:val="0093193B"/>
    <w:rsid w:val="009509D8"/>
    <w:rsid w:val="00950B64"/>
    <w:rsid w:val="00961DB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DC8"/>
    <w:rsid w:val="00C05BFE"/>
    <w:rsid w:val="00C23CD4"/>
    <w:rsid w:val="00C61C0C"/>
    <w:rsid w:val="00C941CB"/>
    <w:rsid w:val="00CC0479"/>
    <w:rsid w:val="00CC2357"/>
    <w:rsid w:val="00CF071A"/>
    <w:rsid w:val="00D058B8"/>
    <w:rsid w:val="00D56C11"/>
    <w:rsid w:val="00D62F04"/>
    <w:rsid w:val="00D834A0"/>
    <w:rsid w:val="00D85C82"/>
    <w:rsid w:val="00D872DF"/>
    <w:rsid w:val="00D91E21"/>
    <w:rsid w:val="00DA7FCD"/>
    <w:rsid w:val="00DC13BC"/>
    <w:rsid w:val="00E110B8"/>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04665"/>
  <w15:chartTrackingRefBased/>
  <w15:docId w15:val="{F104B437-8A21-44B2-A876-8D04A06BB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Body Text" w:uiPriority="1"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223CC"/>
    <w:rPr>
      <w:b/>
      <w:kern w:val="28"/>
      <w:sz w:val="28"/>
      <w:lang w:val="fr-FR" w:eastAsia="fr-FR"/>
    </w:rPr>
  </w:style>
  <w:style w:type="character" w:customStyle="1" w:styleId="Heading2Char">
    <w:name w:val="Heading 2 Char"/>
    <w:basedOn w:val="DefaultParagraphFont"/>
    <w:link w:val="Heading2"/>
    <w:semiHidden/>
    <w:rsid w:val="004223CC"/>
    <w:rPr>
      <w:sz w:val="24"/>
      <w:lang w:val="fr-FR" w:eastAsia="fr-FR"/>
    </w:rPr>
  </w:style>
  <w:style w:type="character" w:customStyle="1" w:styleId="Heading3Char">
    <w:name w:val="Heading 3 Char"/>
    <w:basedOn w:val="DefaultParagraphFont"/>
    <w:link w:val="Heading3"/>
    <w:semiHidden/>
    <w:rsid w:val="004223CC"/>
    <w:rPr>
      <w:rFonts w:ascii="Arial" w:hAnsi="Arial"/>
      <w:sz w:val="24"/>
      <w:lang w:val="fr-FR" w:eastAsia="fr-FR"/>
    </w:rPr>
  </w:style>
  <w:style w:type="character" w:customStyle="1" w:styleId="Heading4Char">
    <w:name w:val="Heading 4 Char"/>
    <w:basedOn w:val="DefaultParagraphFont"/>
    <w:link w:val="Heading4"/>
    <w:semiHidden/>
    <w:rsid w:val="004223CC"/>
    <w:rPr>
      <w:sz w:val="24"/>
      <w:lang w:val="en-US" w:eastAsia="fr-FR"/>
    </w:rPr>
  </w:style>
  <w:style w:type="character" w:customStyle="1" w:styleId="Heading5Char">
    <w:name w:val="Heading 5 Char"/>
    <w:basedOn w:val="DefaultParagraphFont"/>
    <w:link w:val="Heading5"/>
    <w:semiHidden/>
    <w:rsid w:val="004223CC"/>
    <w:rPr>
      <w:sz w:val="24"/>
      <w:lang w:val="en-US" w:eastAsia="fr-FR"/>
    </w:rPr>
  </w:style>
  <w:style w:type="character" w:customStyle="1" w:styleId="Heading6Char">
    <w:name w:val="Heading 6 Char"/>
    <w:basedOn w:val="DefaultParagraphFont"/>
    <w:link w:val="Heading6"/>
    <w:semiHidden/>
    <w:rsid w:val="004223CC"/>
    <w:rPr>
      <w:i/>
      <w:sz w:val="22"/>
      <w:lang w:val="el-GR"/>
    </w:rPr>
  </w:style>
  <w:style w:type="character" w:customStyle="1" w:styleId="Heading7Char">
    <w:name w:val="Heading 7 Char"/>
    <w:basedOn w:val="DefaultParagraphFont"/>
    <w:link w:val="Heading7"/>
    <w:semiHidden/>
    <w:rsid w:val="004223CC"/>
    <w:rPr>
      <w:rFonts w:ascii="Arial" w:hAnsi="Arial"/>
      <w:sz w:val="24"/>
      <w:lang w:val="el-GR"/>
    </w:rPr>
  </w:style>
  <w:style w:type="character" w:customStyle="1" w:styleId="Heading8Char">
    <w:name w:val="Heading 8 Char"/>
    <w:basedOn w:val="DefaultParagraphFont"/>
    <w:link w:val="Heading8"/>
    <w:semiHidden/>
    <w:rsid w:val="004223CC"/>
    <w:rPr>
      <w:rFonts w:ascii="Arial" w:hAnsi="Arial"/>
      <w:i/>
      <w:sz w:val="24"/>
      <w:lang w:val="el-GR"/>
    </w:rPr>
  </w:style>
  <w:style w:type="character" w:customStyle="1" w:styleId="Heading9Char">
    <w:name w:val="Heading 9 Char"/>
    <w:basedOn w:val="DefaultParagraphFont"/>
    <w:link w:val="Heading9"/>
    <w:semiHidden/>
    <w:rsid w:val="004223CC"/>
    <w:rPr>
      <w:rFonts w:ascii="Arial" w:hAnsi="Arial"/>
      <w:b/>
      <w:i/>
      <w:sz w:val="18"/>
      <w:lang w:val="el-GR"/>
    </w:rPr>
  </w:style>
  <w:style w:type="paragraph" w:styleId="TOCHeading">
    <w:name w:val="TOC Heading"/>
    <w:basedOn w:val="Normal"/>
    <w:next w:val="Normal"/>
    <w:uiPriority w:val="39"/>
    <w:unhideWhenUsed/>
    <w:qFormat/>
    <w:rsid w:val="004223CC"/>
    <w:pPr>
      <w:widowControl/>
      <w:spacing w:after="240"/>
    </w:pPr>
    <w:rPr>
      <w:lang w:val="en-GB"/>
    </w:rPr>
  </w:style>
  <w:style w:type="paragraph" w:customStyle="1" w:styleId="EPFooter2">
    <w:name w:val="EPFooter2"/>
    <w:basedOn w:val="Normal"/>
    <w:next w:val="Normal"/>
    <w:rsid w:val="004223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223CC"/>
    <w:pPr>
      <w:keepNext/>
      <w:spacing w:after="240"/>
      <w:jc w:val="right"/>
    </w:pPr>
    <w:rPr>
      <w:rFonts w:ascii="Arial" w:hAnsi="Arial"/>
      <w:b/>
    </w:rPr>
  </w:style>
  <w:style w:type="paragraph" w:customStyle="1" w:styleId="Normal6a">
    <w:name w:val="Normal6a"/>
    <w:basedOn w:val="Normal"/>
    <w:rsid w:val="004223CC"/>
    <w:pPr>
      <w:spacing w:after="120"/>
    </w:pPr>
  </w:style>
  <w:style w:type="paragraph" w:customStyle="1" w:styleId="PageHeading">
    <w:name w:val="PageHeading"/>
    <w:basedOn w:val="Normal"/>
    <w:qFormat/>
    <w:rsid w:val="004223CC"/>
    <w:pPr>
      <w:keepNext/>
      <w:spacing w:after="480"/>
      <w:jc w:val="center"/>
    </w:pPr>
    <w:rPr>
      <w:rFonts w:ascii="Arial" w:hAnsi="Arial" w:cs="Arial"/>
      <w:b/>
    </w:rPr>
  </w:style>
  <w:style w:type="paragraph" w:customStyle="1" w:styleId="NormalBold">
    <w:name w:val="NormalBold"/>
    <w:basedOn w:val="Normal"/>
    <w:link w:val="NormalBoldChar"/>
    <w:rsid w:val="004223CC"/>
    <w:rPr>
      <w:b/>
    </w:rPr>
  </w:style>
  <w:style w:type="paragraph" w:customStyle="1" w:styleId="NormalBold12a">
    <w:name w:val="NormalBold12a"/>
    <w:basedOn w:val="Normal"/>
    <w:rsid w:val="004223CC"/>
    <w:pPr>
      <w:spacing w:after="240"/>
    </w:pPr>
    <w:rPr>
      <w:b/>
    </w:rPr>
  </w:style>
  <w:style w:type="paragraph" w:customStyle="1" w:styleId="AmJustText">
    <w:name w:val="AmJustText"/>
    <w:basedOn w:val="Normal"/>
    <w:rsid w:val="004223CC"/>
    <w:pPr>
      <w:spacing w:after="240"/>
    </w:pPr>
    <w:rPr>
      <w:i/>
    </w:rPr>
  </w:style>
  <w:style w:type="paragraph" w:customStyle="1" w:styleId="NormalHanging12a">
    <w:name w:val="NormalHanging12a"/>
    <w:basedOn w:val="Normal"/>
    <w:rsid w:val="004223CC"/>
    <w:pPr>
      <w:spacing w:after="240"/>
      <w:ind w:left="567" w:hanging="567"/>
    </w:pPr>
  </w:style>
  <w:style w:type="paragraph" w:customStyle="1" w:styleId="CoverNormal24a">
    <w:name w:val="CoverNormal24a"/>
    <w:basedOn w:val="Normal"/>
    <w:rsid w:val="004223CC"/>
    <w:pPr>
      <w:spacing w:after="480"/>
      <w:ind w:left="1417"/>
    </w:pPr>
  </w:style>
  <w:style w:type="paragraph" w:customStyle="1" w:styleId="CoverNormal">
    <w:name w:val="CoverNormal"/>
    <w:basedOn w:val="Normal"/>
    <w:rsid w:val="004223CC"/>
    <w:pPr>
      <w:ind w:left="1418"/>
    </w:pPr>
  </w:style>
  <w:style w:type="paragraph" w:customStyle="1" w:styleId="AmCrossRef">
    <w:name w:val="AmCrossRef"/>
    <w:basedOn w:val="Normal"/>
    <w:rsid w:val="004223CC"/>
    <w:pPr>
      <w:spacing w:before="240" w:after="240"/>
      <w:jc w:val="center"/>
    </w:pPr>
    <w:rPr>
      <w:i/>
    </w:rPr>
  </w:style>
  <w:style w:type="paragraph" w:customStyle="1" w:styleId="AmJustTitle">
    <w:name w:val="AmJustTitle"/>
    <w:basedOn w:val="Normal"/>
    <w:next w:val="AmJustText"/>
    <w:rsid w:val="004223CC"/>
    <w:pPr>
      <w:keepNext/>
      <w:spacing w:before="240" w:after="240"/>
      <w:jc w:val="center"/>
    </w:pPr>
    <w:rPr>
      <w:i/>
    </w:rPr>
  </w:style>
  <w:style w:type="paragraph" w:customStyle="1" w:styleId="CoverReference">
    <w:name w:val="CoverReference"/>
    <w:basedOn w:val="Normal"/>
    <w:rsid w:val="004223CC"/>
    <w:pPr>
      <w:spacing w:before="1080"/>
      <w:jc w:val="right"/>
    </w:pPr>
    <w:rPr>
      <w:rFonts w:ascii="Arial" w:hAnsi="Arial" w:cs="Arial"/>
      <w:b/>
    </w:rPr>
  </w:style>
  <w:style w:type="paragraph" w:customStyle="1" w:styleId="CoverDocType">
    <w:name w:val="CoverDocType"/>
    <w:basedOn w:val="Normal"/>
    <w:rsid w:val="004223CC"/>
    <w:pPr>
      <w:ind w:left="1418"/>
    </w:pPr>
    <w:rPr>
      <w:rFonts w:ascii="Arial" w:hAnsi="Arial"/>
      <w:b/>
      <w:sz w:val="48"/>
    </w:rPr>
  </w:style>
  <w:style w:type="paragraph" w:customStyle="1" w:styleId="CoverDocType24a">
    <w:name w:val="CoverDocType24a"/>
    <w:basedOn w:val="Normal"/>
    <w:rsid w:val="004223CC"/>
    <w:pPr>
      <w:spacing w:after="480"/>
      <w:ind w:left="1418"/>
    </w:pPr>
    <w:rPr>
      <w:rFonts w:ascii="Arial" w:hAnsi="Arial"/>
      <w:b/>
      <w:sz w:val="48"/>
    </w:rPr>
  </w:style>
  <w:style w:type="paragraph" w:customStyle="1" w:styleId="CoverDate">
    <w:name w:val="CoverDate"/>
    <w:basedOn w:val="Normal"/>
    <w:rsid w:val="004223CC"/>
    <w:pPr>
      <w:spacing w:before="240" w:after="1200"/>
    </w:pPr>
  </w:style>
  <w:style w:type="paragraph" w:styleId="Header">
    <w:name w:val="header"/>
    <w:basedOn w:val="Normal"/>
    <w:link w:val="HeaderChar"/>
    <w:rsid w:val="004223CC"/>
    <w:pPr>
      <w:tabs>
        <w:tab w:val="center" w:pos="4513"/>
        <w:tab w:val="right" w:pos="9026"/>
      </w:tabs>
    </w:pPr>
  </w:style>
  <w:style w:type="character" w:customStyle="1" w:styleId="HeaderChar">
    <w:name w:val="Header Char"/>
    <w:basedOn w:val="DefaultParagraphFont"/>
    <w:link w:val="Header"/>
    <w:rsid w:val="004223CC"/>
    <w:rPr>
      <w:sz w:val="24"/>
      <w:lang w:val="el-GR"/>
    </w:rPr>
  </w:style>
  <w:style w:type="paragraph" w:customStyle="1" w:styleId="AmOrLang">
    <w:name w:val="AmOrLang"/>
    <w:basedOn w:val="Normal"/>
    <w:rsid w:val="004223CC"/>
    <w:pPr>
      <w:spacing w:before="240" w:after="240"/>
      <w:jc w:val="right"/>
    </w:pPr>
  </w:style>
  <w:style w:type="paragraph" w:customStyle="1" w:styleId="AmColumnHeading">
    <w:name w:val="AmColumnHeading"/>
    <w:basedOn w:val="Normal"/>
    <w:rsid w:val="004223CC"/>
    <w:pPr>
      <w:spacing w:after="240"/>
      <w:jc w:val="center"/>
    </w:pPr>
    <w:rPr>
      <w:i/>
    </w:rPr>
  </w:style>
  <w:style w:type="paragraph" w:customStyle="1" w:styleId="AmNumberTabs">
    <w:name w:val="AmNumberTabs"/>
    <w:basedOn w:val="Normal"/>
    <w:rsid w:val="004223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223CC"/>
    <w:pPr>
      <w:spacing w:before="240"/>
    </w:pPr>
    <w:rPr>
      <w:b/>
    </w:rPr>
  </w:style>
  <w:style w:type="paragraph" w:customStyle="1" w:styleId="EPBody">
    <w:name w:val="EPBody"/>
    <w:basedOn w:val="Normal"/>
    <w:rsid w:val="004223CC"/>
    <w:pPr>
      <w:jc w:val="center"/>
    </w:pPr>
    <w:rPr>
      <w:rFonts w:ascii="Arial" w:hAnsi="Arial" w:cs="Arial"/>
      <w:i/>
      <w:sz w:val="22"/>
      <w:szCs w:val="22"/>
    </w:rPr>
  </w:style>
  <w:style w:type="paragraph" w:customStyle="1" w:styleId="EPFooter">
    <w:name w:val="EPFooter"/>
    <w:basedOn w:val="Normal"/>
    <w:rsid w:val="004223CC"/>
    <w:pPr>
      <w:tabs>
        <w:tab w:val="center" w:pos="4535"/>
        <w:tab w:val="right" w:pos="9071"/>
      </w:tabs>
      <w:spacing w:before="240" w:after="240"/>
    </w:pPr>
    <w:rPr>
      <w:color w:val="010000"/>
      <w:sz w:val="22"/>
    </w:rPr>
  </w:style>
  <w:style w:type="paragraph" w:customStyle="1" w:styleId="EPComma">
    <w:name w:val="EPComma"/>
    <w:basedOn w:val="Normal"/>
    <w:rsid w:val="004223CC"/>
    <w:pPr>
      <w:spacing w:before="480" w:after="240"/>
    </w:pPr>
  </w:style>
  <w:style w:type="paragraph" w:customStyle="1" w:styleId="Lgendesigne">
    <w:name w:val="Légende signe"/>
    <w:basedOn w:val="Normal"/>
    <w:rsid w:val="004223CC"/>
    <w:pPr>
      <w:tabs>
        <w:tab w:val="right" w:pos="454"/>
        <w:tab w:val="left" w:pos="737"/>
      </w:tabs>
      <w:ind w:left="737" w:hanging="737"/>
    </w:pPr>
    <w:rPr>
      <w:snapToGrid w:val="0"/>
      <w:sz w:val="18"/>
      <w:lang w:eastAsia="en-US"/>
    </w:rPr>
  </w:style>
  <w:style w:type="paragraph" w:customStyle="1" w:styleId="Lgendetitre">
    <w:name w:val="Légende titre"/>
    <w:basedOn w:val="Normal"/>
    <w:rsid w:val="004223CC"/>
    <w:pPr>
      <w:spacing w:before="240" w:after="240"/>
    </w:pPr>
    <w:rPr>
      <w:b/>
      <w:i/>
      <w:snapToGrid w:val="0"/>
      <w:lang w:eastAsia="en-US"/>
    </w:rPr>
  </w:style>
  <w:style w:type="paragraph" w:customStyle="1" w:styleId="Lgendestandard">
    <w:name w:val="Légende standard"/>
    <w:basedOn w:val="Normal"/>
    <w:rsid w:val="004223CC"/>
    <w:rPr>
      <w:sz w:val="18"/>
    </w:rPr>
  </w:style>
  <w:style w:type="paragraph" w:customStyle="1" w:styleId="Default">
    <w:name w:val="Default"/>
    <w:rsid w:val="004223CC"/>
    <w:pPr>
      <w:autoSpaceDE w:val="0"/>
      <w:autoSpaceDN w:val="0"/>
      <w:adjustRightInd w:val="0"/>
    </w:pPr>
    <w:rPr>
      <w:color w:val="000000"/>
      <w:sz w:val="24"/>
      <w:szCs w:val="24"/>
      <w:lang w:val="el-GR"/>
    </w:rPr>
  </w:style>
  <w:style w:type="character" w:customStyle="1" w:styleId="Normal6Char">
    <w:name w:val="Normal6 Char"/>
    <w:basedOn w:val="DefaultParagraphFont"/>
    <w:link w:val="Normal6"/>
    <w:locked/>
    <w:rsid w:val="004223CC"/>
    <w:rPr>
      <w:b/>
      <w:bCs/>
      <w:i/>
      <w:iCs/>
      <w:sz w:val="24"/>
    </w:rPr>
  </w:style>
  <w:style w:type="paragraph" w:customStyle="1" w:styleId="Normal6">
    <w:name w:val="Normal6"/>
    <w:basedOn w:val="Normal"/>
    <w:link w:val="Normal6Char"/>
    <w:rsid w:val="004223CC"/>
    <w:pPr>
      <w:spacing w:after="120"/>
    </w:pPr>
    <w:rPr>
      <w:b/>
      <w:bCs/>
      <w:i/>
      <w:iCs/>
      <w:lang w:val="en-GB"/>
    </w:rPr>
  </w:style>
  <w:style w:type="character" w:customStyle="1" w:styleId="NormalBoldChar">
    <w:name w:val="NormalBold Char"/>
    <w:basedOn w:val="DefaultParagraphFont"/>
    <w:link w:val="NormalBold"/>
    <w:locked/>
    <w:rsid w:val="004223CC"/>
    <w:rPr>
      <w:b/>
      <w:sz w:val="24"/>
      <w:lang w:val="el-GR"/>
    </w:rPr>
  </w:style>
  <w:style w:type="paragraph" w:customStyle="1" w:styleId="ColumnHeading">
    <w:name w:val="ColumnHeading"/>
    <w:basedOn w:val="Normal"/>
    <w:rsid w:val="004223CC"/>
    <w:pPr>
      <w:spacing w:after="240"/>
      <w:jc w:val="center"/>
    </w:pPr>
    <w:rPr>
      <w:i/>
    </w:rPr>
  </w:style>
  <w:style w:type="paragraph" w:customStyle="1" w:styleId="AMNumberTabs0">
    <w:name w:val="AMNumberTabs"/>
    <w:basedOn w:val="Normal"/>
    <w:rsid w:val="004223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223CC"/>
    <w:pPr>
      <w:jc w:val="right"/>
    </w:pPr>
    <w:rPr>
      <w:lang w:val="el-GR"/>
    </w:rPr>
  </w:style>
  <w:style w:type="character" w:styleId="Hyperlink">
    <w:name w:val="Hyperlink"/>
    <w:basedOn w:val="DefaultParagraphFont"/>
    <w:unhideWhenUsed/>
    <w:rsid w:val="004223CC"/>
    <w:rPr>
      <w:color w:val="467886"/>
      <w:u w:val="single"/>
    </w:rPr>
  </w:style>
  <w:style w:type="paragraph" w:styleId="Revision">
    <w:name w:val="Revision"/>
    <w:hidden/>
    <w:uiPriority w:val="99"/>
    <w:semiHidden/>
    <w:rsid w:val="004223CC"/>
    <w:rPr>
      <w:sz w:val="24"/>
      <w:lang w:val="el-GR"/>
    </w:rPr>
  </w:style>
  <w:style w:type="character" w:styleId="CommentReference">
    <w:name w:val="annotation reference"/>
    <w:basedOn w:val="DefaultParagraphFont"/>
    <w:rsid w:val="004223CC"/>
    <w:rPr>
      <w:sz w:val="16"/>
      <w:szCs w:val="16"/>
    </w:rPr>
  </w:style>
  <w:style w:type="paragraph" w:styleId="CommentText">
    <w:name w:val="annotation text"/>
    <w:basedOn w:val="Normal"/>
    <w:link w:val="CommentTextChar"/>
    <w:rsid w:val="004223CC"/>
    <w:rPr>
      <w:sz w:val="20"/>
    </w:rPr>
  </w:style>
  <w:style w:type="character" w:customStyle="1" w:styleId="CommentTextChar">
    <w:name w:val="Comment Text Char"/>
    <w:basedOn w:val="DefaultParagraphFont"/>
    <w:link w:val="CommentText"/>
    <w:rsid w:val="004223CC"/>
    <w:rPr>
      <w:lang w:val="el-GR"/>
    </w:rPr>
  </w:style>
  <w:style w:type="paragraph" w:styleId="CommentSubject">
    <w:name w:val="annotation subject"/>
    <w:basedOn w:val="CommentText"/>
    <w:next w:val="CommentText"/>
    <w:link w:val="CommentSubjectChar"/>
    <w:unhideWhenUsed/>
    <w:rsid w:val="004223CC"/>
    <w:rPr>
      <w:b/>
      <w:bCs/>
    </w:rPr>
  </w:style>
  <w:style w:type="character" w:customStyle="1" w:styleId="CommentSubjectChar">
    <w:name w:val="Comment Subject Char"/>
    <w:basedOn w:val="CommentTextChar"/>
    <w:link w:val="CommentSubject"/>
    <w:rsid w:val="004223CC"/>
    <w:rPr>
      <w:b/>
      <w:bCs/>
      <w:lang w:val="el-GR"/>
    </w:rPr>
  </w:style>
  <w:style w:type="character" w:styleId="UnresolvedMention">
    <w:name w:val="Unresolved Mention"/>
    <w:basedOn w:val="DefaultParagraphFont"/>
    <w:uiPriority w:val="99"/>
    <w:semiHidden/>
    <w:unhideWhenUsed/>
    <w:rsid w:val="004223CC"/>
    <w:rPr>
      <w:color w:val="605E5C"/>
      <w:shd w:val="clear" w:color="auto" w:fill="E1DFDD"/>
    </w:rPr>
  </w:style>
  <w:style w:type="character" w:styleId="Emphasis">
    <w:name w:val="Emphasis"/>
    <w:basedOn w:val="DefaultParagraphFont"/>
    <w:uiPriority w:val="20"/>
    <w:qFormat/>
    <w:rsid w:val="004223CC"/>
    <w:rPr>
      <w:i/>
      <w:iCs/>
    </w:rPr>
  </w:style>
  <w:style w:type="paragraph" w:styleId="ListParagraph">
    <w:name w:val="List Paragraph"/>
    <w:basedOn w:val="Normal"/>
    <w:uiPriority w:val="1"/>
    <w:qFormat/>
    <w:rsid w:val="004223CC"/>
    <w:pPr>
      <w:ind w:left="720"/>
      <w:contextualSpacing/>
    </w:pPr>
  </w:style>
  <w:style w:type="paragraph" w:styleId="BodyText">
    <w:name w:val="Body Text"/>
    <w:basedOn w:val="Normal"/>
    <w:link w:val="BodyTextChar"/>
    <w:uiPriority w:val="1"/>
    <w:unhideWhenUsed/>
    <w:qFormat/>
    <w:rsid w:val="004223CC"/>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4223CC"/>
    <w:rPr>
      <w:sz w:val="24"/>
      <w:szCs w:val="24"/>
      <w:lang w:val="el-GR" w:eastAsia="en-US"/>
    </w:rPr>
  </w:style>
  <w:style w:type="paragraph" w:customStyle="1" w:styleId="Normal12a">
    <w:name w:val="Normal12a"/>
    <w:basedOn w:val="Normal"/>
    <w:rsid w:val="004223CC"/>
    <w:pPr>
      <w:spacing w:after="240"/>
    </w:pPr>
  </w:style>
  <w:style w:type="paragraph" w:customStyle="1" w:styleId="PageHeadingNotTOC">
    <w:name w:val="PageHeadingNotTOC"/>
    <w:basedOn w:val="Normal"/>
    <w:rsid w:val="004223CC"/>
    <w:pPr>
      <w:keepNext/>
      <w:spacing w:after="480"/>
      <w:jc w:val="center"/>
    </w:pPr>
    <w:rPr>
      <w:rFonts w:ascii="Arial" w:hAnsi="Arial" w:cs="Arial"/>
      <w:b/>
    </w:rPr>
  </w:style>
  <w:style w:type="paragraph" w:customStyle="1" w:styleId="AmHeadingPA">
    <w:name w:val="AmHeadingPA"/>
    <w:basedOn w:val="Normal"/>
    <w:next w:val="Normal"/>
    <w:rsid w:val="004223CC"/>
    <w:pPr>
      <w:spacing w:before="480" w:after="240"/>
      <w:jc w:val="center"/>
    </w:pPr>
    <w:rPr>
      <w:rFonts w:ascii="Arial" w:hAnsi="Arial"/>
      <w:b/>
      <w:caps/>
      <w:snapToGrid w:val="0"/>
      <w:szCs w:val="24"/>
      <w:lang w:eastAsia="en-US"/>
    </w:rPr>
  </w:style>
  <w:style w:type="paragraph" w:customStyle="1" w:styleId="Normal24a">
    <w:name w:val="Normal24a"/>
    <w:basedOn w:val="Normal"/>
    <w:rsid w:val="004223CC"/>
    <w:pPr>
      <w:spacing w:after="480"/>
    </w:pPr>
    <w:rPr>
      <w:szCs w:val="24"/>
    </w:rPr>
  </w:style>
  <w:style w:type="paragraph" w:customStyle="1" w:styleId="NormalBoldCenter">
    <w:name w:val="NormalBoldCenter"/>
    <w:basedOn w:val="Normal"/>
    <w:rsid w:val="004223CC"/>
    <w:pPr>
      <w:jc w:val="center"/>
    </w:pPr>
    <w:rPr>
      <w:b/>
      <w:szCs w:val="24"/>
    </w:rPr>
  </w:style>
  <w:style w:type="paragraph" w:customStyle="1" w:styleId="Footprint12b">
    <w:name w:val="Footprint12b"/>
    <w:basedOn w:val="Normal"/>
    <w:rsid w:val="004223CC"/>
    <w:pPr>
      <w:spacing w:before="240"/>
    </w:pPr>
    <w:rPr>
      <w:szCs w:val="24"/>
    </w:rPr>
  </w:style>
  <w:style w:type="paragraph" w:customStyle="1" w:styleId="NormalSingle">
    <w:name w:val="NormalSingle"/>
    <w:basedOn w:val="Normal"/>
    <w:qFormat/>
    <w:rsid w:val="004223CC"/>
    <w:rPr>
      <w:szCs w:val="24"/>
    </w:rPr>
  </w:style>
  <w:style w:type="paragraph" w:customStyle="1" w:styleId="RollCallSymbols14pt">
    <w:name w:val="RollCallSymbols14pt"/>
    <w:basedOn w:val="Normal"/>
    <w:rsid w:val="004223C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223CC"/>
    <w:pPr>
      <w:tabs>
        <w:tab w:val="center" w:pos="284"/>
        <w:tab w:val="left" w:pos="426"/>
      </w:tabs>
    </w:pPr>
    <w:rPr>
      <w:snapToGrid w:val="0"/>
      <w:lang w:eastAsia="en-US"/>
    </w:rPr>
  </w:style>
  <w:style w:type="paragraph" w:customStyle="1" w:styleId="RollCallVotes">
    <w:name w:val="RollCallVotes"/>
    <w:basedOn w:val="Normal"/>
    <w:rsid w:val="004223CC"/>
    <w:pPr>
      <w:spacing w:before="120" w:after="120"/>
      <w:jc w:val="center"/>
    </w:pPr>
    <w:rPr>
      <w:b/>
      <w:bCs/>
      <w:snapToGrid w:val="0"/>
      <w:sz w:val="16"/>
      <w:lang w:eastAsia="en-US"/>
    </w:rPr>
  </w:style>
  <w:style w:type="paragraph" w:customStyle="1" w:styleId="RollCallTable">
    <w:name w:val="RollCallTable"/>
    <w:basedOn w:val="Normal"/>
    <w:rsid w:val="004223CC"/>
    <w:pPr>
      <w:spacing w:before="120" w:after="120"/>
    </w:pPr>
    <w:rPr>
      <w:snapToGrid w:val="0"/>
      <w:sz w:val="16"/>
      <w:lang w:eastAsia="en-US"/>
    </w:rPr>
  </w:style>
  <w:style w:type="paragraph" w:styleId="Footer">
    <w:name w:val="footer"/>
    <w:basedOn w:val="Normal"/>
    <w:link w:val="FooterChar"/>
    <w:rsid w:val="004223CC"/>
    <w:pPr>
      <w:tabs>
        <w:tab w:val="center" w:pos="4513"/>
        <w:tab w:val="right" w:pos="9026"/>
      </w:tabs>
    </w:pPr>
  </w:style>
  <w:style w:type="character" w:customStyle="1" w:styleId="FooterChar">
    <w:name w:val="Footer Char"/>
    <w:basedOn w:val="DefaultParagraphFont"/>
    <w:link w:val="Footer"/>
    <w:rsid w:val="004223CC"/>
    <w:rPr>
      <w:sz w:val="24"/>
      <w:lang w:val="el-GR"/>
    </w:rPr>
  </w:style>
  <w:style w:type="character" w:styleId="FollowedHyperlink">
    <w:name w:val="FollowedHyperlink"/>
    <w:basedOn w:val="DefaultParagraphFont"/>
    <w:uiPriority w:val="99"/>
    <w:unhideWhenUsed/>
    <w:rsid w:val="004223CC"/>
    <w:rPr>
      <w:color w:val="954F72" w:themeColor="followedHyperlink"/>
      <w:u w:val="single"/>
    </w:rPr>
  </w:style>
  <w:style w:type="paragraph" w:customStyle="1" w:styleId="FootnoteTextForceStyle">
    <w:name w:val="Footnote Text ForceStyle"/>
    <w:rsid w:val="007B3242"/>
    <w:pPr>
      <w:keepLines/>
      <w:spacing w:line="240" w:lineRule="exact"/>
      <w:ind w:left="850" w:hanging="850"/>
    </w:pPr>
    <w:rPr>
      <w:sz w:val="24"/>
      <w:lang w:val="el-GR" w:eastAsia="en-US"/>
    </w:rPr>
  </w:style>
  <w:style w:type="character" w:customStyle="1" w:styleId="Hyperlink1">
    <w:name w:val="Hyperlink1"/>
    <w:basedOn w:val="DefaultParagraphFont"/>
    <w:rsid w:val="007B3242"/>
    <w:rPr>
      <w:color w:val="0000FF"/>
      <w:u w:val="single"/>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961DB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624</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2026-07-01T14:04:00Z</dcterms:created>
  <dcterms:modified xsi:type="dcterms:W3CDTF">2026-07-01T14:04:00Z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P10_TA(2026)0170_</vt:lpwstr>
  </property>
  <property fmtid="{D5CDD505-2E9C-101B-9397-08002B2CF9AE}" pid="4" name="&lt;Type&gt;">
    <vt:lpwstr>RR</vt:lpwstr>
  </property>
</Properties>
</file>