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12B7" w14:paraId="181156C1" w14:textId="77777777" w:rsidTr="0010095E">
        <w:trPr>
          <w:trHeight w:hRule="exact" w:val="1418"/>
        </w:trPr>
        <w:tc>
          <w:tcPr>
            <w:tcW w:w="6804" w:type="dxa"/>
            <w:shd w:val="clear" w:color="auto" w:fill="auto"/>
            <w:vAlign w:val="center"/>
          </w:tcPr>
          <w:p w14:paraId="44EF5F89" w14:textId="77777777" w:rsidR="00751A4A" w:rsidRPr="00CB12B7" w:rsidRDefault="00EF7281" w:rsidP="0010095E">
            <w:pPr>
              <w:pStyle w:val="EPName"/>
            </w:pPr>
            <w:r w:rsidRPr="00CB12B7">
              <w:t>Parlamento Europeo</w:t>
            </w:r>
          </w:p>
          <w:p w14:paraId="2E30EBE1" w14:textId="77777777" w:rsidR="00751A4A" w:rsidRPr="00CB12B7" w:rsidRDefault="005F1B17" w:rsidP="005F1B17">
            <w:pPr>
              <w:pStyle w:val="EPTerm"/>
              <w:rPr>
                <w:rStyle w:val="HideTWBExt"/>
                <w:noProof w:val="0"/>
                <w:vanish w:val="0"/>
                <w:color w:val="auto"/>
              </w:rPr>
            </w:pPr>
            <w:r w:rsidRPr="00CB12B7">
              <w:t>2024</w:t>
            </w:r>
            <w:r w:rsidR="00817416" w:rsidRPr="00CB12B7">
              <w:t>-202</w:t>
            </w:r>
            <w:r w:rsidRPr="00CB12B7">
              <w:t>9</w:t>
            </w:r>
          </w:p>
        </w:tc>
        <w:tc>
          <w:tcPr>
            <w:tcW w:w="2268" w:type="dxa"/>
            <w:shd w:val="clear" w:color="auto" w:fill="auto"/>
          </w:tcPr>
          <w:p w14:paraId="25D5D9CD" w14:textId="77777777" w:rsidR="00751A4A" w:rsidRPr="00CB12B7" w:rsidRDefault="00187494" w:rsidP="0010095E">
            <w:pPr>
              <w:pStyle w:val="EPLogo"/>
            </w:pPr>
            <w:r w:rsidRPr="00CB12B7">
              <w:rPr>
                <w:noProof/>
                <w:lang w:eastAsia="ja-JP"/>
              </w:rPr>
              <w:drawing>
                <wp:inline distT="0" distB="0" distL="0" distR="0" wp14:anchorId="026D42A2" wp14:editId="34A200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39F650" w14:textId="77777777" w:rsidR="00D058B8" w:rsidRPr="00CB12B7" w:rsidRDefault="00D058B8" w:rsidP="004C5D52">
      <w:pPr>
        <w:pStyle w:val="LineTop"/>
      </w:pPr>
    </w:p>
    <w:p w14:paraId="06AB50DB" w14:textId="77777777" w:rsidR="00680577" w:rsidRPr="00CB12B7" w:rsidRDefault="00EF7281" w:rsidP="00680577">
      <w:pPr>
        <w:pStyle w:val="EPBodyTA1"/>
      </w:pPr>
      <w:r w:rsidRPr="00CB12B7">
        <w:t>TEXTOS APROBADOS</w:t>
      </w:r>
    </w:p>
    <w:p w14:paraId="75498359" w14:textId="77777777" w:rsidR="00D058B8" w:rsidRPr="00CB12B7" w:rsidRDefault="00D058B8" w:rsidP="00D058B8">
      <w:pPr>
        <w:pStyle w:val="LineBottom"/>
      </w:pPr>
    </w:p>
    <w:p w14:paraId="2040EA77" w14:textId="43EC98A3" w:rsidR="00EF7281" w:rsidRPr="00CB12B7" w:rsidRDefault="00EF7281" w:rsidP="00EF7281">
      <w:pPr>
        <w:pStyle w:val="ATHeading1"/>
      </w:pPr>
      <w:bookmarkStart w:id="0" w:name="TANumber"/>
      <w:r w:rsidRPr="00CB12B7">
        <w:t>P10_</w:t>
      </w:r>
      <w:proofErr w:type="gramStart"/>
      <w:r w:rsidRPr="00CB12B7">
        <w:t>TA(</w:t>
      </w:r>
      <w:proofErr w:type="gramEnd"/>
      <w:r w:rsidRPr="00CB12B7">
        <w:t>2026)0</w:t>
      </w:r>
      <w:r w:rsidR="00862658" w:rsidRPr="00CB12B7">
        <w:t>170</w:t>
      </w:r>
      <w:bookmarkEnd w:id="0"/>
    </w:p>
    <w:p w14:paraId="756F97E4" w14:textId="77777777" w:rsidR="00EF7281" w:rsidRPr="00CB12B7" w:rsidRDefault="00EF7281" w:rsidP="00EF7281">
      <w:pPr>
        <w:pStyle w:val="ATHeading2"/>
      </w:pPr>
      <w:bookmarkStart w:id="1" w:name="title"/>
      <w:r w:rsidRPr="00CB12B7">
        <w:t>Efectos negativos relacionados con el comercio del exceso de capacidad mundial en el mercado siderúrgico de la Unión</w:t>
      </w:r>
      <w:bookmarkEnd w:id="1"/>
    </w:p>
    <w:p w14:paraId="5522FCAA" w14:textId="77777777" w:rsidR="00EF7281" w:rsidRPr="00CB12B7" w:rsidRDefault="00EF7281" w:rsidP="00EF7281">
      <w:pPr>
        <w:rPr>
          <w:i/>
          <w:vanish/>
        </w:rPr>
      </w:pPr>
      <w:r w:rsidRPr="00CB12B7">
        <w:rPr>
          <w:i/>
        </w:rPr>
        <w:fldChar w:fldCharType="begin"/>
      </w:r>
      <w:r w:rsidRPr="00CB12B7">
        <w:rPr>
          <w:i/>
        </w:rPr>
        <w:instrText xml:space="preserve"> TC"(</w:instrText>
      </w:r>
      <w:bookmarkStart w:id="2" w:name="DocNumber"/>
      <w:r w:rsidRPr="00CB12B7">
        <w:rPr>
          <w:i/>
        </w:rPr>
        <w:instrText>A10-0012/2026</w:instrText>
      </w:r>
      <w:bookmarkEnd w:id="2"/>
      <w:r w:rsidRPr="00CB12B7">
        <w:rPr>
          <w:i/>
        </w:rPr>
        <w:instrText xml:space="preserve"> - Ponente: Karin </w:instrText>
      </w:r>
      <w:proofErr w:type="spellStart"/>
      <w:r w:rsidRPr="00CB12B7">
        <w:rPr>
          <w:i/>
        </w:rPr>
        <w:instrText>Karlsbro</w:instrText>
      </w:r>
      <w:proofErr w:type="spellEnd"/>
      <w:r w:rsidRPr="00CB12B7">
        <w:rPr>
          <w:i/>
        </w:rPr>
        <w:instrText xml:space="preserve">)"\l3 \n&gt; \* MERGEFORMAT </w:instrText>
      </w:r>
      <w:r w:rsidRPr="00CB12B7">
        <w:rPr>
          <w:i/>
        </w:rPr>
        <w:fldChar w:fldCharType="end"/>
      </w:r>
    </w:p>
    <w:p w14:paraId="3A43E2E5" w14:textId="77777777" w:rsidR="00EF7281" w:rsidRPr="00CB12B7" w:rsidRDefault="00EF7281" w:rsidP="00EF7281">
      <w:pPr>
        <w:rPr>
          <w:vanish/>
        </w:rPr>
      </w:pPr>
      <w:bookmarkStart w:id="3" w:name="Commission"/>
      <w:r w:rsidRPr="00CB12B7">
        <w:rPr>
          <w:vanish/>
        </w:rPr>
        <w:t>Comisión de Comercio Internacional</w:t>
      </w:r>
      <w:bookmarkEnd w:id="3"/>
    </w:p>
    <w:p w14:paraId="59643C90" w14:textId="77777777" w:rsidR="00EF7281" w:rsidRPr="00CB12B7" w:rsidRDefault="00EF7281" w:rsidP="00EF7281">
      <w:pPr>
        <w:rPr>
          <w:vanish/>
        </w:rPr>
      </w:pPr>
      <w:bookmarkStart w:id="4" w:name="PE"/>
      <w:r w:rsidRPr="00CB12B7">
        <w:rPr>
          <w:vanish/>
        </w:rPr>
        <w:t>PE779.727</w:t>
      </w:r>
      <w:bookmarkEnd w:id="4"/>
    </w:p>
    <w:p w14:paraId="75744430" w14:textId="630844AE" w:rsidR="00EF7281" w:rsidRPr="00CB12B7" w:rsidRDefault="00EF7281" w:rsidP="00EF7281">
      <w:pPr>
        <w:pStyle w:val="ATHeading3"/>
      </w:pPr>
      <w:bookmarkStart w:id="5" w:name="Sujet"/>
      <w:r w:rsidRPr="00CB12B7">
        <w:t>Resolución legislativa del Parlamento Europeo, de</w:t>
      </w:r>
      <w:r w:rsidR="008A6392">
        <w:t xml:space="preserve"> </w:t>
      </w:r>
      <w:r w:rsidRPr="00CB12B7">
        <w:t>19 de mayo de 2026, sobre la propuesta de Reglamento del Parlamento Europeo y del Consejo relativo a los efectos negativos relacionados con el comercio del exceso de capacidad mundial en el mercado siderúrgico de la Unión</w:t>
      </w:r>
      <w:bookmarkEnd w:id="5"/>
      <w:r w:rsidRPr="00CB12B7">
        <w:t xml:space="preserve"> </w:t>
      </w:r>
      <w:bookmarkStart w:id="6" w:name="References"/>
      <w:r w:rsidRPr="00CB12B7">
        <w:t>(</w:t>
      </w:r>
      <w:proofErr w:type="gramStart"/>
      <w:r w:rsidRPr="00CB12B7">
        <w:t>COM(</w:t>
      </w:r>
      <w:proofErr w:type="gramEnd"/>
      <w:r w:rsidRPr="00CB12B7">
        <w:t>2025)0726 – C10-0245/2025 – 2025/0726(COD))</w:t>
      </w:r>
      <w:bookmarkEnd w:id="6"/>
    </w:p>
    <w:p w14:paraId="203ED492" w14:textId="77777777" w:rsidR="009843C5" w:rsidRPr="00CB12B7" w:rsidRDefault="009843C5" w:rsidP="009843C5">
      <w:pPr>
        <w:pStyle w:val="NormalBold"/>
      </w:pPr>
      <w:r w:rsidRPr="00CB12B7">
        <w:t>(Procedimiento legislativo ordinario: primera lectura)</w:t>
      </w:r>
    </w:p>
    <w:p w14:paraId="256DBB5C" w14:textId="77777777" w:rsidR="009843C5" w:rsidRPr="00CB12B7" w:rsidRDefault="009843C5" w:rsidP="009843C5">
      <w:pPr>
        <w:pStyle w:val="EPComma"/>
      </w:pPr>
      <w:r w:rsidRPr="00CB12B7">
        <w:rPr>
          <w:i/>
        </w:rPr>
        <w:t>El Parlamento Europeo</w:t>
      </w:r>
      <w:r w:rsidRPr="00CB12B7">
        <w:t>,</w:t>
      </w:r>
    </w:p>
    <w:p w14:paraId="7DB9757C" w14:textId="77777777" w:rsidR="009843C5" w:rsidRPr="00CB12B7" w:rsidRDefault="009843C5" w:rsidP="00CD1A1D">
      <w:pPr>
        <w:pStyle w:val="NormalHanging12a"/>
      </w:pPr>
      <w:r w:rsidRPr="00CB12B7">
        <w:t>–</w:t>
      </w:r>
      <w:r w:rsidRPr="00CB12B7">
        <w:tab/>
        <w:t>Vista la propuesta de la Comisión al Parlamento Europeo y al Consejo (</w:t>
      </w:r>
      <w:proofErr w:type="gramStart"/>
      <w:r w:rsidRPr="00CB12B7">
        <w:t>COM(</w:t>
      </w:r>
      <w:proofErr w:type="gramEnd"/>
      <w:r w:rsidRPr="00CB12B7">
        <w:t>2025)0726),</w:t>
      </w:r>
    </w:p>
    <w:p w14:paraId="4EDD17AC" w14:textId="77777777" w:rsidR="009843C5" w:rsidRPr="00CB12B7" w:rsidRDefault="009843C5" w:rsidP="00CD1A1D">
      <w:pPr>
        <w:pStyle w:val="NormalHanging12a"/>
      </w:pPr>
      <w:r w:rsidRPr="00CB12B7">
        <w:t>–</w:t>
      </w:r>
      <w:r w:rsidRPr="00CB12B7">
        <w:tab/>
        <w:t>Vistos el artículo 294, apartado 2, y el artículo 207, apartado 2, del Tratado de Funcionamiento de la Unión Europea, conforme a los cuales la Comisión le ha presentado su propuesta (C10</w:t>
      </w:r>
      <w:r w:rsidRPr="00CB12B7">
        <w:noBreakHyphen/>
        <w:t>0245/2025),</w:t>
      </w:r>
    </w:p>
    <w:p w14:paraId="12E2049E" w14:textId="77777777" w:rsidR="009843C5" w:rsidRPr="00CB12B7" w:rsidRDefault="009843C5" w:rsidP="00CD1A1D">
      <w:pPr>
        <w:pStyle w:val="NormalHanging12a"/>
      </w:pPr>
      <w:r w:rsidRPr="00CB12B7">
        <w:t>–</w:t>
      </w:r>
      <w:r w:rsidRPr="00CB12B7">
        <w:tab/>
        <w:t>Visto el artículo 294, apartado 3, del Tratado de Funcionamiento de la Unión Europea,</w:t>
      </w:r>
    </w:p>
    <w:p w14:paraId="123BA198" w14:textId="28E3B67B" w:rsidR="005100E5" w:rsidRPr="00CB12B7" w:rsidRDefault="009843C5" w:rsidP="00CD1A1D">
      <w:pPr>
        <w:pStyle w:val="NormalHanging12a"/>
        <w:rPr>
          <w:lang w:val="es-ES"/>
        </w:rPr>
      </w:pPr>
      <w:r w:rsidRPr="00CB12B7">
        <w:rPr>
          <w:lang w:val="es-ES"/>
        </w:rPr>
        <w:t>–</w:t>
      </w:r>
      <w:r w:rsidRPr="00CB12B7">
        <w:rPr>
          <w:lang w:val="es-ES"/>
        </w:rPr>
        <w:tab/>
      </w:r>
      <w:r w:rsidR="00385C95" w:rsidRPr="00CB12B7">
        <w:t>Vistos el acuerdo provisional aprobado por la comisión competente con arreglo al artículo 75, apartado 4, de su Reglamento interno y el compromiso asumido por el representante del Consejo, mediante carta de 23 de abril de 2026, de aprobar la Posición del Parlamento Europeo, de conformidad con el artículo 294, apartado 4, del Tratado de Funcionamiento de la Unión Europea,</w:t>
      </w:r>
    </w:p>
    <w:p w14:paraId="03D7E0CB" w14:textId="31C6AE79" w:rsidR="009843C5" w:rsidRPr="00CB12B7" w:rsidRDefault="005100E5" w:rsidP="00CD1A1D">
      <w:pPr>
        <w:pStyle w:val="NormalHanging12a"/>
      </w:pPr>
      <w:r w:rsidRPr="00CB12B7">
        <w:t>–</w:t>
      </w:r>
      <w:r w:rsidRPr="00CB12B7">
        <w:tab/>
      </w:r>
      <w:r w:rsidR="009843C5" w:rsidRPr="00CB12B7">
        <w:t>Visto el artículo 60 de su Reglamento interno,</w:t>
      </w:r>
    </w:p>
    <w:p w14:paraId="0BD7727D" w14:textId="77777777" w:rsidR="009843C5" w:rsidRPr="00CB12B7" w:rsidRDefault="009843C5" w:rsidP="00CD1A1D">
      <w:pPr>
        <w:pStyle w:val="NormalHanging12a"/>
      </w:pPr>
      <w:r w:rsidRPr="00CB12B7">
        <w:t>–</w:t>
      </w:r>
      <w:r w:rsidRPr="00CB12B7">
        <w:tab/>
        <w:t>Vista la opinión de la Comisión de Industria, Investigación y Energía,</w:t>
      </w:r>
    </w:p>
    <w:p w14:paraId="634FD55D" w14:textId="77777777" w:rsidR="009843C5" w:rsidRPr="00CB12B7" w:rsidRDefault="009843C5" w:rsidP="00CD1A1D">
      <w:pPr>
        <w:pStyle w:val="NormalHanging12a"/>
      </w:pPr>
      <w:r w:rsidRPr="00CB12B7">
        <w:t>–</w:t>
      </w:r>
      <w:r w:rsidRPr="00CB12B7">
        <w:tab/>
        <w:t>Visto el informe de la Comisión de Comercio Internacional (A10-0012/2026),</w:t>
      </w:r>
    </w:p>
    <w:p w14:paraId="08B93438" w14:textId="77777777" w:rsidR="009843C5" w:rsidRPr="00CB12B7" w:rsidRDefault="009843C5" w:rsidP="00CD1A1D">
      <w:pPr>
        <w:pStyle w:val="NormalHanging12a"/>
      </w:pPr>
      <w:r w:rsidRPr="00CB12B7">
        <w:t>1.</w:t>
      </w:r>
      <w:r w:rsidRPr="00CB12B7">
        <w:tab/>
        <w:t>Aprueba la Posición en primera lectura que figura a continuación;</w:t>
      </w:r>
    </w:p>
    <w:p w14:paraId="6AF7DE7D" w14:textId="4C892EA1" w:rsidR="007659CC" w:rsidRPr="00CB12B7" w:rsidRDefault="009843C5" w:rsidP="00CD1A1D">
      <w:pPr>
        <w:pStyle w:val="NormalHanging12a"/>
      </w:pPr>
      <w:r w:rsidRPr="00CB12B7">
        <w:t>2.</w:t>
      </w:r>
      <w:r w:rsidRPr="00CB12B7">
        <w:tab/>
      </w:r>
      <w:r w:rsidR="00695F5A" w:rsidRPr="00CB12B7">
        <w:t xml:space="preserve">Aprueba </w:t>
      </w:r>
      <w:r w:rsidR="005718AD" w:rsidRPr="00CB12B7">
        <w:t>la</w:t>
      </w:r>
      <w:r w:rsidR="00695F5A" w:rsidRPr="00CB12B7">
        <w:t xml:space="preserve"> declaración común del Parlamento, del Consejo y de la Comisión adjunta a la presente Resolución, que se publicará en la serie C del </w:t>
      </w:r>
      <w:r w:rsidR="00695F5A" w:rsidRPr="00CB12B7">
        <w:rPr>
          <w:i/>
          <w:iCs/>
        </w:rPr>
        <w:t>Diario Oficial de la Unión Europea;</w:t>
      </w:r>
    </w:p>
    <w:p w14:paraId="4414FD3E" w14:textId="65CBA46B" w:rsidR="009843C5" w:rsidRPr="00CB12B7" w:rsidRDefault="007659CC" w:rsidP="00CD1A1D">
      <w:pPr>
        <w:pStyle w:val="NormalHanging12a"/>
      </w:pPr>
      <w:r w:rsidRPr="00CB12B7">
        <w:t>3.</w:t>
      </w:r>
      <w:r w:rsidRPr="00CB12B7">
        <w:tab/>
      </w:r>
      <w:r w:rsidR="009843C5" w:rsidRPr="00CB12B7">
        <w:t>Pide a la Comisión que le consulte de nuevo si sustituye su propuesta, la modifica sustancialmente o se propone modificarla sustancialmente;</w:t>
      </w:r>
    </w:p>
    <w:p w14:paraId="5942C82D" w14:textId="065C91F9" w:rsidR="008F5079" w:rsidRDefault="007659CC" w:rsidP="008F5079">
      <w:pPr>
        <w:pStyle w:val="NormalHanging12a"/>
      </w:pPr>
      <w:r w:rsidRPr="00CB12B7">
        <w:lastRenderedPageBreak/>
        <w:t>4</w:t>
      </w:r>
      <w:r w:rsidR="009843C5" w:rsidRPr="00CB12B7">
        <w:t>.</w:t>
      </w:r>
      <w:r w:rsidR="009843C5" w:rsidRPr="00CB12B7">
        <w:tab/>
        <w:t>Encarga a su presidenta que transmita la Posición del Parlamento al Consejo y a la Comisión, sí como a los Parlamentos nacionales.</w:t>
      </w:r>
    </w:p>
    <w:p w14:paraId="5DB6DD8E" w14:textId="19AF92E0" w:rsidR="008A6392" w:rsidRPr="00CB12B7" w:rsidRDefault="008A6392" w:rsidP="008F5079">
      <w:pPr>
        <w:pStyle w:val="NormalHanging12a"/>
        <w:sectPr w:rsidR="008A6392" w:rsidRPr="00CB12B7" w:rsidSect="00044A1A">
          <w:footerReference w:type="even" r:id="rId9"/>
          <w:footerReference w:type="default" r:id="rId10"/>
          <w:footerReference w:type="first" r:id="rId11"/>
          <w:footnotePr>
            <w:numRestart w:val="eachSect"/>
          </w:footnotePr>
          <w:pgSz w:w="11909" w:h="16834"/>
          <w:pgMar w:top="1134" w:right="1134" w:bottom="1134" w:left="1134" w:header="1134" w:footer="567" w:gutter="0"/>
          <w:cols w:space="720"/>
          <w:docGrid w:linePitch="326"/>
        </w:sectPr>
      </w:pPr>
    </w:p>
    <w:p w14:paraId="05416B18" w14:textId="77777777" w:rsidR="00044A1A" w:rsidRPr="00CB12B7" w:rsidRDefault="00044A1A" w:rsidP="00044A1A">
      <w:pPr>
        <w:autoSpaceDE w:val="0"/>
        <w:autoSpaceDN w:val="0"/>
        <w:adjustRightInd w:val="0"/>
        <w:spacing w:after="240"/>
        <w:rPr>
          <w:rFonts w:eastAsia="Calibri"/>
          <w:b/>
          <w:bCs/>
          <w:color w:val="000000"/>
          <w:szCs w:val="24"/>
          <w:lang w:val="es-ES"/>
        </w:rPr>
      </w:pPr>
      <w:r w:rsidRPr="00CB12B7">
        <w:rPr>
          <w:rFonts w:eastAsia="Calibri"/>
          <w:b/>
          <w:bCs/>
          <w:color w:val="000000"/>
          <w:szCs w:val="24"/>
          <w:lang w:val="es-ES"/>
        </w:rPr>
        <w:lastRenderedPageBreak/>
        <w:t>P10_TC1-</w:t>
      </w:r>
      <w:proofErr w:type="gramStart"/>
      <w:r w:rsidRPr="00CB12B7">
        <w:rPr>
          <w:rFonts w:eastAsia="Calibri"/>
          <w:b/>
          <w:bCs/>
          <w:color w:val="000000"/>
          <w:szCs w:val="24"/>
          <w:lang w:val="es-ES"/>
        </w:rPr>
        <w:t>COD(</w:t>
      </w:r>
      <w:proofErr w:type="gramEnd"/>
      <w:r w:rsidRPr="00CB12B7">
        <w:rPr>
          <w:rFonts w:eastAsia="Calibri"/>
          <w:b/>
          <w:bCs/>
          <w:color w:val="000000"/>
          <w:szCs w:val="24"/>
          <w:lang w:val="es-ES"/>
        </w:rPr>
        <w:t>2025)0726</w:t>
      </w:r>
    </w:p>
    <w:p w14:paraId="39B62C05" w14:textId="0A2FC053" w:rsidR="00044A1A" w:rsidRPr="00ED3091" w:rsidRDefault="00044A1A" w:rsidP="00044A1A">
      <w:pPr>
        <w:widowControl/>
        <w:autoSpaceDE w:val="0"/>
        <w:autoSpaceDN w:val="0"/>
        <w:adjustRightInd w:val="0"/>
        <w:spacing w:before="120" w:after="120"/>
        <w:rPr>
          <w:b/>
          <w:bCs/>
          <w:szCs w:val="24"/>
          <w:lang w:val="es-ES" w:eastAsia="en-US"/>
        </w:rPr>
      </w:pPr>
      <w:r w:rsidRPr="00CB12B7">
        <w:rPr>
          <w:rFonts w:eastAsia="Calibri"/>
          <w:b/>
          <w:bCs/>
          <w:szCs w:val="24"/>
          <w:lang w:val="es-ES"/>
        </w:rPr>
        <w:t>Posi</w:t>
      </w:r>
      <w:r w:rsidR="008F5079" w:rsidRPr="00CB12B7">
        <w:rPr>
          <w:rFonts w:eastAsia="Calibri"/>
          <w:b/>
          <w:bCs/>
          <w:szCs w:val="24"/>
          <w:lang w:val="es-ES"/>
        </w:rPr>
        <w:t>c</w:t>
      </w:r>
      <w:r w:rsidRPr="00CB12B7">
        <w:rPr>
          <w:rFonts w:eastAsia="Calibri"/>
          <w:b/>
          <w:bCs/>
          <w:szCs w:val="24"/>
          <w:lang w:val="es-ES"/>
        </w:rPr>
        <w:t>i</w:t>
      </w:r>
      <w:r w:rsidR="008F5079" w:rsidRPr="00CB12B7">
        <w:rPr>
          <w:rFonts w:eastAsia="Calibri"/>
          <w:b/>
          <w:bCs/>
          <w:szCs w:val="24"/>
          <w:lang w:val="es-ES"/>
        </w:rPr>
        <w:t>ó</w:t>
      </w:r>
      <w:r w:rsidRPr="00CB12B7">
        <w:rPr>
          <w:rFonts w:eastAsia="Calibri"/>
          <w:b/>
          <w:bCs/>
          <w:szCs w:val="24"/>
          <w:lang w:val="es-ES"/>
        </w:rPr>
        <w:t xml:space="preserve">n </w:t>
      </w:r>
      <w:r w:rsidR="008F5079" w:rsidRPr="00CB12B7">
        <w:rPr>
          <w:rFonts w:eastAsia="Calibri"/>
          <w:b/>
          <w:bCs/>
          <w:szCs w:val="24"/>
          <w:lang w:val="es-ES"/>
        </w:rPr>
        <w:t xml:space="preserve">del Parlamento Europeo </w:t>
      </w:r>
      <w:r w:rsidRPr="00CB12B7">
        <w:rPr>
          <w:rFonts w:eastAsia="Calibri"/>
          <w:b/>
          <w:bCs/>
          <w:szCs w:val="24"/>
          <w:lang w:val="es-ES"/>
        </w:rPr>
        <w:t>ap</w:t>
      </w:r>
      <w:r w:rsidR="003E26A8" w:rsidRPr="00CB12B7">
        <w:rPr>
          <w:rFonts w:eastAsia="Calibri"/>
          <w:b/>
          <w:bCs/>
          <w:szCs w:val="24"/>
          <w:lang w:val="es-ES"/>
        </w:rPr>
        <w:t>robada en primera l</w:t>
      </w:r>
      <w:r w:rsidRPr="00CB12B7">
        <w:rPr>
          <w:rFonts w:eastAsia="Calibri"/>
          <w:b/>
          <w:bCs/>
          <w:szCs w:val="24"/>
          <w:lang w:val="es-ES"/>
        </w:rPr>
        <w:t>e</w:t>
      </w:r>
      <w:r w:rsidR="003E26A8" w:rsidRPr="00CB12B7">
        <w:rPr>
          <w:rFonts w:eastAsia="Calibri"/>
          <w:b/>
          <w:bCs/>
          <w:szCs w:val="24"/>
          <w:lang w:val="es-ES"/>
        </w:rPr>
        <w:t>ctura el</w:t>
      </w:r>
      <w:r w:rsidRPr="00CB12B7">
        <w:rPr>
          <w:rFonts w:eastAsia="Calibri"/>
          <w:b/>
          <w:bCs/>
          <w:szCs w:val="24"/>
          <w:lang w:val="es-ES"/>
        </w:rPr>
        <w:t xml:space="preserve"> 19 </w:t>
      </w:r>
      <w:r w:rsidR="008A6392">
        <w:rPr>
          <w:rFonts w:eastAsia="Calibri"/>
          <w:b/>
          <w:bCs/>
          <w:szCs w:val="24"/>
          <w:lang w:val="es-ES"/>
        </w:rPr>
        <w:t xml:space="preserve">de </w:t>
      </w:r>
      <w:r w:rsidR="003E26A8" w:rsidRPr="00CB12B7">
        <w:rPr>
          <w:rFonts w:eastAsia="Calibri"/>
          <w:b/>
          <w:bCs/>
          <w:szCs w:val="24"/>
          <w:lang w:val="es-ES"/>
        </w:rPr>
        <w:t>m</w:t>
      </w:r>
      <w:r w:rsidRPr="00CB12B7">
        <w:rPr>
          <w:rFonts w:eastAsia="Calibri"/>
          <w:b/>
          <w:bCs/>
          <w:szCs w:val="24"/>
          <w:lang w:val="es-ES"/>
        </w:rPr>
        <w:t>ay</w:t>
      </w:r>
      <w:r w:rsidR="003E26A8" w:rsidRPr="00CB12B7">
        <w:rPr>
          <w:rFonts w:eastAsia="Calibri"/>
          <w:b/>
          <w:bCs/>
          <w:szCs w:val="24"/>
          <w:lang w:val="es-ES"/>
        </w:rPr>
        <w:t>o</w:t>
      </w:r>
      <w:r w:rsidRPr="00CB12B7">
        <w:rPr>
          <w:rFonts w:eastAsia="Calibri"/>
          <w:b/>
          <w:bCs/>
          <w:szCs w:val="24"/>
          <w:lang w:val="es-ES"/>
        </w:rPr>
        <w:t xml:space="preserve"> </w:t>
      </w:r>
      <w:r w:rsidR="003E26A8" w:rsidRPr="00CB12B7">
        <w:rPr>
          <w:rFonts w:eastAsia="Calibri"/>
          <w:b/>
          <w:bCs/>
          <w:szCs w:val="24"/>
          <w:lang w:val="es-ES"/>
        </w:rPr>
        <w:t xml:space="preserve">de </w:t>
      </w:r>
      <w:r w:rsidRPr="00CB12B7">
        <w:rPr>
          <w:rFonts w:eastAsia="Calibri"/>
          <w:b/>
          <w:bCs/>
          <w:szCs w:val="24"/>
          <w:lang w:val="es-ES"/>
        </w:rPr>
        <w:t xml:space="preserve">2026 </w:t>
      </w:r>
      <w:r w:rsidR="003E26A8" w:rsidRPr="00CB12B7">
        <w:rPr>
          <w:rFonts w:eastAsia="Calibri"/>
          <w:b/>
          <w:bCs/>
          <w:szCs w:val="24"/>
          <w:lang w:val="es-ES"/>
        </w:rPr>
        <w:t xml:space="preserve">con </w:t>
      </w:r>
      <w:r w:rsidRPr="00CB12B7">
        <w:rPr>
          <w:rFonts w:eastAsia="Calibri"/>
          <w:b/>
          <w:bCs/>
          <w:szCs w:val="24"/>
          <w:lang w:val="es-ES"/>
        </w:rPr>
        <w:t>vi</w:t>
      </w:r>
      <w:r w:rsidR="003E26A8" w:rsidRPr="00CB12B7">
        <w:rPr>
          <w:rFonts w:eastAsia="Calibri"/>
          <w:b/>
          <w:bCs/>
          <w:szCs w:val="24"/>
          <w:lang w:val="es-ES"/>
        </w:rPr>
        <w:t>stas a</w:t>
      </w:r>
      <w:r w:rsidRPr="00CB12B7">
        <w:rPr>
          <w:rFonts w:eastAsia="Calibri"/>
          <w:b/>
          <w:bCs/>
          <w:szCs w:val="24"/>
          <w:lang w:val="es-ES"/>
        </w:rPr>
        <w:t xml:space="preserve"> </w:t>
      </w:r>
      <w:r w:rsidR="003E26A8" w:rsidRPr="00CB12B7">
        <w:rPr>
          <w:rFonts w:eastAsia="Calibri"/>
          <w:b/>
          <w:bCs/>
          <w:szCs w:val="24"/>
          <w:lang w:val="es-ES"/>
        </w:rPr>
        <w:t xml:space="preserve">la </w:t>
      </w:r>
      <w:r w:rsidRPr="00CB12B7">
        <w:rPr>
          <w:rFonts w:eastAsia="Calibri"/>
          <w:b/>
          <w:bCs/>
          <w:szCs w:val="24"/>
          <w:lang w:val="es-ES"/>
        </w:rPr>
        <w:t>adop</w:t>
      </w:r>
      <w:r w:rsidR="003E26A8" w:rsidRPr="00CB12B7">
        <w:rPr>
          <w:rFonts w:eastAsia="Calibri"/>
          <w:b/>
          <w:bCs/>
          <w:szCs w:val="24"/>
          <w:lang w:val="es-ES"/>
        </w:rPr>
        <w:t>c</w:t>
      </w:r>
      <w:r w:rsidRPr="00CB12B7">
        <w:rPr>
          <w:rFonts w:eastAsia="Calibri"/>
          <w:b/>
          <w:bCs/>
          <w:szCs w:val="24"/>
          <w:lang w:val="es-ES"/>
        </w:rPr>
        <w:t>i</w:t>
      </w:r>
      <w:r w:rsidR="003E26A8" w:rsidRPr="00CB12B7">
        <w:rPr>
          <w:rFonts w:eastAsia="Calibri"/>
          <w:b/>
          <w:bCs/>
          <w:szCs w:val="24"/>
          <w:lang w:val="es-ES"/>
        </w:rPr>
        <w:t>ó</w:t>
      </w:r>
      <w:r w:rsidRPr="00CB12B7">
        <w:rPr>
          <w:rFonts w:eastAsia="Calibri"/>
          <w:b/>
          <w:bCs/>
          <w:szCs w:val="24"/>
          <w:lang w:val="es-ES"/>
        </w:rPr>
        <w:t xml:space="preserve">n </w:t>
      </w:r>
      <w:r w:rsidR="003E26A8" w:rsidRPr="00CB12B7">
        <w:rPr>
          <w:rFonts w:eastAsia="Calibri"/>
          <w:b/>
          <w:bCs/>
          <w:szCs w:val="24"/>
          <w:lang w:val="es-ES"/>
        </w:rPr>
        <w:t xml:space="preserve">del </w:t>
      </w:r>
      <w:r w:rsidRPr="00CB12B7">
        <w:rPr>
          <w:rFonts w:eastAsia="Calibri"/>
          <w:b/>
          <w:bCs/>
          <w:szCs w:val="24"/>
          <w:lang w:val="es-ES"/>
        </w:rPr>
        <w:t>Regla</w:t>
      </w:r>
      <w:r w:rsidR="003E26A8" w:rsidRPr="00CB12B7">
        <w:rPr>
          <w:rFonts w:eastAsia="Calibri"/>
          <w:b/>
          <w:bCs/>
          <w:szCs w:val="24"/>
          <w:lang w:val="es-ES"/>
        </w:rPr>
        <w:t>men</w:t>
      </w:r>
      <w:r w:rsidRPr="00CB12B7">
        <w:rPr>
          <w:rFonts w:eastAsia="Calibri"/>
          <w:b/>
          <w:bCs/>
          <w:szCs w:val="24"/>
          <w:lang w:val="es-ES"/>
        </w:rPr>
        <w:t>to (</w:t>
      </w:r>
      <w:r w:rsidR="003E26A8" w:rsidRPr="00CB12B7">
        <w:rPr>
          <w:rFonts w:eastAsia="Calibri"/>
          <w:b/>
          <w:bCs/>
          <w:szCs w:val="24"/>
          <w:lang w:val="es-ES"/>
        </w:rPr>
        <w:t>UE</w:t>
      </w:r>
      <w:r w:rsidRPr="00CB12B7">
        <w:rPr>
          <w:rFonts w:eastAsia="Calibri"/>
          <w:b/>
          <w:bCs/>
          <w:szCs w:val="24"/>
          <w:lang w:val="es-ES"/>
        </w:rPr>
        <w:t xml:space="preserve">) 2026/… </w:t>
      </w:r>
      <w:r w:rsidR="003E26A8" w:rsidRPr="00CB12B7">
        <w:rPr>
          <w:rFonts w:eastAsia="Calibri"/>
          <w:b/>
          <w:bCs/>
          <w:szCs w:val="24"/>
          <w:lang w:val="es-ES"/>
        </w:rPr>
        <w:t xml:space="preserve">del </w:t>
      </w:r>
      <w:bookmarkStart w:id="7" w:name="_DV_M1"/>
      <w:bookmarkStart w:id="8" w:name="_DV_M2"/>
      <w:bookmarkEnd w:id="7"/>
      <w:bookmarkEnd w:id="8"/>
      <w:r w:rsidR="003E26A8" w:rsidRPr="00CB12B7">
        <w:rPr>
          <w:b/>
          <w:szCs w:val="24"/>
        </w:rPr>
        <w:t>Parlamento Europeo y del Consejo relativ</w:t>
      </w:r>
      <w:r w:rsidR="00ED3091">
        <w:rPr>
          <w:b/>
          <w:szCs w:val="24"/>
        </w:rPr>
        <w:t>o</w:t>
      </w:r>
      <w:r w:rsidR="003E26A8" w:rsidRPr="00CB12B7">
        <w:rPr>
          <w:b/>
          <w:szCs w:val="24"/>
        </w:rPr>
        <w:t xml:space="preserve"> a l</w:t>
      </w:r>
      <w:r w:rsidR="003E26A8" w:rsidRPr="00CB12B7">
        <w:rPr>
          <w:b/>
          <w:szCs w:val="24"/>
          <w:lang w:eastAsia="en-US"/>
        </w:rPr>
        <w:t xml:space="preserve">os efectos negativos relacionados con el comercio del exceso de capacidad mundial en el mercado siderúrgico de la </w:t>
      </w:r>
      <w:r w:rsidR="003E26A8" w:rsidRPr="00ED3091">
        <w:rPr>
          <w:b/>
          <w:szCs w:val="24"/>
          <w:lang w:eastAsia="en-US"/>
        </w:rPr>
        <w:t>Unión y por el que se modifica el Reglamento (UE) 2020/2170</w:t>
      </w:r>
    </w:p>
    <w:p w14:paraId="1720D637" w14:textId="05BB2739" w:rsidR="00ED3091" w:rsidRPr="00242CFA" w:rsidRDefault="00ED3091" w:rsidP="00ED3091">
      <w:pPr>
        <w:pStyle w:val="normal12hanging"/>
        <w:spacing w:before="240" w:beforeAutospacing="0" w:after="240" w:afterAutospacing="0"/>
        <w:ind w:firstLine="6"/>
        <w:rPr>
          <w:lang w:val="es-ES"/>
        </w:rPr>
      </w:pPr>
      <w:r>
        <w:rPr>
          <w:i/>
          <w:lang w:val="es-ES_tradnl"/>
        </w:rPr>
        <w:t>(Dado que el Parlamento Europeo y el Consejo llegaron a un acuerdo, la posición del Parlamento coincide con el texto del acto legislativo definitivo</w:t>
      </w:r>
      <w:r w:rsidRPr="00ED3091">
        <w:rPr>
          <w:i/>
          <w:lang w:val="es-ES_tradnl"/>
        </w:rPr>
        <w:t>, el Reglamento (UE) 2026/</w:t>
      </w:r>
      <w:r w:rsidRPr="00ED3091">
        <w:rPr>
          <w:i/>
          <w:lang w:val="es-ES_tradnl"/>
        </w:rPr>
        <w:t>1384</w:t>
      </w:r>
      <w:r w:rsidRPr="00ED3091">
        <w:rPr>
          <w:i/>
          <w:lang w:val="es-ES_tradnl"/>
        </w:rPr>
        <w:t>.)</w:t>
      </w:r>
    </w:p>
    <w:p w14:paraId="41BBC22E" w14:textId="015E3B98" w:rsidR="005718AD" w:rsidRPr="00ED3091" w:rsidRDefault="005718AD" w:rsidP="005718AD">
      <w:pPr>
        <w:widowControl/>
        <w:spacing w:before="120" w:after="120" w:line="360" w:lineRule="auto"/>
        <w:rPr>
          <w:szCs w:val="24"/>
          <w:lang w:val="es-ES" w:eastAsia="en-US"/>
        </w:rPr>
        <w:sectPr w:rsidR="005718AD" w:rsidRPr="00ED3091" w:rsidSect="00C0175E">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88A759C" w14:textId="4F622F01" w:rsidR="005718AD" w:rsidRPr="00CB12B7" w:rsidRDefault="005718AD" w:rsidP="005718AD">
      <w:pPr>
        <w:widowControl/>
        <w:spacing w:before="120" w:after="120" w:line="360" w:lineRule="auto"/>
        <w:jc w:val="right"/>
        <w:rPr>
          <w:szCs w:val="24"/>
          <w:lang w:eastAsia="en-US"/>
        </w:rPr>
      </w:pPr>
      <w:r w:rsidRPr="00CB12B7">
        <w:rPr>
          <w:szCs w:val="24"/>
          <w:lang w:eastAsia="en-US"/>
        </w:rPr>
        <w:lastRenderedPageBreak/>
        <w:t xml:space="preserve">ANEXO A LA RESOLUCIÓN LEGISLATIVA </w:t>
      </w:r>
    </w:p>
    <w:p w14:paraId="69D03429" w14:textId="367A83FA" w:rsidR="005718AD" w:rsidRPr="00CB12B7" w:rsidRDefault="005718AD" w:rsidP="005718AD">
      <w:pPr>
        <w:spacing w:after="240"/>
        <w:jc w:val="both"/>
        <w:rPr>
          <w:b/>
          <w:bCs/>
        </w:rPr>
      </w:pPr>
      <w:r w:rsidRPr="00CB12B7">
        <w:rPr>
          <w:b/>
        </w:rPr>
        <w:t>Declaración común del Parlamento Europeo, el Consejo y la Comisión sobre la importación de productos siderúrgicos de Rusia</w:t>
      </w:r>
    </w:p>
    <w:p w14:paraId="736E093E" w14:textId="77777777" w:rsidR="005718AD" w:rsidRPr="00CB12B7" w:rsidRDefault="005718AD" w:rsidP="00862658">
      <w:pPr>
        <w:spacing w:after="240"/>
      </w:pPr>
      <w:r w:rsidRPr="00CB12B7">
        <w:t>Desde el inicio de la guerra, la Unión y sus Estados miembros han adoptado medidas sin precedentes para reducir las dependencias económicas de Rusia y velar por que la actividad económica de la Unión no contribuya a sostener el esfuerzo bélico de Rusia.</w:t>
      </w:r>
    </w:p>
    <w:p w14:paraId="5F65957E" w14:textId="77777777" w:rsidR="005718AD" w:rsidRPr="00CB12B7" w:rsidRDefault="005718AD" w:rsidP="00862658">
      <w:pPr>
        <w:spacing w:after="240"/>
      </w:pPr>
      <w:r w:rsidRPr="00CB12B7">
        <w:t>Estas medidas han reducido significativamente los flujos comerciales en una amplia gama de sectores, incluido el del acero, han acelerado la desvinculación y han contribuido a la resiliencia de la Unión, al tiempo que han demostrado la capacidad de la Unión para actuar de manera unida y decisiva cuando están en juego sus valores e intereses estratégicos.</w:t>
      </w:r>
    </w:p>
    <w:p w14:paraId="5724FA48" w14:textId="77777777" w:rsidR="005718AD" w:rsidRPr="00CB12B7" w:rsidRDefault="005718AD" w:rsidP="00862658">
      <w:pPr>
        <w:spacing w:after="240"/>
      </w:pPr>
      <w:r w:rsidRPr="00CB12B7">
        <w:t>Al mismo tiempo, la Unión debe seguir prestando atención a aquellos ámbitos en los que persisten las dependencias, en particular en lo que se refiere a determinados productos siderúrgicos cuya importación aún no está totalmente prohibida.</w:t>
      </w:r>
    </w:p>
    <w:p w14:paraId="40A2917F" w14:textId="77777777" w:rsidR="005718AD" w:rsidRPr="00CB12B7" w:rsidRDefault="005718AD" w:rsidP="00862658">
      <w:pPr>
        <w:spacing w:after="240"/>
      </w:pPr>
      <w:r w:rsidRPr="00CB12B7">
        <w:t>En particular, se mantienen algunas importaciones limitadas procedentes de Rusia en el sector siderúrgico hasta el 30 de septiembre de 2028, de conformidad con las disposiciones transitorias establecidas en las medidas restrictivas pertinentes adoptadas por el Consejo</w:t>
      </w:r>
      <w:r w:rsidRPr="00CB12B7">
        <w:rPr>
          <w:vertAlign w:val="superscript"/>
        </w:rPr>
        <w:footnoteReference w:id="1"/>
      </w:r>
      <w:r w:rsidRPr="00CB12B7">
        <w:t>. Para garantizar una diversificación progresiva y constante, estas importaciones están limitadas por contingentes cuyos volúmenes disminuyen anualmente.</w:t>
      </w:r>
    </w:p>
    <w:p w14:paraId="35C5FF50" w14:textId="76CD7957" w:rsidR="005718AD" w:rsidRPr="00CB12B7" w:rsidRDefault="005718AD" w:rsidP="00862658">
      <w:pPr>
        <w:spacing w:after="240"/>
        <w:rPr>
          <w:lang w:val="es-ES"/>
        </w:rPr>
      </w:pPr>
      <w:r w:rsidRPr="00CB12B7">
        <w:t>Al tiempo que recuerda el marco institucional aplicable a las medidas restrictivas, el Parlamento Europeo, el Consejo y la Comisión destacan que las medidas restrictivas pertinentes adoptadas por el Consejo sustentan una trayectoria hacia la eliminación completa de las importaciones restantes de productos siderúrgicos rusos, en particular los desbastes de acero, a más tardar el 30 de septiembre de 2028.</w:t>
      </w:r>
    </w:p>
    <w:sectPr w:rsidR="005718AD" w:rsidRPr="00CB12B7" w:rsidSect="00C0175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98411" w14:textId="77777777" w:rsidR="00EF7281" w:rsidRPr="00C0175E" w:rsidRDefault="00EF7281">
      <w:r w:rsidRPr="00C0175E">
        <w:separator/>
      </w:r>
    </w:p>
  </w:endnote>
  <w:endnote w:type="continuationSeparator" w:id="0">
    <w:p w14:paraId="00A5F385" w14:textId="77777777" w:rsidR="00EF7281" w:rsidRPr="00C0175E" w:rsidRDefault="00EF7281">
      <w:r w:rsidRPr="00C017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AFEB8" w14:textId="77777777" w:rsidR="00044A1A" w:rsidRPr="003A5949" w:rsidRDefault="00044A1A">
    <w:pPr>
      <w:pStyle w:val="Footer1"/>
    </w:pPr>
    <w:r w:rsidRPr="003A5949">
      <w:rPr>
        <w:rStyle w:val="Footer2"/>
      </w:rPr>
      <w:t>ES</w:t>
    </w:r>
    <w:r w:rsidRPr="003A5949">
      <w:tab/>
    </w:r>
    <w:r w:rsidRPr="003A5949">
      <w:fldChar w:fldCharType="begin"/>
    </w:r>
    <w:r w:rsidRPr="003A5949">
      <w:instrText xml:space="preserve"> PAGE </w:instrText>
    </w:r>
    <w:r w:rsidRPr="003A5949">
      <w:fldChar w:fldCharType="separate"/>
    </w:r>
    <w:r w:rsidRPr="003A5949">
      <w:rPr>
        <w:noProof/>
      </w:rPr>
      <w:t>1</w:t>
    </w:r>
    <w:r w:rsidRPr="003A5949">
      <w:fldChar w:fldCharType="end"/>
    </w:r>
    <w:r w:rsidRPr="003A5949">
      <w:tab/>
    </w:r>
    <w:r w:rsidRPr="003A5949">
      <w:rPr>
        <w:rStyle w:val="Footer2"/>
      </w:rPr>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70479" w14:textId="0BC92EDD" w:rsidR="00044A1A" w:rsidRPr="00862658" w:rsidRDefault="00044A1A" w:rsidP="003A5949">
    <w:pPr>
      <w:pStyle w:val="EPFooter2"/>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FCE3B" w14:textId="77777777" w:rsidR="00044A1A" w:rsidRPr="003A5949" w:rsidRDefault="00044A1A">
    <w:pPr>
      <w:pStyle w:val="Footer1"/>
    </w:pPr>
    <w:r w:rsidRPr="003A5949">
      <w:rPr>
        <w:rStyle w:val="Footer2"/>
      </w:rPr>
      <w:t>ES</w:t>
    </w:r>
    <w:r w:rsidRPr="003A5949">
      <w:tab/>
    </w:r>
    <w:r w:rsidRPr="003A5949">
      <w:fldChar w:fldCharType="begin"/>
    </w:r>
    <w:r w:rsidRPr="003A5949">
      <w:instrText xml:space="preserve"> PAGE </w:instrText>
    </w:r>
    <w:r w:rsidRPr="003A5949">
      <w:fldChar w:fldCharType="separate"/>
    </w:r>
    <w:r w:rsidRPr="003A5949">
      <w:rPr>
        <w:noProof/>
      </w:rPr>
      <w:t>1</w:t>
    </w:r>
    <w:r w:rsidRPr="003A5949">
      <w:fldChar w:fldCharType="end"/>
    </w:r>
    <w:r w:rsidRPr="003A5949">
      <w:tab/>
    </w:r>
    <w:r w:rsidRPr="003A5949">
      <w:rPr>
        <w:rStyle w:val="Footer2"/>
      </w:rPr>
      <w: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BD254" w14:textId="77777777" w:rsidR="00064002" w:rsidRPr="00C0175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F5AA5" w14:textId="77777777" w:rsidR="00064002" w:rsidRPr="00C0175E"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90FA9" w14:textId="77777777" w:rsidR="00064002" w:rsidRPr="00C017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753E6" w14:textId="77777777" w:rsidR="00EF7281" w:rsidRPr="00C0175E" w:rsidRDefault="00EF7281">
      <w:r w:rsidRPr="00C0175E">
        <w:separator/>
      </w:r>
    </w:p>
  </w:footnote>
  <w:footnote w:type="continuationSeparator" w:id="0">
    <w:p w14:paraId="53D58839" w14:textId="77777777" w:rsidR="00EF7281" w:rsidRPr="00C0175E" w:rsidRDefault="00EF7281">
      <w:r w:rsidRPr="00C0175E">
        <w:continuationSeparator/>
      </w:r>
    </w:p>
  </w:footnote>
  <w:footnote w:id="1">
    <w:p w14:paraId="6A64FD4D" w14:textId="63E4F4D8" w:rsidR="005718AD" w:rsidRPr="00862658" w:rsidRDefault="005718AD" w:rsidP="005718AD">
      <w:pPr>
        <w:pStyle w:val="FootnoteText"/>
        <w:ind w:left="567" w:hanging="567"/>
        <w:rPr>
          <w:sz w:val="24"/>
          <w:szCs w:val="24"/>
          <w:lang w:val="es-ES"/>
        </w:rPr>
      </w:pPr>
      <w:r>
        <w:rPr>
          <w:rStyle w:val="FootnoteReference"/>
        </w:rPr>
        <w:footnoteRef/>
      </w:r>
      <w:r w:rsidRPr="00862658">
        <w:rPr>
          <w:lang w:val="es-ES"/>
        </w:rPr>
        <w:t xml:space="preserve"> </w:t>
      </w:r>
      <w:r w:rsidRPr="00862658">
        <w:rPr>
          <w:lang w:val="es-ES"/>
        </w:rPr>
        <w:tab/>
      </w:r>
      <w:r w:rsidRPr="00862658">
        <w:rPr>
          <w:sz w:val="24"/>
          <w:szCs w:val="24"/>
          <w:lang w:val="es-ES"/>
        </w:rPr>
        <w:t xml:space="preserve">Decisión 2014/512/PESC del </w:t>
      </w:r>
      <w:r w:rsidRPr="00ED3091">
        <w:rPr>
          <w:sz w:val="24"/>
          <w:szCs w:val="24"/>
          <w:lang w:val="es-ES"/>
        </w:rPr>
        <w:t>Consejo, de 31 de julio de 2014, relativa a medidas restrictivas motivadas por acciones de Rusia que desestabilizan la situación en Ucrania</w:t>
      </w:r>
      <w:r w:rsidR="00ED3091" w:rsidRPr="00ED3091">
        <w:rPr>
          <w:sz w:val="24"/>
          <w:szCs w:val="24"/>
          <w:lang w:val="es-ES"/>
        </w:rPr>
        <w:t xml:space="preserve"> </w:t>
      </w:r>
      <w:r w:rsidR="00ED3091" w:rsidRPr="00ED3091">
        <w:rPr>
          <w:sz w:val="24"/>
          <w:szCs w:val="24"/>
          <w:lang w:val="es-ES"/>
        </w:rPr>
        <w:t>(</w:t>
      </w:r>
      <w:r w:rsidR="00ED3091" w:rsidRPr="00ED3091">
        <w:rPr>
          <w:sz w:val="24"/>
          <w:szCs w:val="24"/>
          <w:lang w:val="es-ES"/>
        </w:rPr>
        <w:t>DO</w:t>
      </w:r>
      <w:r w:rsidR="00ED3091" w:rsidRPr="00ED3091">
        <w:rPr>
          <w:sz w:val="24"/>
          <w:szCs w:val="24"/>
          <w:lang w:val="es-ES"/>
        </w:rPr>
        <w:t xml:space="preserve"> L 229</w:t>
      </w:r>
      <w:r w:rsidR="00ED3091" w:rsidRPr="00ED3091">
        <w:rPr>
          <w:sz w:val="24"/>
          <w:szCs w:val="24"/>
          <w:lang w:val="es-ES"/>
        </w:rPr>
        <w:t xml:space="preserve"> de</w:t>
      </w:r>
      <w:r w:rsidR="00ED3091" w:rsidRPr="00ED3091">
        <w:rPr>
          <w:sz w:val="24"/>
          <w:szCs w:val="24"/>
          <w:lang w:val="es-ES"/>
        </w:rPr>
        <w:t xml:space="preserve"> 31.7.2014, p. 13, ELI: </w:t>
      </w:r>
      <w:hyperlink r:id="rId1" w:history="1">
        <w:r w:rsidR="00ED3091" w:rsidRPr="00ED3091">
          <w:rPr>
            <w:rStyle w:val="Hyperlink"/>
            <w:sz w:val="24"/>
            <w:szCs w:val="24"/>
            <w:lang w:val="es-ES"/>
          </w:rPr>
          <w:t>http://data.europa.eu/eli/dec/2014/512/oj</w:t>
        </w:r>
      </w:hyperlink>
      <w:r w:rsidR="00ED3091" w:rsidRPr="00ED3091">
        <w:rPr>
          <w:sz w:val="24"/>
          <w:szCs w:val="24"/>
          <w:lang w:val="es-ES"/>
        </w:rPr>
        <w:t>)</w:t>
      </w:r>
      <w:r w:rsidRPr="00ED3091">
        <w:rPr>
          <w:sz w:val="24"/>
          <w:szCs w:val="24"/>
          <w:lang w:val="es-ES"/>
        </w:rPr>
        <w:t>, y el Reglamento (UE) n.º 833/2014 del Consejo, de 31 de julio de 2014, relativo a medidas restrictivas motivadas por acciones de Rusia que desestabilizan la situación en Ucrania</w:t>
      </w:r>
      <w:r w:rsidR="00ED3091" w:rsidRPr="00ED3091">
        <w:rPr>
          <w:sz w:val="24"/>
          <w:szCs w:val="24"/>
          <w:lang w:val="es-ES"/>
        </w:rPr>
        <w:t xml:space="preserve"> </w:t>
      </w:r>
      <w:r w:rsidR="00ED3091" w:rsidRPr="00ED3091">
        <w:rPr>
          <w:sz w:val="24"/>
          <w:szCs w:val="24"/>
          <w:lang w:val="es-ES"/>
        </w:rPr>
        <w:t>(</w:t>
      </w:r>
      <w:r w:rsidR="00ED3091" w:rsidRPr="00ED3091">
        <w:rPr>
          <w:sz w:val="24"/>
          <w:szCs w:val="24"/>
          <w:lang w:val="es-ES"/>
        </w:rPr>
        <w:t>DO</w:t>
      </w:r>
      <w:r w:rsidR="00ED3091" w:rsidRPr="00ED3091">
        <w:rPr>
          <w:sz w:val="24"/>
          <w:szCs w:val="24"/>
          <w:lang w:val="es-ES"/>
        </w:rPr>
        <w:t xml:space="preserve"> L 229</w:t>
      </w:r>
      <w:r w:rsidR="00ED3091" w:rsidRPr="00ED3091">
        <w:rPr>
          <w:sz w:val="24"/>
          <w:szCs w:val="24"/>
          <w:lang w:val="es-ES"/>
        </w:rPr>
        <w:t xml:space="preserve"> de</w:t>
      </w:r>
      <w:r w:rsidR="00ED3091" w:rsidRPr="00ED3091">
        <w:rPr>
          <w:sz w:val="24"/>
          <w:szCs w:val="24"/>
          <w:lang w:val="es-ES"/>
        </w:rPr>
        <w:t xml:space="preserve"> 31.7.2014, p. 1, ELI: </w:t>
      </w:r>
      <w:hyperlink r:id="rId2" w:history="1">
        <w:r w:rsidR="00ED3091" w:rsidRPr="00ED3091">
          <w:rPr>
            <w:rStyle w:val="Hyperlink"/>
            <w:sz w:val="24"/>
            <w:szCs w:val="24"/>
            <w:lang w:val="es-ES"/>
          </w:rPr>
          <w:t>http://data.europa.eu/eli/reg/2014/833/oj</w:t>
        </w:r>
      </w:hyperlink>
      <w:r w:rsidR="00ED3091" w:rsidRPr="00ED3091">
        <w:rPr>
          <w:sz w:val="24"/>
          <w:szCs w:val="24"/>
          <w:lang w:val="es-ES"/>
        </w:rPr>
        <w:t>)</w:t>
      </w:r>
      <w:r w:rsidRPr="00ED3091">
        <w:rPr>
          <w:sz w:val="24"/>
          <w:szCs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8D63C" w14:textId="77777777" w:rsidR="00064002" w:rsidRPr="00C0175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2514A" w14:textId="77777777" w:rsidR="00064002" w:rsidRPr="00C0175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B827" w14:textId="77777777" w:rsidR="00064002" w:rsidRPr="00C017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3C77951"/>
    <w:multiLevelType w:val="hybridMultilevel"/>
    <w:tmpl w:val="CF046FD2"/>
    <w:lvl w:ilvl="0" w:tplc="A01AB35E">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A7E22836">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F5CE9F18">
      <w:numFmt w:val="bullet"/>
      <w:lvlText w:val="•"/>
      <w:lvlJc w:val="left"/>
      <w:pPr>
        <w:ind w:left="2402" w:hanging="567"/>
      </w:pPr>
      <w:rPr>
        <w:lang w:val="en-US" w:eastAsia="en-US" w:bidi="ar-SA"/>
      </w:rPr>
    </w:lvl>
    <w:lvl w:ilvl="3" w:tplc="041AA04E">
      <w:numFmt w:val="bullet"/>
      <w:lvlText w:val="•"/>
      <w:lvlJc w:val="left"/>
      <w:pPr>
        <w:ind w:left="3265" w:hanging="567"/>
      </w:pPr>
      <w:rPr>
        <w:lang w:val="en-US" w:eastAsia="en-US" w:bidi="ar-SA"/>
      </w:rPr>
    </w:lvl>
    <w:lvl w:ilvl="4" w:tplc="8332B84E">
      <w:numFmt w:val="bullet"/>
      <w:lvlText w:val="•"/>
      <w:lvlJc w:val="left"/>
      <w:pPr>
        <w:ind w:left="4128" w:hanging="567"/>
      </w:pPr>
      <w:rPr>
        <w:lang w:val="en-US" w:eastAsia="en-US" w:bidi="ar-SA"/>
      </w:rPr>
    </w:lvl>
    <w:lvl w:ilvl="5" w:tplc="FE26B150">
      <w:numFmt w:val="bullet"/>
      <w:lvlText w:val="•"/>
      <w:lvlJc w:val="left"/>
      <w:pPr>
        <w:ind w:left="4991" w:hanging="567"/>
      </w:pPr>
      <w:rPr>
        <w:lang w:val="en-US" w:eastAsia="en-US" w:bidi="ar-SA"/>
      </w:rPr>
    </w:lvl>
    <w:lvl w:ilvl="6" w:tplc="CFF0D94A">
      <w:numFmt w:val="bullet"/>
      <w:lvlText w:val="•"/>
      <w:lvlJc w:val="left"/>
      <w:pPr>
        <w:ind w:left="5854" w:hanging="567"/>
      </w:pPr>
      <w:rPr>
        <w:lang w:val="en-US" w:eastAsia="en-US" w:bidi="ar-SA"/>
      </w:rPr>
    </w:lvl>
    <w:lvl w:ilvl="7" w:tplc="8214D7BE">
      <w:numFmt w:val="bullet"/>
      <w:lvlText w:val="•"/>
      <w:lvlJc w:val="left"/>
      <w:pPr>
        <w:ind w:left="6717" w:hanging="567"/>
      </w:pPr>
      <w:rPr>
        <w:lang w:val="en-US" w:eastAsia="en-US" w:bidi="ar-SA"/>
      </w:rPr>
    </w:lvl>
    <w:lvl w:ilvl="8" w:tplc="521ECC30">
      <w:numFmt w:val="bullet"/>
      <w:lvlText w:val="•"/>
      <w:lvlJc w:val="left"/>
      <w:pPr>
        <w:ind w:left="7580" w:hanging="567"/>
      </w:pPr>
      <w:rPr>
        <w:lang w:val="en-US" w:eastAsia="en-US" w:bidi="ar-SA"/>
      </w:rPr>
    </w:lvl>
  </w:abstractNum>
  <w:abstractNum w:abstractNumId="13" w15:restartNumberingAfterBreak="0">
    <w:nsid w:val="4D3C337A"/>
    <w:multiLevelType w:val="hybridMultilevel"/>
    <w:tmpl w:val="F398A9F8"/>
    <w:lvl w:ilvl="0" w:tplc="029A48EE">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32E0260C">
      <w:numFmt w:val="bullet"/>
      <w:lvlText w:val="•"/>
      <w:lvlJc w:val="left"/>
      <w:pPr>
        <w:ind w:left="1794" w:hanging="850"/>
      </w:pPr>
      <w:rPr>
        <w:lang w:val="en-US" w:eastAsia="en-US" w:bidi="ar-SA"/>
      </w:rPr>
    </w:lvl>
    <w:lvl w:ilvl="2" w:tplc="08D06176">
      <w:numFmt w:val="bullet"/>
      <w:lvlText w:val="•"/>
      <w:lvlJc w:val="left"/>
      <w:pPr>
        <w:ind w:left="2629" w:hanging="850"/>
      </w:pPr>
      <w:rPr>
        <w:lang w:val="en-US" w:eastAsia="en-US" w:bidi="ar-SA"/>
      </w:rPr>
    </w:lvl>
    <w:lvl w:ilvl="3" w:tplc="4B1260B6">
      <w:numFmt w:val="bullet"/>
      <w:lvlText w:val="•"/>
      <w:lvlJc w:val="left"/>
      <w:pPr>
        <w:ind w:left="3463" w:hanging="850"/>
      </w:pPr>
      <w:rPr>
        <w:lang w:val="en-US" w:eastAsia="en-US" w:bidi="ar-SA"/>
      </w:rPr>
    </w:lvl>
    <w:lvl w:ilvl="4" w:tplc="B6C05C70">
      <w:numFmt w:val="bullet"/>
      <w:lvlText w:val="•"/>
      <w:lvlJc w:val="left"/>
      <w:pPr>
        <w:ind w:left="4298" w:hanging="850"/>
      </w:pPr>
      <w:rPr>
        <w:lang w:val="en-US" w:eastAsia="en-US" w:bidi="ar-SA"/>
      </w:rPr>
    </w:lvl>
    <w:lvl w:ilvl="5" w:tplc="AB823E82">
      <w:numFmt w:val="bullet"/>
      <w:lvlText w:val="•"/>
      <w:lvlJc w:val="left"/>
      <w:pPr>
        <w:ind w:left="5133" w:hanging="850"/>
      </w:pPr>
      <w:rPr>
        <w:lang w:val="en-US" w:eastAsia="en-US" w:bidi="ar-SA"/>
      </w:rPr>
    </w:lvl>
    <w:lvl w:ilvl="6" w:tplc="53427C58">
      <w:numFmt w:val="bullet"/>
      <w:lvlText w:val="•"/>
      <w:lvlJc w:val="left"/>
      <w:pPr>
        <w:ind w:left="5967" w:hanging="850"/>
      </w:pPr>
      <w:rPr>
        <w:lang w:val="en-US" w:eastAsia="en-US" w:bidi="ar-SA"/>
      </w:rPr>
    </w:lvl>
    <w:lvl w:ilvl="7" w:tplc="BC9638E6">
      <w:numFmt w:val="bullet"/>
      <w:lvlText w:val="•"/>
      <w:lvlJc w:val="left"/>
      <w:pPr>
        <w:ind w:left="6802" w:hanging="850"/>
      </w:pPr>
      <w:rPr>
        <w:lang w:val="en-US" w:eastAsia="en-US" w:bidi="ar-SA"/>
      </w:rPr>
    </w:lvl>
    <w:lvl w:ilvl="8" w:tplc="32C2A3B4">
      <w:numFmt w:val="bullet"/>
      <w:lvlText w:val="•"/>
      <w:lvlJc w:val="left"/>
      <w:pPr>
        <w:ind w:left="7637" w:hanging="850"/>
      </w:pPr>
      <w:rPr>
        <w:lang w:val="en-US" w:eastAsia="en-US" w:bidi="ar-SA"/>
      </w:rPr>
    </w:lvl>
  </w:abstractNum>
  <w:abstractNum w:abstractNumId="14" w15:restartNumberingAfterBreak="0">
    <w:nsid w:val="60B67A4F"/>
    <w:multiLevelType w:val="hybridMultilevel"/>
    <w:tmpl w:val="F996A700"/>
    <w:lvl w:ilvl="0" w:tplc="D76CE62C">
      <w:start w:val="1"/>
      <w:numFmt w:val="decimal"/>
      <w:lvlText w:val="(%1)"/>
      <w:lvlJc w:val="left"/>
      <w:pPr>
        <w:ind w:left="824" w:hanging="708"/>
      </w:pPr>
      <w:rPr>
        <w:rFonts w:ascii="Times New Roman" w:eastAsia="Times New Roman" w:hAnsi="Times New Roman" w:cs="Times New Roman" w:hint="default"/>
        <w:b w:val="0"/>
        <w:bCs w:val="0"/>
        <w:i w:val="0"/>
        <w:iCs w:val="0"/>
        <w:spacing w:val="0"/>
        <w:w w:val="100"/>
        <w:sz w:val="24"/>
        <w:szCs w:val="24"/>
        <w:lang w:val="en-US" w:eastAsia="en-US" w:bidi="ar-SA"/>
      </w:rPr>
    </w:lvl>
    <w:lvl w:ilvl="1" w:tplc="E1286FDA">
      <w:numFmt w:val="bullet"/>
      <w:lvlText w:val="•"/>
      <w:lvlJc w:val="left"/>
      <w:pPr>
        <w:ind w:left="1668" w:hanging="708"/>
      </w:pPr>
      <w:rPr>
        <w:lang w:val="en-US" w:eastAsia="en-US" w:bidi="ar-SA"/>
      </w:rPr>
    </w:lvl>
    <w:lvl w:ilvl="2" w:tplc="9F5AC464">
      <w:numFmt w:val="bullet"/>
      <w:lvlText w:val="•"/>
      <w:lvlJc w:val="left"/>
      <w:pPr>
        <w:ind w:left="2517" w:hanging="708"/>
      </w:pPr>
      <w:rPr>
        <w:lang w:val="en-US" w:eastAsia="en-US" w:bidi="ar-SA"/>
      </w:rPr>
    </w:lvl>
    <w:lvl w:ilvl="3" w:tplc="B5842DF8">
      <w:numFmt w:val="bullet"/>
      <w:lvlText w:val="•"/>
      <w:lvlJc w:val="left"/>
      <w:pPr>
        <w:ind w:left="3365" w:hanging="708"/>
      </w:pPr>
      <w:rPr>
        <w:lang w:val="en-US" w:eastAsia="en-US" w:bidi="ar-SA"/>
      </w:rPr>
    </w:lvl>
    <w:lvl w:ilvl="4" w:tplc="0EE6F204">
      <w:numFmt w:val="bullet"/>
      <w:lvlText w:val="•"/>
      <w:lvlJc w:val="left"/>
      <w:pPr>
        <w:ind w:left="4214" w:hanging="708"/>
      </w:pPr>
      <w:rPr>
        <w:lang w:val="en-US" w:eastAsia="en-US" w:bidi="ar-SA"/>
      </w:rPr>
    </w:lvl>
    <w:lvl w:ilvl="5" w:tplc="250EFABE">
      <w:numFmt w:val="bullet"/>
      <w:lvlText w:val="•"/>
      <w:lvlJc w:val="left"/>
      <w:pPr>
        <w:ind w:left="5063" w:hanging="708"/>
      </w:pPr>
      <w:rPr>
        <w:lang w:val="en-US" w:eastAsia="en-US" w:bidi="ar-SA"/>
      </w:rPr>
    </w:lvl>
    <w:lvl w:ilvl="6" w:tplc="E8B6201A">
      <w:numFmt w:val="bullet"/>
      <w:lvlText w:val="•"/>
      <w:lvlJc w:val="left"/>
      <w:pPr>
        <w:ind w:left="5911" w:hanging="708"/>
      </w:pPr>
      <w:rPr>
        <w:lang w:val="en-US" w:eastAsia="en-US" w:bidi="ar-SA"/>
      </w:rPr>
    </w:lvl>
    <w:lvl w:ilvl="7" w:tplc="DDFCAE9E">
      <w:numFmt w:val="bullet"/>
      <w:lvlText w:val="•"/>
      <w:lvlJc w:val="left"/>
      <w:pPr>
        <w:ind w:left="6760" w:hanging="708"/>
      </w:pPr>
      <w:rPr>
        <w:lang w:val="en-US" w:eastAsia="en-US" w:bidi="ar-SA"/>
      </w:rPr>
    </w:lvl>
    <w:lvl w:ilvl="8" w:tplc="8C50543C">
      <w:numFmt w:val="bullet"/>
      <w:lvlText w:val="•"/>
      <w:lvlJc w:val="left"/>
      <w:pPr>
        <w:ind w:left="7609" w:hanging="708"/>
      </w:pPr>
      <w:rPr>
        <w:lang w:val="en-US" w:eastAsia="en-US" w:bidi="ar-SA"/>
      </w:rPr>
    </w:lvl>
  </w:abstractNum>
  <w:abstractNum w:abstractNumId="15" w15:restartNumberingAfterBreak="0">
    <w:nsid w:val="66D377C0"/>
    <w:multiLevelType w:val="hybridMultilevel"/>
    <w:tmpl w:val="898671CA"/>
    <w:lvl w:ilvl="0" w:tplc="CC44F418">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C6C27ECE">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1F929314">
      <w:numFmt w:val="bullet"/>
      <w:lvlText w:val="•"/>
      <w:lvlJc w:val="left"/>
      <w:pPr>
        <w:ind w:left="2402" w:hanging="567"/>
      </w:pPr>
      <w:rPr>
        <w:lang w:val="en-US" w:eastAsia="en-US" w:bidi="ar-SA"/>
      </w:rPr>
    </w:lvl>
    <w:lvl w:ilvl="3" w:tplc="C97C0D10">
      <w:numFmt w:val="bullet"/>
      <w:lvlText w:val="•"/>
      <w:lvlJc w:val="left"/>
      <w:pPr>
        <w:ind w:left="3265" w:hanging="567"/>
      </w:pPr>
      <w:rPr>
        <w:lang w:val="en-US" w:eastAsia="en-US" w:bidi="ar-SA"/>
      </w:rPr>
    </w:lvl>
    <w:lvl w:ilvl="4" w:tplc="7ADA8D5A">
      <w:numFmt w:val="bullet"/>
      <w:lvlText w:val="•"/>
      <w:lvlJc w:val="left"/>
      <w:pPr>
        <w:ind w:left="4128" w:hanging="567"/>
      </w:pPr>
      <w:rPr>
        <w:lang w:val="en-US" w:eastAsia="en-US" w:bidi="ar-SA"/>
      </w:rPr>
    </w:lvl>
    <w:lvl w:ilvl="5" w:tplc="278A335C">
      <w:numFmt w:val="bullet"/>
      <w:lvlText w:val="•"/>
      <w:lvlJc w:val="left"/>
      <w:pPr>
        <w:ind w:left="4991" w:hanging="567"/>
      </w:pPr>
      <w:rPr>
        <w:lang w:val="en-US" w:eastAsia="en-US" w:bidi="ar-SA"/>
      </w:rPr>
    </w:lvl>
    <w:lvl w:ilvl="6" w:tplc="AC08462E">
      <w:numFmt w:val="bullet"/>
      <w:lvlText w:val="•"/>
      <w:lvlJc w:val="left"/>
      <w:pPr>
        <w:ind w:left="5854" w:hanging="567"/>
      </w:pPr>
      <w:rPr>
        <w:lang w:val="en-US" w:eastAsia="en-US" w:bidi="ar-SA"/>
      </w:rPr>
    </w:lvl>
    <w:lvl w:ilvl="7" w:tplc="D93C5F1E">
      <w:numFmt w:val="bullet"/>
      <w:lvlText w:val="•"/>
      <w:lvlJc w:val="left"/>
      <w:pPr>
        <w:ind w:left="6717" w:hanging="567"/>
      </w:pPr>
      <w:rPr>
        <w:lang w:val="en-US" w:eastAsia="en-US" w:bidi="ar-SA"/>
      </w:rPr>
    </w:lvl>
    <w:lvl w:ilvl="8" w:tplc="90689206">
      <w:numFmt w:val="bullet"/>
      <w:lvlText w:val="•"/>
      <w:lvlJc w:val="left"/>
      <w:pPr>
        <w:ind w:left="7580" w:hanging="567"/>
      </w:pPr>
      <w:rPr>
        <w:lang w:val="en-US" w:eastAsia="en-US" w:bidi="ar-SA"/>
      </w:rPr>
    </w:lvl>
  </w:abstractNum>
  <w:num w:numId="1" w16cid:durableId="216089634">
    <w:abstractNumId w:val="9"/>
  </w:num>
  <w:num w:numId="2" w16cid:durableId="1560821789">
    <w:abstractNumId w:val="9"/>
  </w:num>
  <w:num w:numId="3" w16cid:durableId="1275402787">
    <w:abstractNumId w:val="7"/>
  </w:num>
  <w:num w:numId="4" w16cid:durableId="1285381331">
    <w:abstractNumId w:val="7"/>
  </w:num>
  <w:num w:numId="5" w16cid:durableId="1725375142">
    <w:abstractNumId w:val="6"/>
  </w:num>
  <w:num w:numId="6" w16cid:durableId="492571183">
    <w:abstractNumId w:val="6"/>
  </w:num>
  <w:num w:numId="7" w16cid:durableId="2047673880">
    <w:abstractNumId w:val="5"/>
  </w:num>
  <w:num w:numId="8" w16cid:durableId="1237012805">
    <w:abstractNumId w:val="5"/>
  </w:num>
  <w:num w:numId="9" w16cid:durableId="1450127630">
    <w:abstractNumId w:val="4"/>
  </w:num>
  <w:num w:numId="10" w16cid:durableId="1993295409">
    <w:abstractNumId w:val="4"/>
  </w:num>
  <w:num w:numId="11" w16cid:durableId="489564960">
    <w:abstractNumId w:val="8"/>
  </w:num>
  <w:num w:numId="12" w16cid:durableId="1978215529">
    <w:abstractNumId w:val="8"/>
  </w:num>
  <w:num w:numId="13" w16cid:durableId="1028988095">
    <w:abstractNumId w:val="3"/>
  </w:num>
  <w:num w:numId="14" w16cid:durableId="202523737">
    <w:abstractNumId w:val="3"/>
  </w:num>
  <w:num w:numId="15" w16cid:durableId="1216309222">
    <w:abstractNumId w:val="2"/>
  </w:num>
  <w:num w:numId="16" w16cid:durableId="611782765">
    <w:abstractNumId w:val="2"/>
  </w:num>
  <w:num w:numId="17" w16cid:durableId="160195876">
    <w:abstractNumId w:val="1"/>
  </w:num>
  <w:num w:numId="18" w16cid:durableId="1426414526">
    <w:abstractNumId w:val="1"/>
  </w:num>
  <w:num w:numId="19" w16cid:durableId="312298172">
    <w:abstractNumId w:val="0"/>
  </w:num>
  <w:num w:numId="20" w16cid:durableId="1831168129">
    <w:abstractNumId w:val="0"/>
  </w:num>
  <w:num w:numId="21" w16cid:durableId="587546124">
    <w:abstractNumId w:val="9"/>
  </w:num>
  <w:num w:numId="22" w16cid:durableId="954752811">
    <w:abstractNumId w:val="7"/>
  </w:num>
  <w:num w:numId="23" w16cid:durableId="1121463134">
    <w:abstractNumId w:val="6"/>
  </w:num>
  <w:num w:numId="24" w16cid:durableId="103502754">
    <w:abstractNumId w:val="5"/>
  </w:num>
  <w:num w:numId="25" w16cid:durableId="6173629">
    <w:abstractNumId w:val="4"/>
  </w:num>
  <w:num w:numId="26" w16cid:durableId="1560285317">
    <w:abstractNumId w:val="8"/>
  </w:num>
  <w:num w:numId="27" w16cid:durableId="59376314">
    <w:abstractNumId w:val="3"/>
  </w:num>
  <w:num w:numId="28" w16cid:durableId="1813134859">
    <w:abstractNumId w:val="2"/>
  </w:num>
  <w:num w:numId="29" w16cid:durableId="1897470100">
    <w:abstractNumId w:val="1"/>
  </w:num>
  <w:num w:numId="30" w16cid:durableId="907228600">
    <w:abstractNumId w:val="0"/>
  </w:num>
  <w:num w:numId="31" w16cid:durableId="145242316">
    <w:abstractNumId w:val="9"/>
  </w:num>
  <w:num w:numId="32" w16cid:durableId="2121757897">
    <w:abstractNumId w:val="7"/>
  </w:num>
  <w:num w:numId="33" w16cid:durableId="1626504350">
    <w:abstractNumId w:val="6"/>
  </w:num>
  <w:num w:numId="34" w16cid:durableId="91823099">
    <w:abstractNumId w:val="5"/>
  </w:num>
  <w:num w:numId="35" w16cid:durableId="1947303755">
    <w:abstractNumId w:val="4"/>
  </w:num>
  <w:num w:numId="36" w16cid:durableId="1171800411">
    <w:abstractNumId w:val="8"/>
  </w:num>
  <w:num w:numId="37" w16cid:durableId="1039210774">
    <w:abstractNumId w:val="3"/>
  </w:num>
  <w:num w:numId="38" w16cid:durableId="1834952835">
    <w:abstractNumId w:val="2"/>
  </w:num>
  <w:num w:numId="39" w16cid:durableId="520052403">
    <w:abstractNumId w:val="1"/>
  </w:num>
  <w:num w:numId="40" w16cid:durableId="823006116">
    <w:abstractNumId w:val="0"/>
  </w:num>
  <w:num w:numId="41" w16cid:durableId="1456681412">
    <w:abstractNumId w:val="10"/>
  </w:num>
  <w:num w:numId="42" w16cid:durableId="1502695138">
    <w:abstractNumId w:val="10"/>
  </w:num>
  <w:num w:numId="43" w16cid:durableId="982004302">
    <w:abstractNumId w:val="10"/>
  </w:num>
  <w:num w:numId="44" w16cid:durableId="1484813685">
    <w:abstractNumId w:val="11"/>
  </w:num>
  <w:num w:numId="45" w16cid:durableId="177623198">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46" w16cid:durableId="822936252">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47" w16cid:durableId="759564492">
    <w:abstractNumId w:val="13"/>
    <w:lvlOverride w:ilvl="0">
      <w:startOverride w:val="1"/>
    </w:lvlOverride>
    <w:lvlOverride w:ilvl="1"/>
    <w:lvlOverride w:ilvl="2"/>
    <w:lvlOverride w:ilvl="3"/>
    <w:lvlOverride w:ilvl="4"/>
    <w:lvlOverride w:ilvl="5"/>
    <w:lvlOverride w:ilvl="6"/>
    <w:lvlOverride w:ilvl="7"/>
    <w:lvlOverride w:ilvl="8"/>
  </w:num>
  <w:num w:numId="48" w16cid:durableId="1725374262">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ES"/>
    <w:docVar w:name="dvnumam" w:val="88"/>
    <w:docVar w:name="dvpe" w:val="779.727"/>
    <w:docVar w:name="dvrapporteur" w:val="Ponente: "/>
    <w:docVar w:name="dvstar" w:val="***I"/>
    <w:docVar w:name="dvtitre" w:val="Resolución legislativa del Parlamento Europeo, de19 de mayo de 2026, sobre la propuesta de Reglamento del Parlamento Europeo y del Consejo relativo a los efectos negativos relacionados con el comercio del exceso de capacidad mundial en el mercado siderúrgico de la Unión(COM(2025)0726 – C10-0245/2025 – 2025/0726(COD))"/>
  </w:docVars>
  <w:rsids>
    <w:rsidRoot w:val="00EF7281"/>
    <w:rsid w:val="00002272"/>
    <w:rsid w:val="00044A1A"/>
    <w:rsid w:val="00064002"/>
    <w:rsid w:val="000677B9"/>
    <w:rsid w:val="000831BA"/>
    <w:rsid w:val="000A42CC"/>
    <w:rsid w:val="000E7DD9"/>
    <w:rsid w:val="0010095E"/>
    <w:rsid w:val="00125B37"/>
    <w:rsid w:val="00187494"/>
    <w:rsid w:val="001E63AD"/>
    <w:rsid w:val="001F32AE"/>
    <w:rsid w:val="002767FF"/>
    <w:rsid w:val="002B18FE"/>
    <w:rsid w:val="002B5493"/>
    <w:rsid w:val="00343214"/>
    <w:rsid w:val="00361C00"/>
    <w:rsid w:val="00385C95"/>
    <w:rsid w:val="00395FA1"/>
    <w:rsid w:val="003E15D4"/>
    <w:rsid w:val="003E26A8"/>
    <w:rsid w:val="00411CCE"/>
    <w:rsid w:val="0041666E"/>
    <w:rsid w:val="00421060"/>
    <w:rsid w:val="00445BEC"/>
    <w:rsid w:val="00471C19"/>
    <w:rsid w:val="004867E3"/>
    <w:rsid w:val="00494A28"/>
    <w:rsid w:val="004C0004"/>
    <w:rsid w:val="004C5D52"/>
    <w:rsid w:val="0050519A"/>
    <w:rsid w:val="005072A1"/>
    <w:rsid w:val="005100E5"/>
    <w:rsid w:val="00514517"/>
    <w:rsid w:val="00545827"/>
    <w:rsid w:val="00560270"/>
    <w:rsid w:val="005718AD"/>
    <w:rsid w:val="005C2568"/>
    <w:rsid w:val="005F1B17"/>
    <w:rsid w:val="005F6B3B"/>
    <w:rsid w:val="006037C0"/>
    <w:rsid w:val="006631B6"/>
    <w:rsid w:val="00680577"/>
    <w:rsid w:val="00695F5A"/>
    <w:rsid w:val="00696FB4"/>
    <w:rsid w:val="006C557D"/>
    <w:rsid w:val="006F74FA"/>
    <w:rsid w:val="00731ADD"/>
    <w:rsid w:val="00734777"/>
    <w:rsid w:val="00747932"/>
    <w:rsid w:val="00751A4A"/>
    <w:rsid w:val="00756632"/>
    <w:rsid w:val="00762C74"/>
    <w:rsid w:val="007659CC"/>
    <w:rsid w:val="0076628D"/>
    <w:rsid w:val="00786EC0"/>
    <w:rsid w:val="007D1690"/>
    <w:rsid w:val="007E22AD"/>
    <w:rsid w:val="00817416"/>
    <w:rsid w:val="00842779"/>
    <w:rsid w:val="00862658"/>
    <w:rsid w:val="00865F67"/>
    <w:rsid w:val="00881A7B"/>
    <w:rsid w:val="008840E5"/>
    <w:rsid w:val="00884F93"/>
    <w:rsid w:val="00887B3E"/>
    <w:rsid w:val="008A6392"/>
    <w:rsid w:val="008C2AC6"/>
    <w:rsid w:val="008F5079"/>
    <w:rsid w:val="00930C23"/>
    <w:rsid w:val="0093193B"/>
    <w:rsid w:val="009509D8"/>
    <w:rsid w:val="00950B64"/>
    <w:rsid w:val="00981893"/>
    <w:rsid w:val="009843C5"/>
    <w:rsid w:val="009C486C"/>
    <w:rsid w:val="00A1687D"/>
    <w:rsid w:val="00A43E52"/>
    <w:rsid w:val="00A4678D"/>
    <w:rsid w:val="00A778C7"/>
    <w:rsid w:val="00AB441E"/>
    <w:rsid w:val="00AB6293"/>
    <w:rsid w:val="00AE0928"/>
    <w:rsid w:val="00AF3B82"/>
    <w:rsid w:val="00B12E95"/>
    <w:rsid w:val="00B22876"/>
    <w:rsid w:val="00B47966"/>
    <w:rsid w:val="00B558F0"/>
    <w:rsid w:val="00B71B86"/>
    <w:rsid w:val="00BD48FE"/>
    <w:rsid w:val="00BD7BD8"/>
    <w:rsid w:val="00BE6ADC"/>
    <w:rsid w:val="00C0175E"/>
    <w:rsid w:val="00C05BFE"/>
    <w:rsid w:val="00C23CD4"/>
    <w:rsid w:val="00C455CA"/>
    <w:rsid w:val="00C552AD"/>
    <w:rsid w:val="00C61C0C"/>
    <w:rsid w:val="00C941CB"/>
    <w:rsid w:val="00CB12B7"/>
    <w:rsid w:val="00CC2357"/>
    <w:rsid w:val="00CD1A1D"/>
    <w:rsid w:val="00CE4CFD"/>
    <w:rsid w:val="00CF071A"/>
    <w:rsid w:val="00D058B8"/>
    <w:rsid w:val="00D3017D"/>
    <w:rsid w:val="00D56C11"/>
    <w:rsid w:val="00D834A0"/>
    <w:rsid w:val="00D872DF"/>
    <w:rsid w:val="00D91E21"/>
    <w:rsid w:val="00DA7FCD"/>
    <w:rsid w:val="00DF7DD3"/>
    <w:rsid w:val="00E365E1"/>
    <w:rsid w:val="00E820A4"/>
    <w:rsid w:val="00EB006A"/>
    <w:rsid w:val="00EB4772"/>
    <w:rsid w:val="00ED169E"/>
    <w:rsid w:val="00ED3091"/>
    <w:rsid w:val="00ED4235"/>
    <w:rsid w:val="00EF7281"/>
    <w:rsid w:val="00F04346"/>
    <w:rsid w:val="00F075DC"/>
    <w:rsid w:val="00F149E9"/>
    <w:rsid w:val="00F5134D"/>
    <w:rsid w:val="00F74202"/>
    <w:rsid w:val="00F87713"/>
    <w:rsid w:val="00FA67F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BB7028"/>
  <w15:chartTrackingRefBased/>
  <w15:docId w15:val="{A983AAD9-2200-4E68-B517-CCB32A08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843C5"/>
    <w:rPr>
      <w:b/>
      <w:kern w:val="28"/>
      <w:sz w:val="28"/>
      <w:lang w:val="fr-FR" w:eastAsia="fr-FR"/>
    </w:rPr>
  </w:style>
  <w:style w:type="character" w:customStyle="1" w:styleId="Heading2Char">
    <w:name w:val="Heading 2 Char"/>
    <w:basedOn w:val="DefaultParagraphFont"/>
    <w:link w:val="Heading2"/>
    <w:semiHidden/>
    <w:rsid w:val="009843C5"/>
    <w:rPr>
      <w:sz w:val="24"/>
      <w:lang w:val="fr-FR" w:eastAsia="fr-FR"/>
    </w:rPr>
  </w:style>
  <w:style w:type="character" w:customStyle="1" w:styleId="Heading3Char">
    <w:name w:val="Heading 3 Char"/>
    <w:basedOn w:val="DefaultParagraphFont"/>
    <w:link w:val="Heading3"/>
    <w:semiHidden/>
    <w:rsid w:val="009843C5"/>
    <w:rPr>
      <w:rFonts w:ascii="Arial" w:hAnsi="Arial"/>
      <w:sz w:val="24"/>
      <w:lang w:val="fr-FR" w:eastAsia="fr-FR"/>
    </w:rPr>
  </w:style>
  <w:style w:type="character" w:customStyle="1" w:styleId="Heading4Char">
    <w:name w:val="Heading 4 Char"/>
    <w:basedOn w:val="DefaultParagraphFont"/>
    <w:link w:val="Heading4"/>
    <w:semiHidden/>
    <w:rsid w:val="009843C5"/>
    <w:rPr>
      <w:sz w:val="24"/>
      <w:lang w:val="en-US" w:eastAsia="fr-FR"/>
    </w:rPr>
  </w:style>
  <w:style w:type="character" w:customStyle="1" w:styleId="Heading5Char">
    <w:name w:val="Heading 5 Char"/>
    <w:basedOn w:val="DefaultParagraphFont"/>
    <w:link w:val="Heading5"/>
    <w:semiHidden/>
    <w:rsid w:val="009843C5"/>
    <w:rPr>
      <w:sz w:val="24"/>
      <w:lang w:val="en-US" w:eastAsia="fr-FR"/>
    </w:rPr>
  </w:style>
  <w:style w:type="character" w:customStyle="1" w:styleId="Heading6Char">
    <w:name w:val="Heading 6 Char"/>
    <w:basedOn w:val="DefaultParagraphFont"/>
    <w:link w:val="Heading6"/>
    <w:semiHidden/>
    <w:rsid w:val="009843C5"/>
    <w:rPr>
      <w:i/>
      <w:sz w:val="22"/>
      <w:lang w:val="es-ES_tradnl"/>
    </w:rPr>
  </w:style>
  <w:style w:type="character" w:customStyle="1" w:styleId="Heading7Char">
    <w:name w:val="Heading 7 Char"/>
    <w:basedOn w:val="DefaultParagraphFont"/>
    <w:link w:val="Heading7"/>
    <w:semiHidden/>
    <w:rsid w:val="009843C5"/>
    <w:rPr>
      <w:rFonts w:ascii="Arial" w:hAnsi="Arial"/>
      <w:sz w:val="24"/>
      <w:lang w:val="es-ES_tradnl"/>
    </w:rPr>
  </w:style>
  <w:style w:type="character" w:customStyle="1" w:styleId="Heading8Char">
    <w:name w:val="Heading 8 Char"/>
    <w:basedOn w:val="DefaultParagraphFont"/>
    <w:link w:val="Heading8"/>
    <w:semiHidden/>
    <w:rsid w:val="009843C5"/>
    <w:rPr>
      <w:rFonts w:ascii="Arial" w:hAnsi="Arial"/>
      <w:i/>
      <w:sz w:val="24"/>
      <w:lang w:val="es-ES_tradnl"/>
    </w:rPr>
  </w:style>
  <w:style w:type="character" w:customStyle="1" w:styleId="Heading9Char">
    <w:name w:val="Heading 9 Char"/>
    <w:basedOn w:val="DefaultParagraphFont"/>
    <w:link w:val="Heading9"/>
    <w:semiHidden/>
    <w:rsid w:val="009843C5"/>
    <w:rPr>
      <w:rFonts w:ascii="Arial" w:hAnsi="Arial"/>
      <w:b/>
      <w:i/>
      <w:sz w:val="18"/>
      <w:lang w:val="es-ES_tradnl"/>
    </w:rPr>
  </w:style>
  <w:style w:type="paragraph" w:styleId="TOCHeading">
    <w:name w:val="TOC Heading"/>
    <w:basedOn w:val="Normal"/>
    <w:next w:val="Normal"/>
    <w:unhideWhenUsed/>
    <w:qFormat/>
    <w:rsid w:val="009843C5"/>
    <w:pPr>
      <w:widowControl/>
      <w:spacing w:after="240"/>
    </w:pPr>
    <w:rPr>
      <w:lang w:val="en-GB"/>
    </w:rPr>
  </w:style>
  <w:style w:type="paragraph" w:customStyle="1" w:styleId="EPFooter2">
    <w:name w:val="EPFooter2"/>
    <w:basedOn w:val="Normal"/>
    <w:next w:val="Normal"/>
    <w:rsid w:val="009843C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843C5"/>
    <w:pPr>
      <w:keepNext/>
      <w:spacing w:after="240"/>
      <w:jc w:val="right"/>
    </w:pPr>
    <w:rPr>
      <w:rFonts w:ascii="Arial" w:hAnsi="Arial"/>
      <w:b/>
    </w:rPr>
  </w:style>
  <w:style w:type="paragraph" w:customStyle="1" w:styleId="Normal6a">
    <w:name w:val="Normal6a"/>
    <w:basedOn w:val="Normal"/>
    <w:rsid w:val="009843C5"/>
    <w:pPr>
      <w:spacing w:after="120"/>
    </w:pPr>
  </w:style>
  <w:style w:type="paragraph" w:customStyle="1" w:styleId="PageHeading">
    <w:name w:val="PageHeading"/>
    <w:basedOn w:val="Normal"/>
    <w:qFormat/>
    <w:rsid w:val="009843C5"/>
    <w:pPr>
      <w:keepNext/>
      <w:spacing w:after="480"/>
      <w:jc w:val="center"/>
    </w:pPr>
    <w:rPr>
      <w:rFonts w:ascii="Arial" w:hAnsi="Arial" w:cs="Arial"/>
      <w:b/>
    </w:rPr>
  </w:style>
  <w:style w:type="paragraph" w:customStyle="1" w:styleId="NormalBold">
    <w:name w:val="NormalBold"/>
    <w:basedOn w:val="Normal"/>
    <w:link w:val="NormalBoldChar"/>
    <w:rsid w:val="009843C5"/>
    <w:rPr>
      <w:b/>
    </w:rPr>
  </w:style>
  <w:style w:type="paragraph" w:customStyle="1" w:styleId="NormalBold12a">
    <w:name w:val="NormalBold12a"/>
    <w:basedOn w:val="Normal"/>
    <w:rsid w:val="009843C5"/>
    <w:pPr>
      <w:spacing w:after="240"/>
    </w:pPr>
    <w:rPr>
      <w:b/>
    </w:rPr>
  </w:style>
  <w:style w:type="paragraph" w:customStyle="1" w:styleId="AmJustText">
    <w:name w:val="AmJustText"/>
    <w:basedOn w:val="Normal"/>
    <w:rsid w:val="009843C5"/>
    <w:pPr>
      <w:spacing w:after="240"/>
    </w:pPr>
    <w:rPr>
      <w:i/>
    </w:rPr>
  </w:style>
  <w:style w:type="paragraph" w:customStyle="1" w:styleId="NormalHanging12a">
    <w:name w:val="NormalHanging12a"/>
    <w:basedOn w:val="Normal"/>
    <w:rsid w:val="009843C5"/>
    <w:pPr>
      <w:spacing w:after="240"/>
      <w:ind w:left="567" w:hanging="567"/>
    </w:pPr>
  </w:style>
  <w:style w:type="paragraph" w:customStyle="1" w:styleId="CoverNormal24a">
    <w:name w:val="CoverNormal24a"/>
    <w:basedOn w:val="Normal"/>
    <w:rsid w:val="009843C5"/>
    <w:pPr>
      <w:spacing w:after="480"/>
      <w:ind w:left="1417"/>
    </w:pPr>
  </w:style>
  <w:style w:type="paragraph" w:customStyle="1" w:styleId="CoverNormal">
    <w:name w:val="CoverNormal"/>
    <w:basedOn w:val="Normal"/>
    <w:rsid w:val="009843C5"/>
    <w:pPr>
      <w:ind w:left="1418"/>
    </w:pPr>
  </w:style>
  <w:style w:type="paragraph" w:customStyle="1" w:styleId="AmCrossRef">
    <w:name w:val="AmCrossRef"/>
    <w:basedOn w:val="Normal"/>
    <w:rsid w:val="009843C5"/>
    <w:pPr>
      <w:spacing w:before="240" w:after="240"/>
      <w:jc w:val="center"/>
    </w:pPr>
    <w:rPr>
      <w:i/>
    </w:rPr>
  </w:style>
  <w:style w:type="paragraph" w:customStyle="1" w:styleId="AmJustTitle">
    <w:name w:val="AmJustTitle"/>
    <w:basedOn w:val="Normal"/>
    <w:next w:val="AmJustText"/>
    <w:rsid w:val="009843C5"/>
    <w:pPr>
      <w:keepNext/>
      <w:spacing w:before="240" w:after="240"/>
      <w:jc w:val="center"/>
    </w:pPr>
    <w:rPr>
      <w:i/>
    </w:rPr>
  </w:style>
  <w:style w:type="paragraph" w:customStyle="1" w:styleId="CoverReference">
    <w:name w:val="CoverReference"/>
    <w:basedOn w:val="Normal"/>
    <w:rsid w:val="009843C5"/>
    <w:pPr>
      <w:spacing w:before="1080"/>
      <w:jc w:val="right"/>
    </w:pPr>
    <w:rPr>
      <w:rFonts w:ascii="Arial" w:hAnsi="Arial" w:cs="Arial"/>
      <w:b/>
    </w:rPr>
  </w:style>
  <w:style w:type="paragraph" w:customStyle="1" w:styleId="CoverDocType">
    <w:name w:val="CoverDocType"/>
    <w:basedOn w:val="Normal"/>
    <w:rsid w:val="009843C5"/>
    <w:pPr>
      <w:ind w:left="1418"/>
    </w:pPr>
    <w:rPr>
      <w:rFonts w:ascii="Arial" w:hAnsi="Arial"/>
      <w:b/>
      <w:sz w:val="48"/>
    </w:rPr>
  </w:style>
  <w:style w:type="paragraph" w:customStyle="1" w:styleId="CoverDocType24a">
    <w:name w:val="CoverDocType24a"/>
    <w:basedOn w:val="Normal"/>
    <w:rsid w:val="009843C5"/>
    <w:pPr>
      <w:spacing w:after="480"/>
      <w:ind w:left="1418"/>
    </w:pPr>
    <w:rPr>
      <w:rFonts w:ascii="Arial" w:hAnsi="Arial"/>
      <w:b/>
      <w:sz w:val="48"/>
    </w:rPr>
  </w:style>
  <w:style w:type="paragraph" w:customStyle="1" w:styleId="CoverDate">
    <w:name w:val="CoverDate"/>
    <w:basedOn w:val="Normal"/>
    <w:rsid w:val="009843C5"/>
    <w:pPr>
      <w:spacing w:before="240" w:after="1200"/>
    </w:pPr>
  </w:style>
  <w:style w:type="paragraph" w:styleId="Header">
    <w:name w:val="header"/>
    <w:basedOn w:val="Normal"/>
    <w:link w:val="HeaderChar"/>
    <w:rsid w:val="009843C5"/>
    <w:pPr>
      <w:tabs>
        <w:tab w:val="center" w:pos="4513"/>
        <w:tab w:val="right" w:pos="9026"/>
      </w:tabs>
    </w:pPr>
  </w:style>
  <w:style w:type="character" w:customStyle="1" w:styleId="HeaderChar">
    <w:name w:val="Header Char"/>
    <w:basedOn w:val="DefaultParagraphFont"/>
    <w:link w:val="Header"/>
    <w:rsid w:val="009843C5"/>
    <w:rPr>
      <w:sz w:val="24"/>
      <w:lang w:val="es-ES_tradnl"/>
    </w:rPr>
  </w:style>
  <w:style w:type="paragraph" w:customStyle="1" w:styleId="AmOrLang">
    <w:name w:val="AmOrLang"/>
    <w:basedOn w:val="Normal"/>
    <w:rsid w:val="009843C5"/>
    <w:pPr>
      <w:spacing w:before="240" w:after="240"/>
      <w:jc w:val="right"/>
    </w:pPr>
  </w:style>
  <w:style w:type="paragraph" w:customStyle="1" w:styleId="AmColumnHeading">
    <w:name w:val="AmColumnHeading"/>
    <w:basedOn w:val="Normal"/>
    <w:rsid w:val="009843C5"/>
    <w:pPr>
      <w:spacing w:after="240"/>
      <w:jc w:val="center"/>
    </w:pPr>
    <w:rPr>
      <w:i/>
    </w:rPr>
  </w:style>
  <w:style w:type="paragraph" w:customStyle="1" w:styleId="AmNumberTabs">
    <w:name w:val="AmNumberTabs"/>
    <w:basedOn w:val="Normal"/>
    <w:rsid w:val="009843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843C5"/>
    <w:pPr>
      <w:spacing w:before="240"/>
    </w:pPr>
    <w:rPr>
      <w:b/>
    </w:rPr>
  </w:style>
  <w:style w:type="paragraph" w:customStyle="1" w:styleId="EPBody">
    <w:name w:val="EPBody"/>
    <w:basedOn w:val="Normal"/>
    <w:rsid w:val="009843C5"/>
    <w:pPr>
      <w:jc w:val="center"/>
    </w:pPr>
    <w:rPr>
      <w:rFonts w:ascii="Arial" w:hAnsi="Arial" w:cs="Arial"/>
      <w:i/>
      <w:sz w:val="22"/>
      <w:szCs w:val="22"/>
    </w:rPr>
  </w:style>
  <w:style w:type="paragraph" w:customStyle="1" w:styleId="EPFooter">
    <w:name w:val="EPFooter"/>
    <w:basedOn w:val="Normal"/>
    <w:rsid w:val="009843C5"/>
    <w:pPr>
      <w:tabs>
        <w:tab w:val="center" w:pos="4535"/>
        <w:tab w:val="right" w:pos="9071"/>
      </w:tabs>
      <w:spacing w:before="240" w:after="240"/>
    </w:pPr>
    <w:rPr>
      <w:color w:val="010000"/>
      <w:sz w:val="22"/>
    </w:rPr>
  </w:style>
  <w:style w:type="paragraph" w:customStyle="1" w:styleId="EPComma">
    <w:name w:val="EPComma"/>
    <w:basedOn w:val="Normal"/>
    <w:rsid w:val="009843C5"/>
    <w:pPr>
      <w:spacing w:before="480" w:after="240"/>
    </w:pPr>
  </w:style>
  <w:style w:type="paragraph" w:customStyle="1" w:styleId="Lgendesigne">
    <w:name w:val="Légende signe"/>
    <w:basedOn w:val="Normal"/>
    <w:rsid w:val="009843C5"/>
    <w:pPr>
      <w:tabs>
        <w:tab w:val="right" w:pos="454"/>
        <w:tab w:val="left" w:pos="737"/>
      </w:tabs>
      <w:ind w:left="737" w:hanging="737"/>
    </w:pPr>
    <w:rPr>
      <w:snapToGrid w:val="0"/>
      <w:sz w:val="18"/>
      <w:lang w:eastAsia="en-US"/>
    </w:rPr>
  </w:style>
  <w:style w:type="paragraph" w:customStyle="1" w:styleId="Lgendetitre">
    <w:name w:val="Légende titre"/>
    <w:basedOn w:val="Normal"/>
    <w:rsid w:val="009843C5"/>
    <w:pPr>
      <w:spacing w:before="240" w:after="240"/>
    </w:pPr>
    <w:rPr>
      <w:b/>
      <w:i/>
      <w:snapToGrid w:val="0"/>
      <w:lang w:eastAsia="en-US"/>
    </w:rPr>
  </w:style>
  <w:style w:type="paragraph" w:customStyle="1" w:styleId="Lgendestandard">
    <w:name w:val="Légende standard"/>
    <w:basedOn w:val="Normal"/>
    <w:rsid w:val="009843C5"/>
    <w:rPr>
      <w:sz w:val="18"/>
    </w:rPr>
  </w:style>
  <w:style w:type="paragraph" w:customStyle="1" w:styleId="Default">
    <w:name w:val="Default"/>
    <w:rsid w:val="009843C5"/>
    <w:pPr>
      <w:autoSpaceDE w:val="0"/>
      <w:autoSpaceDN w:val="0"/>
      <w:adjustRightInd w:val="0"/>
    </w:pPr>
    <w:rPr>
      <w:color w:val="000000"/>
      <w:sz w:val="24"/>
      <w:szCs w:val="24"/>
      <w:lang w:val="es-ES"/>
    </w:rPr>
  </w:style>
  <w:style w:type="character" w:customStyle="1" w:styleId="Normal6Char">
    <w:name w:val="Normal6 Char"/>
    <w:basedOn w:val="DefaultParagraphFont"/>
    <w:link w:val="Normal6"/>
    <w:locked/>
    <w:rsid w:val="009843C5"/>
    <w:rPr>
      <w:b/>
      <w:bCs/>
      <w:i/>
      <w:iCs/>
      <w:sz w:val="24"/>
      <w:lang w:val="es-ES"/>
    </w:rPr>
  </w:style>
  <w:style w:type="paragraph" w:customStyle="1" w:styleId="Normal6">
    <w:name w:val="Normal6"/>
    <w:basedOn w:val="Normal"/>
    <w:link w:val="Normal6Char"/>
    <w:rsid w:val="009843C5"/>
    <w:pPr>
      <w:spacing w:after="120"/>
    </w:pPr>
    <w:rPr>
      <w:b/>
      <w:bCs/>
      <w:i/>
      <w:iCs/>
      <w:lang w:val="es-ES"/>
    </w:rPr>
  </w:style>
  <w:style w:type="character" w:customStyle="1" w:styleId="NormalBoldChar">
    <w:name w:val="NormalBold Char"/>
    <w:basedOn w:val="DefaultParagraphFont"/>
    <w:link w:val="NormalBold"/>
    <w:locked/>
    <w:rsid w:val="009843C5"/>
    <w:rPr>
      <w:b/>
      <w:sz w:val="24"/>
      <w:lang w:val="es-ES_tradnl"/>
    </w:rPr>
  </w:style>
  <w:style w:type="paragraph" w:customStyle="1" w:styleId="ColumnHeading">
    <w:name w:val="ColumnHeading"/>
    <w:basedOn w:val="Normal"/>
    <w:rsid w:val="009843C5"/>
    <w:pPr>
      <w:spacing w:after="240"/>
      <w:jc w:val="center"/>
    </w:pPr>
    <w:rPr>
      <w:i/>
      <w:lang w:val="es-ES"/>
    </w:rPr>
  </w:style>
  <w:style w:type="paragraph" w:customStyle="1" w:styleId="AMNumberTabs0">
    <w:name w:val="AMNumberTabs"/>
    <w:basedOn w:val="Normal"/>
    <w:rsid w:val="009843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9843C5"/>
    <w:pPr>
      <w:jc w:val="right"/>
    </w:pPr>
    <w:rPr>
      <w:lang w:val="es-ES"/>
    </w:rPr>
  </w:style>
  <w:style w:type="character" w:styleId="Hyperlink">
    <w:name w:val="Hyperlink"/>
    <w:basedOn w:val="DefaultParagraphFont"/>
    <w:unhideWhenUsed/>
    <w:rsid w:val="009843C5"/>
    <w:rPr>
      <w:color w:val="467886"/>
      <w:u w:val="single"/>
    </w:rPr>
  </w:style>
  <w:style w:type="paragraph" w:styleId="Revision">
    <w:name w:val="Revision"/>
    <w:hidden/>
    <w:uiPriority w:val="99"/>
    <w:semiHidden/>
    <w:rsid w:val="009843C5"/>
    <w:rPr>
      <w:sz w:val="24"/>
      <w:lang w:val="es-ES"/>
    </w:rPr>
  </w:style>
  <w:style w:type="character" w:styleId="CommentReference">
    <w:name w:val="annotation reference"/>
    <w:basedOn w:val="DefaultParagraphFont"/>
    <w:rsid w:val="009843C5"/>
    <w:rPr>
      <w:sz w:val="16"/>
      <w:szCs w:val="16"/>
    </w:rPr>
  </w:style>
  <w:style w:type="paragraph" w:styleId="CommentText">
    <w:name w:val="annotation text"/>
    <w:basedOn w:val="Normal"/>
    <w:link w:val="CommentTextChar"/>
    <w:rsid w:val="009843C5"/>
    <w:rPr>
      <w:sz w:val="20"/>
    </w:rPr>
  </w:style>
  <w:style w:type="character" w:customStyle="1" w:styleId="CommentTextChar">
    <w:name w:val="Comment Text Char"/>
    <w:basedOn w:val="DefaultParagraphFont"/>
    <w:link w:val="CommentText"/>
    <w:rsid w:val="009843C5"/>
    <w:rPr>
      <w:lang w:val="es-ES_tradnl"/>
    </w:rPr>
  </w:style>
  <w:style w:type="paragraph" w:styleId="CommentSubject">
    <w:name w:val="annotation subject"/>
    <w:basedOn w:val="CommentText"/>
    <w:next w:val="CommentText"/>
    <w:link w:val="CommentSubjectChar"/>
    <w:unhideWhenUsed/>
    <w:rsid w:val="009843C5"/>
    <w:rPr>
      <w:b/>
      <w:bCs/>
    </w:rPr>
  </w:style>
  <w:style w:type="character" w:customStyle="1" w:styleId="CommentSubjectChar">
    <w:name w:val="Comment Subject Char"/>
    <w:basedOn w:val="CommentTextChar"/>
    <w:link w:val="CommentSubject"/>
    <w:rsid w:val="009843C5"/>
    <w:rPr>
      <w:b/>
      <w:bCs/>
      <w:lang w:val="es-ES_tradnl"/>
    </w:rPr>
  </w:style>
  <w:style w:type="character" w:styleId="UnresolvedMention">
    <w:name w:val="Unresolved Mention"/>
    <w:basedOn w:val="DefaultParagraphFont"/>
    <w:uiPriority w:val="99"/>
    <w:semiHidden/>
    <w:unhideWhenUsed/>
    <w:rsid w:val="009843C5"/>
    <w:rPr>
      <w:color w:val="605E5C"/>
      <w:shd w:val="clear" w:color="auto" w:fill="E1DFDD"/>
    </w:rPr>
  </w:style>
  <w:style w:type="character" w:styleId="Emphasis">
    <w:name w:val="Emphasis"/>
    <w:basedOn w:val="DefaultParagraphFont"/>
    <w:uiPriority w:val="20"/>
    <w:qFormat/>
    <w:rsid w:val="009843C5"/>
    <w:rPr>
      <w:i/>
      <w:iCs/>
    </w:rPr>
  </w:style>
  <w:style w:type="paragraph" w:styleId="ListParagraph">
    <w:name w:val="List Paragraph"/>
    <w:basedOn w:val="Normal"/>
    <w:uiPriority w:val="1"/>
    <w:qFormat/>
    <w:rsid w:val="009843C5"/>
    <w:pPr>
      <w:ind w:left="720"/>
      <w:contextualSpacing/>
    </w:pPr>
  </w:style>
  <w:style w:type="paragraph" w:styleId="BodyText">
    <w:name w:val="Body Text"/>
    <w:basedOn w:val="Normal"/>
    <w:link w:val="BodyTextChar"/>
    <w:uiPriority w:val="1"/>
    <w:unhideWhenUsed/>
    <w:qFormat/>
    <w:rsid w:val="009843C5"/>
    <w:pPr>
      <w:autoSpaceDE w:val="0"/>
      <w:autoSpaceDN w:val="0"/>
      <w:spacing w:before="120"/>
    </w:pPr>
    <w:rPr>
      <w:szCs w:val="24"/>
      <w:lang w:val="es-ES" w:eastAsia="en-US"/>
    </w:rPr>
  </w:style>
  <w:style w:type="character" w:customStyle="1" w:styleId="BodyTextChar">
    <w:name w:val="Body Text Char"/>
    <w:basedOn w:val="DefaultParagraphFont"/>
    <w:link w:val="BodyText"/>
    <w:uiPriority w:val="1"/>
    <w:rsid w:val="009843C5"/>
    <w:rPr>
      <w:sz w:val="24"/>
      <w:szCs w:val="24"/>
      <w:lang w:val="es-ES" w:eastAsia="en-US"/>
    </w:rPr>
  </w:style>
  <w:style w:type="paragraph" w:customStyle="1" w:styleId="Normal12a">
    <w:name w:val="Normal12a"/>
    <w:basedOn w:val="Normal"/>
    <w:rsid w:val="009843C5"/>
    <w:pPr>
      <w:spacing w:after="240"/>
    </w:pPr>
  </w:style>
  <w:style w:type="paragraph" w:customStyle="1" w:styleId="PageHeadingNotTOC">
    <w:name w:val="PageHeadingNotTOC"/>
    <w:basedOn w:val="Normal"/>
    <w:rsid w:val="009843C5"/>
    <w:pPr>
      <w:keepNext/>
      <w:spacing w:after="480"/>
      <w:jc w:val="center"/>
    </w:pPr>
    <w:rPr>
      <w:rFonts w:ascii="Arial" w:hAnsi="Arial" w:cs="Arial"/>
      <w:b/>
    </w:rPr>
  </w:style>
  <w:style w:type="paragraph" w:customStyle="1" w:styleId="AmHeadingPA">
    <w:name w:val="AmHeadingPA"/>
    <w:basedOn w:val="Normal"/>
    <w:next w:val="Normal"/>
    <w:rsid w:val="009843C5"/>
    <w:pPr>
      <w:spacing w:before="480" w:after="240"/>
      <w:jc w:val="center"/>
    </w:pPr>
    <w:rPr>
      <w:rFonts w:ascii="Arial" w:hAnsi="Arial"/>
      <w:b/>
      <w:caps/>
      <w:snapToGrid w:val="0"/>
      <w:szCs w:val="24"/>
      <w:lang w:eastAsia="en-US"/>
    </w:rPr>
  </w:style>
  <w:style w:type="paragraph" w:customStyle="1" w:styleId="Normal24a">
    <w:name w:val="Normal24a"/>
    <w:basedOn w:val="Normal"/>
    <w:rsid w:val="009843C5"/>
    <w:pPr>
      <w:spacing w:after="480"/>
    </w:pPr>
    <w:rPr>
      <w:szCs w:val="24"/>
    </w:rPr>
  </w:style>
  <w:style w:type="paragraph" w:customStyle="1" w:styleId="NormalBoldCenter">
    <w:name w:val="NormalBoldCenter"/>
    <w:basedOn w:val="Normal"/>
    <w:rsid w:val="009843C5"/>
    <w:pPr>
      <w:jc w:val="center"/>
    </w:pPr>
    <w:rPr>
      <w:b/>
      <w:szCs w:val="24"/>
    </w:rPr>
  </w:style>
  <w:style w:type="paragraph" w:customStyle="1" w:styleId="Footprint12b">
    <w:name w:val="Footprint12b"/>
    <w:basedOn w:val="Normal"/>
    <w:rsid w:val="009843C5"/>
    <w:pPr>
      <w:spacing w:before="240"/>
    </w:pPr>
    <w:rPr>
      <w:szCs w:val="24"/>
    </w:rPr>
  </w:style>
  <w:style w:type="paragraph" w:customStyle="1" w:styleId="NormalSingle">
    <w:name w:val="NormalSingle"/>
    <w:basedOn w:val="Normal"/>
    <w:qFormat/>
    <w:rsid w:val="009843C5"/>
    <w:rPr>
      <w:szCs w:val="24"/>
    </w:rPr>
  </w:style>
  <w:style w:type="paragraph" w:customStyle="1" w:styleId="RollCallSymbols14pt">
    <w:name w:val="RollCallSymbols14pt"/>
    <w:basedOn w:val="Normal"/>
    <w:rsid w:val="009843C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843C5"/>
    <w:pPr>
      <w:tabs>
        <w:tab w:val="center" w:pos="284"/>
        <w:tab w:val="left" w:pos="426"/>
      </w:tabs>
    </w:pPr>
    <w:rPr>
      <w:snapToGrid w:val="0"/>
      <w:lang w:eastAsia="en-US"/>
    </w:rPr>
  </w:style>
  <w:style w:type="paragraph" w:customStyle="1" w:styleId="RollCallVotes">
    <w:name w:val="RollCallVotes"/>
    <w:basedOn w:val="Normal"/>
    <w:rsid w:val="009843C5"/>
    <w:pPr>
      <w:spacing w:before="120" w:after="120"/>
      <w:jc w:val="center"/>
    </w:pPr>
    <w:rPr>
      <w:b/>
      <w:bCs/>
      <w:snapToGrid w:val="0"/>
      <w:sz w:val="16"/>
      <w:lang w:eastAsia="en-US"/>
    </w:rPr>
  </w:style>
  <w:style w:type="paragraph" w:customStyle="1" w:styleId="RollCallTable">
    <w:name w:val="RollCallTable"/>
    <w:basedOn w:val="Normal"/>
    <w:rsid w:val="009843C5"/>
    <w:pPr>
      <w:spacing w:before="120" w:after="120"/>
    </w:pPr>
    <w:rPr>
      <w:snapToGrid w:val="0"/>
      <w:sz w:val="16"/>
      <w:lang w:eastAsia="en-US"/>
    </w:rPr>
  </w:style>
  <w:style w:type="paragraph" w:styleId="Footer">
    <w:name w:val="footer"/>
    <w:basedOn w:val="Normal"/>
    <w:link w:val="FooterChar"/>
    <w:rsid w:val="009843C5"/>
    <w:pPr>
      <w:tabs>
        <w:tab w:val="center" w:pos="4513"/>
        <w:tab w:val="right" w:pos="9026"/>
      </w:tabs>
    </w:pPr>
  </w:style>
  <w:style w:type="character" w:customStyle="1" w:styleId="FooterChar">
    <w:name w:val="Footer Char"/>
    <w:basedOn w:val="DefaultParagraphFont"/>
    <w:link w:val="Footer"/>
    <w:rsid w:val="009843C5"/>
    <w:rPr>
      <w:sz w:val="24"/>
      <w:lang w:val="es-ES_tradnl"/>
    </w:rPr>
  </w:style>
  <w:style w:type="paragraph" w:customStyle="1" w:styleId="FootnoteTextForceStyle">
    <w:name w:val="Footnote Text ForceStyle"/>
    <w:rsid w:val="00044A1A"/>
    <w:pPr>
      <w:keepLines/>
      <w:spacing w:line="240" w:lineRule="exact"/>
      <w:ind w:left="850" w:hanging="850"/>
    </w:pPr>
    <w:rPr>
      <w:sz w:val="24"/>
      <w:lang w:val="es-ES" w:eastAsia="en-US"/>
    </w:rPr>
  </w:style>
  <w:style w:type="character" w:customStyle="1" w:styleId="Footer2">
    <w:name w:val="Footer2"/>
    <w:rsid w:val="00044A1A"/>
    <w:rPr>
      <w:rFonts w:ascii="Arial" w:hAnsi="Arial"/>
      <w:b/>
      <w:sz w:val="48"/>
    </w:rPr>
  </w:style>
  <w:style w:type="paragraph" w:customStyle="1" w:styleId="Footer1">
    <w:name w:val="Footer1"/>
    <w:basedOn w:val="Normal"/>
    <w:rsid w:val="00044A1A"/>
    <w:pPr>
      <w:widowControl/>
      <w:tabs>
        <w:tab w:val="center" w:pos="4534"/>
        <w:tab w:val="right" w:pos="9638"/>
        <w:tab w:val="right" w:pos="10772"/>
      </w:tabs>
      <w:spacing w:before="360" w:line="360" w:lineRule="auto"/>
      <w:ind w:left="-840" w:right="-840"/>
    </w:pPr>
    <w:rPr>
      <w:szCs w:val="24"/>
      <w:lang w:eastAsia="en-US"/>
    </w:rPr>
  </w:style>
  <w:style w:type="character" w:customStyle="1" w:styleId="Hyperlink1">
    <w:name w:val="Hyperlink1"/>
    <w:basedOn w:val="DefaultParagraphFont"/>
    <w:rsid w:val="00044A1A"/>
    <w:rPr>
      <w:color w:val="0000FF"/>
      <w:u w:val="single"/>
    </w:rPr>
  </w:style>
  <w:style w:type="paragraph" w:customStyle="1" w:styleId="normal12hanging">
    <w:name w:val="normal12hanging"/>
    <w:basedOn w:val="Normal"/>
    <w:rsid w:val="00ED3091"/>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4/833/oj" TargetMode="External"/><Relationship Id="rId1" Type="http://schemas.openxmlformats.org/officeDocument/2006/relationships/hyperlink" Target="http://data.europa.eu/eli/dec/2014/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677</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CASTELLO MORENO Cesar Augusto</cp:lastModifiedBy>
  <cp:revision>2</cp:revision>
  <cp:lastPrinted>2004-11-19T15:42:00Z</cp:lastPrinted>
  <dcterms:created xsi:type="dcterms:W3CDTF">2026-07-01T14:59:00Z</dcterms:created>
  <dcterms:modified xsi:type="dcterms:W3CDTF">2026-07-01T14:59:00Z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P10_TA(2026)0170_</vt:lpwstr>
  </property>
  <property fmtid="{D5CDD505-2E9C-101B-9397-08002B2CF9AE}" pid="4" name="&lt;Type&gt;">
    <vt:lpwstr>RR</vt:lpwstr>
  </property>
</Properties>
</file>