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03FB" w14:paraId="4FE3BB62" w14:textId="77777777" w:rsidTr="0010095E">
        <w:trPr>
          <w:trHeight w:hRule="exact" w:val="1418"/>
        </w:trPr>
        <w:tc>
          <w:tcPr>
            <w:tcW w:w="6804" w:type="dxa"/>
            <w:shd w:val="clear" w:color="auto" w:fill="auto"/>
            <w:vAlign w:val="center"/>
          </w:tcPr>
          <w:p w14:paraId="734E1DDF" w14:textId="77777777" w:rsidR="00751A4A" w:rsidRPr="00A203FB" w:rsidRDefault="005E7BE1" w:rsidP="0010095E">
            <w:pPr>
              <w:pStyle w:val="EPName"/>
            </w:pPr>
            <w:r w:rsidRPr="00A203FB">
              <w:t>Euroopan parlamentti</w:t>
            </w:r>
          </w:p>
          <w:p w14:paraId="16DCD87E" w14:textId="77777777" w:rsidR="00751A4A" w:rsidRPr="00A203FB" w:rsidRDefault="005F1B17" w:rsidP="005F1B17">
            <w:pPr>
              <w:pStyle w:val="EPTerm"/>
              <w:rPr>
                <w:rStyle w:val="HideTWBExt"/>
                <w:noProof w:val="0"/>
                <w:vanish w:val="0"/>
                <w:color w:val="auto"/>
              </w:rPr>
            </w:pPr>
            <w:r w:rsidRPr="00A203FB">
              <w:t>2024</w:t>
            </w:r>
            <w:r w:rsidR="00817416" w:rsidRPr="00A203FB">
              <w:t>-202</w:t>
            </w:r>
            <w:r w:rsidRPr="00A203FB">
              <w:t>9</w:t>
            </w:r>
          </w:p>
        </w:tc>
        <w:tc>
          <w:tcPr>
            <w:tcW w:w="2268" w:type="dxa"/>
            <w:shd w:val="clear" w:color="auto" w:fill="auto"/>
          </w:tcPr>
          <w:p w14:paraId="316A2394" w14:textId="77777777" w:rsidR="00751A4A" w:rsidRPr="00A203FB" w:rsidRDefault="00187494" w:rsidP="0010095E">
            <w:pPr>
              <w:pStyle w:val="EPLogo"/>
            </w:pPr>
            <w:r w:rsidRPr="00A203FB">
              <w:rPr>
                <w:noProof/>
                <w:lang w:eastAsia="ja-JP"/>
              </w:rPr>
              <w:drawing>
                <wp:inline distT="0" distB="0" distL="0" distR="0" wp14:anchorId="6237C4B4" wp14:editId="108228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98778A" w14:textId="77777777" w:rsidR="00D058B8" w:rsidRPr="00A203FB" w:rsidRDefault="00D058B8" w:rsidP="004C5D52">
      <w:pPr>
        <w:pStyle w:val="LineTop"/>
      </w:pPr>
    </w:p>
    <w:p w14:paraId="6A2EDA46" w14:textId="77777777" w:rsidR="00680577" w:rsidRPr="00A203FB" w:rsidRDefault="005E7BE1" w:rsidP="00680577">
      <w:pPr>
        <w:pStyle w:val="EPBodyTA1"/>
      </w:pPr>
      <w:r w:rsidRPr="00A203FB">
        <w:t>HYVÄKSYTYT TEKSTIT</w:t>
      </w:r>
    </w:p>
    <w:p w14:paraId="2278940F" w14:textId="77777777" w:rsidR="00D058B8" w:rsidRPr="00A203FB" w:rsidRDefault="00D058B8" w:rsidP="00D058B8">
      <w:pPr>
        <w:pStyle w:val="LineBottom"/>
      </w:pPr>
    </w:p>
    <w:p w14:paraId="06D4DB1E" w14:textId="2C4812A2" w:rsidR="005E7BE1" w:rsidRPr="00A203FB" w:rsidRDefault="005E7BE1" w:rsidP="005E7BE1">
      <w:pPr>
        <w:pStyle w:val="ATHeading1"/>
      </w:pPr>
      <w:bookmarkStart w:id="0" w:name="TANumber"/>
      <w:r w:rsidRPr="00A203FB">
        <w:t>P10_TA(2026)0</w:t>
      </w:r>
      <w:bookmarkEnd w:id="0"/>
      <w:r w:rsidR="00A203FB">
        <w:t>170</w:t>
      </w:r>
    </w:p>
    <w:p w14:paraId="2EE6D54E" w14:textId="6B85AB5D" w:rsidR="005E7BE1" w:rsidRPr="00A203FB" w:rsidRDefault="00AE039C" w:rsidP="00AE039C">
      <w:pPr>
        <w:pStyle w:val="ATHeading2"/>
      </w:pPr>
      <w:bookmarkStart w:id="1" w:name="title"/>
      <w:r w:rsidRPr="00A203FB">
        <w:t>Maailmanlaajuisen ylikapasiteetin unionin teräsmarkkinoilla aiheuttamat kauppaan liittyvät kielteiset vaikutukset</w:t>
      </w:r>
      <w:bookmarkEnd w:id="1"/>
    </w:p>
    <w:p w14:paraId="6891EF25" w14:textId="77777777" w:rsidR="005E7BE1" w:rsidRPr="00A203FB" w:rsidRDefault="005E7BE1" w:rsidP="005E7BE1">
      <w:pPr>
        <w:rPr>
          <w:i/>
          <w:vanish/>
        </w:rPr>
      </w:pPr>
      <w:r w:rsidRPr="00A203FB">
        <w:rPr>
          <w:i/>
        </w:rPr>
        <w:fldChar w:fldCharType="begin"/>
      </w:r>
      <w:r w:rsidRPr="00A203FB">
        <w:rPr>
          <w:i/>
        </w:rPr>
        <w:instrText xml:space="preserve"> TC"(</w:instrText>
      </w:r>
      <w:bookmarkStart w:id="2" w:name="DocNumber"/>
      <w:r w:rsidRPr="00A203FB">
        <w:rPr>
          <w:i/>
        </w:rPr>
        <w:instrText>A10-0012/2026</w:instrText>
      </w:r>
      <w:bookmarkEnd w:id="2"/>
      <w:r w:rsidRPr="00A203FB">
        <w:rPr>
          <w:i/>
        </w:rPr>
        <w:instrText xml:space="preserve"> - Esittelijä: Karin Karlsbro)"\l3 \n&gt; \* MERGEFORMAT </w:instrText>
      </w:r>
      <w:r w:rsidRPr="00A203FB">
        <w:rPr>
          <w:i/>
        </w:rPr>
        <w:fldChar w:fldCharType="end"/>
      </w:r>
    </w:p>
    <w:p w14:paraId="4190482A" w14:textId="77777777" w:rsidR="005E7BE1" w:rsidRPr="00A203FB" w:rsidRDefault="005E7BE1" w:rsidP="005E7BE1">
      <w:pPr>
        <w:rPr>
          <w:vanish/>
        </w:rPr>
      </w:pPr>
      <w:bookmarkStart w:id="3" w:name="Commission"/>
      <w:r w:rsidRPr="00A203FB">
        <w:rPr>
          <w:vanish/>
        </w:rPr>
        <w:t>Kansainvälisen kaupan valiokunta</w:t>
      </w:r>
      <w:bookmarkEnd w:id="3"/>
    </w:p>
    <w:p w14:paraId="572D5869" w14:textId="77777777" w:rsidR="005E7BE1" w:rsidRPr="00A203FB" w:rsidRDefault="005E7BE1" w:rsidP="005E7BE1">
      <w:pPr>
        <w:rPr>
          <w:vanish/>
        </w:rPr>
      </w:pPr>
      <w:bookmarkStart w:id="4" w:name="PE"/>
      <w:r w:rsidRPr="00A203FB">
        <w:rPr>
          <w:vanish/>
        </w:rPr>
        <w:t>PE779.727</w:t>
      </w:r>
      <w:bookmarkEnd w:id="4"/>
    </w:p>
    <w:p w14:paraId="01A5963B" w14:textId="06E16FCE" w:rsidR="005E7BE1" w:rsidRPr="00A203FB" w:rsidRDefault="005E7BE1" w:rsidP="005E7BE1">
      <w:pPr>
        <w:pStyle w:val="ATHeading3"/>
      </w:pPr>
      <w:bookmarkStart w:id="5" w:name="Sujet"/>
      <w:r w:rsidRPr="00A203FB">
        <w:t xml:space="preserve">Euroopan parlamentin lainsäädäntöpäätöslauselma </w:t>
      </w:r>
      <w:r w:rsidR="002F2862" w:rsidRPr="00A203FB">
        <w:t>19</w:t>
      </w:r>
      <w:r w:rsidRPr="00A203FB">
        <w:t>. toukokuuta 2026 ehdotuksesta Euroopan parlamentin ja neuvoston asetukseksi maailmanlaajuisen ylikapasiteetin unionin teräsmarkkinoilla aiheuttamien kauppaan liittyvien kielteisten vaikutusten torjumisesta</w:t>
      </w:r>
      <w:bookmarkEnd w:id="5"/>
      <w:r w:rsidRPr="00A203FB">
        <w:t xml:space="preserve"> </w:t>
      </w:r>
      <w:bookmarkStart w:id="6" w:name="References"/>
      <w:r w:rsidRPr="00A203FB">
        <w:t>(COM(2025)0726 – C10-0245/2025 – 2025/0726(COD))</w:t>
      </w:r>
      <w:bookmarkEnd w:id="6"/>
    </w:p>
    <w:p w14:paraId="4AE0F335" w14:textId="77777777" w:rsidR="003C04CA" w:rsidRPr="00A203FB" w:rsidRDefault="003C04CA" w:rsidP="003C04CA">
      <w:pPr>
        <w:pStyle w:val="NormalBold"/>
        <w:widowControl/>
      </w:pPr>
      <w:r w:rsidRPr="00A203FB">
        <w:t>(Tavallinen lainsäätämisjärjestys: ensimmäinen käsittely)</w:t>
      </w:r>
    </w:p>
    <w:p w14:paraId="32DF0AD3" w14:textId="77777777" w:rsidR="003C04CA" w:rsidRPr="00A203FB" w:rsidRDefault="003C04CA" w:rsidP="00CC77CC">
      <w:pPr>
        <w:pStyle w:val="EPComma"/>
        <w:widowControl/>
      </w:pPr>
      <w:r w:rsidRPr="00A203FB">
        <w:rPr>
          <w:i/>
          <w:iCs/>
        </w:rPr>
        <w:t>Euroopan parlamentti</w:t>
      </w:r>
      <w:r w:rsidRPr="00A203FB">
        <w:t>, joka</w:t>
      </w:r>
    </w:p>
    <w:p w14:paraId="31AF20F0" w14:textId="2BEB3FEA" w:rsidR="003C04CA" w:rsidRPr="00A203FB" w:rsidRDefault="003C04CA" w:rsidP="00CC77CC">
      <w:pPr>
        <w:pStyle w:val="NormalHanging12a"/>
        <w:widowControl/>
      </w:pPr>
      <w:r w:rsidRPr="00A203FB">
        <w:t>–</w:t>
      </w:r>
      <w:r w:rsidRPr="00A203FB">
        <w:tab/>
        <w:t>ottaa huomioon komission ehdotuksen Euroopan parlamentille ja neuvostolle (COM(2025)0726),</w:t>
      </w:r>
    </w:p>
    <w:p w14:paraId="268F5A53" w14:textId="77777777" w:rsidR="003C04CA" w:rsidRPr="00A203FB" w:rsidRDefault="003C04CA" w:rsidP="00CC77CC">
      <w:pPr>
        <w:pStyle w:val="NormalHanging12a"/>
        <w:widowControl/>
      </w:pPr>
      <w:r w:rsidRPr="00A203FB">
        <w:t>–</w:t>
      </w:r>
      <w:r w:rsidRPr="00A203FB">
        <w:tab/>
        <w:t>ottaa huomioon Euroopan unionin toiminnasta tehdyn sopimuksen 294 artiklan 2 kohdan ja 207 artiklan 2 kohdan, joiden mukaisesti komissio on antanut ehdotuksen Euroopan parlamentille (C10-0245/2025),</w:t>
      </w:r>
    </w:p>
    <w:p w14:paraId="6488F266" w14:textId="77777777" w:rsidR="003C04CA" w:rsidRPr="00A203FB" w:rsidRDefault="003C04CA" w:rsidP="00CC77CC">
      <w:pPr>
        <w:pStyle w:val="NormalHanging12a"/>
        <w:widowControl/>
      </w:pPr>
      <w:r w:rsidRPr="00A203FB">
        <w:t>–</w:t>
      </w:r>
      <w:r w:rsidRPr="00A203FB">
        <w:tab/>
        <w:t>ottaa huomioon Euroopan unionin toiminnasta tehdyn sopimuksen 294 artiklan 3 kohdan,</w:t>
      </w:r>
    </w:p>
    <w:p w14:paraId="5633899D" w14:textId="3098630B" w:rsidR="00AE039C" w:rsidRPr="00A203FB" w:rsidRDefault="00AE039C" w:rsidP="00AE039C">
      <w:pPr>
        <w:pStyle w:val="NormalHanging12a"/>
        <w:widowControl/>
      </w:pPr>
      <w:r w:rsidRPr="00A203FB">
        <w:rPr>
          <w:szCs w:val="24"/>
        </w:rPr>
        <w:t>–</w:t>
      </w:r>
      <w:r w:rsidRPr="00A203FB">
        <w:rPr>
          <w:szCs w:val="24"/>
        </w:rPr>
        <w:tab/>
        <w:t>ottaa huomioon asiasta vastaavan valiokunnan työjärjestyksen 75 artiklan 4 kohdan mukaisesti hyväksymän alustavan sopimuksen</w:t>
      </w:r>
      <w:r w:rsidRPr="00A203FB">
        <w:t xml:space="preserve"> </w:t>
      </w:r>
      <w:r w:rsidRPr="00A203FB">
        <w:rPr>
          <w:szCs w:val="24"/>
        </w:rPr>
        <w:t>sekä</w:t>
      </w:r>
      <w:r w:rsidRPr="00A203FB">
        <w:t xml:space="preserve"> </w:t>
      </w:r>
      <w:r w:rsidRPr="00A203FB">
        <w:rPr>
          <w:szCs w:val="24"/>
        </w:rPr>
        <w:t>neuvoston edustajan 23</w:t>
      </w:r>
      <w:r w:rsidRPr="00A203FB">
        <w:t>.</w:t>
      </w:r>
      <w:r w:rsidRPr="00A203FB">
        <w:rPr>
          <w:szCs w:val="24"/>
        </w:rPr>
        <w:t xml:space="preserve"> huhtikuuta 2026 päivätyllä kirjeellä antaman sitoumuksen hyväksyä Euroopan parlamentin kanta Euroopan unionin toiminnasta tehdyn sopimuksen 294 artiklan 4 kohdan mukaisesti,</w:t>
      </w:r>
    </w:p>
    <w:p w14:paraId="74C8217F" w14:textId="77777777" w:rsidR="003C04CA" w:rsidRPr="00A203FB" w:rsidRDefault="003C04CA" w:rsidP="00CC77CC">
      <w:pPr>
        <w:pStyle w:val="NormalHanging12a"/>
        <w:widowControl/>
      </w:pPr>
      <w:r w:rsidRPr="00A203FB">
        <w:t>–</w:t>
      </w:r>
      <w:r w:rsidRPr="00A203FB">
        <w:tab/>
        <w:t>ottaa huomioon työjärjestyksen 60 artiklan,</w:t>
      </w:r>
    </w:p>
    <w:p w14:paraId="3CB9FB4D" w14:textId="77777777" w:rsidR="003C04CA" w:rsidRPr="00A203FB" w:rsidRDefault="003C04CA" w:rsidP="00CC77CC">
      <w:pPr>
        <w:pStyle w:val="NormalHanging12a"/>
        <w:widowControl/>
      </w:pPr>
      <w:r w:rsidRPr="00A203FB">
        <w:t>–</w:t>
      </w:r>
      <w:r w:rsidRPr="00A203FB">
        <w:tab/>
        <w:t>ottaa huomioon teollisuus-, tutkimus- ja energiavaliokunnan lausunnon,</w:t>
      </w:r>
    </w:p>
    <w:p w14:paraId="45EA7DAF" w14:textId="77777777" w:rsidR="003C04CA" w:rsidRPr="00A203FB" w:rsidRDefault="003C04CA" w:rsidP="00CC77CC">
      <w:pPr>
        <w:pStyle w:val="NormalHanging12a"/>
        <w:widowControl/>
      </w:pPr>
      <w:r w:rsidRPr="00A203FB">
        <w:t>–</w:t>
      </w:r>
      <w:r w:rsidRPr="00A203FB">
        <w:tab/>
        <w:t>ottaa huomioon kansainvälisen kaupan valiokunnan mietinnön (A10-0012/2026),</w:t>
      </w:r>
    </w:p>
    <w:p w14:paraId="4FE46BB4" w14:textId="063AE754" w:rsidR="003C04CA" w:rsidRPr="00A203FB" w:rsidRDefault="00C008E2" w:rsidP="00A203FB">
      <w:pPr>
        <w:pStyle w:val="NormalHanging12a"/>
        <w:widowControl/>
        <w:ind w:left="0" w:firstLine="0"/>
      </w:pPr>
      <w:r w:rsidRPr="00A203FB">
        <w:t>1.</w:t>
      </w:r>
      <w:r w:rsidRPr="00A203FB">
        <w:tab/>
      </w:r>
      <w:r w:rsidR="003C04CA" w:rsidRPr="00A203FB">
        <w:t>vahvistaa jäljempänä esitetyn ensimmäisen käsittelyn kannan;</w:t>
      </w:r>
    </w:p>
    <w:p w14:paraId="2215E5FA" w14:textId="79ED2E11" w:rsidR="00C008E2" w:rsidRPr="00A203FB" w:rsidRDefault="00C008E2" w:rsidP="00A203FB">
      <w:pPr>
        <w:pStyle w:val="NormalHanging12a"/>
        <w:widowControl/>
      </w:pPr>
      <w:r w:rsidRPr="00A203FB">
        <w:t>2.</w:t>
      </w:r>
      <w:r w:rsidRPr="00A203FB">
        <w:tab/>
        <w:t xml:space="preserve">hyväksyy tämän päätöslauselman liitteenä olevan </w:t>
      </w:r>
      <w:r w:rsidR="00C169AC" w:rsidRPr="00A203FB">
        <w:t xml:space="preserve">Euroopan </w:t>
      </w:r>
      <w:r w:rsidRPr="00A203FB">
        <w:t xml:space="preserve">parlamentin, neuvoston ja komission yhteisen lausuman, joka julkaistaan </w:t>
      </w:r>
      <w:r w:rsidRPr="00A203FB">
        <w:rPr>
          <w:i/>
          <w:iCs/>
        </w:rPr>
        <w:t>Euroopan unionin virallisen lehden</w:t>
      </w:r>
      <w:r w:rsidRPr="00A203FB">
        <w:t xml:space="preserve"> C-sarjassa;</w:t>
      </w:r>
    </w:p>
    <w:p w14:paraId="0904BD06" w14:textId="749C7D80" w:rsidR="003C04CA" w:rsidRPr="00A203FB" w:rsidRDefault="00C008E2" w:rsidP="00C008E2">
      <w:pPr>
        <w:pStyle w:val="NormalHanging12a"/>
        <w:widowControl/>
      </w:pPr>
      <w:r w:rsidRPr="00A203FB">
        <w:t>3.</w:t>
      </w:r>
      <w:r w:rsidRPr="00A203FB">
        <w:tab/>
      </w:r>
      <w:r w:rsidR="003C04CA" w:rsidRPr="00A203FB">
        <w:t>pyytää komissiota antamaan asian uudelleen Euroopan parlamentin käsiteltäväksi, jos se korvaa ehdotuksensa, muuttaa sitä huomattavasti tai aikoo muuttaa sitä huomattavasti;</w:t>
      </w:r>
    </w:p>
    <w:p w14:paraId="071ABE0F" w14:textId="603C0670" w:rsidR="00C008E2" w:rsidRPr="00A203FB" w:rsidRDefault="00C008E2" w:rsidP="00C008E2">
      <w:pPr>
        <w:pStyle w:val="NormalHanging12a"/>
        <w:widowControl/>
        <w:sectPr w:rsidR="00C008E2" w:rsidRPr="00A203FB" w:rsidSect="006206EC">
          <w:footnotePr>
            <w:numRestart w:val="eachSect"/>
          </w:footnotePr>
          <w:endnotePr>
            <w:numFmt w:val="decimal"/>
          </w:endnotePr>
          <w:pgSz w:w="11906" w:h="16838" w:code="9"/>
          <w:pgMar w:top="1134" w:right="1418" w:bottom="1418" w:left="1418" w:header="1134" w:footer="567" w:gutter="0"/>
          <w:cols w:space="720"/>
          <w:noEndnote/>
          <w:docGrid w:linePitch="326"/>
        </w:sectPr>
      </w:pPr>
      <w:r w:rsidRPr="00A203FB">
        <w:lastRenderedPageBreak/>
        <w:t>4.</w:t>
      </w:r>
      <w:r w:rsidRPr="00A203FB">
        <w:tab/>
      </w:r>
      <w:r w:rsidR="003C04CA" w:rsidRPr="00A203FB">
        <w:t>kehottaa puhemiestä välittämään parlamentin kannan neuvostolle ja komissiolle sekä kansallisille parlamenteille.</w:t>
      </w:r>
    </w:p>
    <w:p w14:paraId="5314DC0F" w14:textId="77777777" w:rsidR="00C008E2" w:rsidRPr="00A203FB" w:rsidRDefault="00C008E2" w:rsidP="00C008E2">
      <w:pPr>
        <w:autoSpaceDE w:val="0"/>
        <w:autoSpaceDN w:val="0"/>
        <w:adjustRightInd w:val="0"/>
        <w:spacing w:after="240"/>
        <w:rPr>
          <w:rFonts w:eastAsia="Calibri"/>
          <w:b/>
          <w:bCs/>
          <w:color w:val="000000"/>
          <w:szCs w:val="24"/>
        </w:rPr>
      </w:pPr>
      <w:r w:rsidRPr="00A203FB">
        <w:rPr>
          <w:rFonts w:eastAsia="Calibri"/>
          <w:b/>
          <w:bCs/>
          <w:color w:val="000000"/>
          <w:szCs w:val="24"/>
        </w:rPr>
        <w:lastRenderedPageBreak/>
        <w:t>P10_TC1-COD(2025)0726</w:t>
      </w:r>
    </w:p>
    <w:p w14:paraId="50BD63AA" w14:textId="4A39E555" w:rsidR="00C008E2" w:rsidRPr="007A341C" w:rsidRDefault="00C008E2" w:rsidP="00C008E2">
      <w:pPr>
        <w:spacing w:after="240"/>
        <w:rPr>
          <w:b/>
          <w:szCs w:val="24"/>
          <w:lang w:eastAsia="en-US"/>
        </w:rPr>
      </w:pPr>
      <w:r w:rsidRPr="007A341C">
        <w:rPr>
          <w:b/>
          <w:szCs w:val="24"/>
        </w:rPr>
        <w:t xml:space="preserve">Euroopan parlamentin kanta, vahvistettu ensimmäisessä käsittelyssä 19. toukokuuta 2026, Euroopan parlamentin ja neuvoston asetuksen (EU) 2026/… antamiseksi </w:t>
      </w:r>
      <w:r w:rsidRPr="007A341C">
        <w:rPr>
          <w:b/>
          <w:szCs w:val="24"/>
          <w:lang w:eastAsia="en-US"/>
        </w:rPr>
        <w:t>maailmanlaajuisen ylikapasiteetin unionin teräsmarkkinoilla aiheuttamien kauppaan liittyvien kielteisten vaikutusten torjumisesta ja asetuksen (EU) 2020/2170 muuttamisesta</w:t>
      </w:r>
    </w:p>
    <w:p w14:paraId="2F353BC2" w14:textId="06F97F10" w:rsidR="007A341C" w:rsidRDefault="007A341C" w:rsidP="007A341C">
      <w:pPr>
        <w:suppressAutoHyphens/>
        <w:rPr>
          <w:i/>
          <w:szCs w:val="24"/>
        </w:rPr>
      </w:pPr>
      <w:r w:rsidRPr="008046BC">
        <w:rPr>
          <w:i/>
          <w:szCs w:val="24"/>
        </w:rPr>
        <w:t xml:space="preserve">(Euroopan parlamentin ja neuvoston päästyä sopimukseen parlamentin kanta vastaa lopullista säädöstä, asetusta </w:t>
      </w:r>
      <w:r w:rsidRPr="002F34F6">
        <w:rPr>
          <w:i/>
          <w:szCs w:val="24"/>
        </w:rPr>
        <w:t xml:space="preserve">(EU) </w:t>
      </w:r>
      <w:r>
        <w:rPr>
          <w:i/>
          <w:szCs w:val="24"/>
        </w:rPr>
        <w:t>2026</w:t>
      </w:r>
      <w:r w:rsidRPr="002F34F6">
        <w:rPr>
          <w:i/>
          <w:szCs w:val="24"/>
        </w:rPr>
        <w:t>/</w:t>
      </w:r>
      <w:r>
        <w:rPr>
          <w:i/>
          <w:szCs w:val="24"/>
        </w:rPr>
        <w:t>1384</w:t>
      </w:r>
      <w:r>
        <w:rPr>
          <w:i/>
          <w:szCs w:val="24"/>
        </w:rPr>
        <w:t>.</w:t>
      </w:r>
      <w:r w:rsidRPr="008046BC">
        <w:rPr>
          <w:i/>
          <w:szCs w:val="24"/>
        </w:rPr>
        <w:t>)</w:t>
      </w:r>
    </w:p>
    <w:p w14:paraId="15D4407C" w14:textId="3731320F" w:rsidR="00C008E2" w:rsidRPr="00A203FB" w:rsidRDefault="00C008E2">
      <w:pPr>
        <w:widowControl/>
      </w:pPr>
      <w:r w:rsidRPr="00A203FB">
        <w:br w:type="page"/>
      </w:r>
    </w:p>
    <w:p w14:paraId="091F482B" w14:textId="090FDB3C" w:rsidR="00B35DF8" w:rsidRPr="00A203FB" w:rsidRDefault="00B35DF8" w:rsidP="00402566">
      <w:pPr>
        <w:widowControl/>
        <w:spacing w:after="240"/>
        <w:jc w:val="right"/>
        <w:rPr>
          <w:bCs/>
          <w:szCs w:val="24"/>
        </w:rPr>
      </w:pPr>
      <w:r w:rsidRPr="00A203FB">
        <w:rPr>
          <w:bCs/>
          <w:szCs w:val="24"/>
        </w:rPr>
        <w:lastRenderedPageBreak/>
        <w:t>LAINSÄÄDÄNTÖPÄÄTÖSLAUSELMAN LIITE</w:t>
      </w:r>
    </w:p>
    <w:p w14:paraId="0A24D99A" w14:textId="7AC5962D" w:rsidR="00C008E2" w:rsidRPr="00A203FB" w:rsidRDefault="00C008E2" w:rsidP="00B35DF8">
      <w:pPr>
        <w:widowControl/>
        <w:spacing w:after="240"/>
        <w:rPr>
          <w:b/>
          <w:bCs/>
          <w:szCs w:val="24"/>
        </w:rPr>
      </w:pPr>
      <w:r w:rsidRPr="00A203FB">
        <w:rPr>
          <w:b/>
          <w:szCs w:val="24"/>
        </w:rPr>
        <w:t>Euroopan parlamentin, neuvoston ja komission yhteinen lausuma terästuotteiden tuonnista Venäjältä</w:t>
      </w:r>
    </w:p>
    <w:p w14:paraId="583433A1" w14:textId="77777777" w:rsidR="00C008E2" w:rsidRPr="00A203FB" w:rsidRDefault="00C008E2" w:rsidP="00B35DF8">
      <w:pPr>
        <w:widowControl/>
        <w:spacing w:after="240"/>
        <w:rPr>
          <w:szCs w:val="24"/>
        </w:rPr>
      </w:pPr>
      <w:r w:rsidRPr="00A203FB">
        <w:rPr>
          <w:szCs w:val="24"/>
        </w:rPr>
        <w:t>Sodan alusta lähtien unioni ja sen jäsenvaltiot ovat toteuttaneet ennennäkemättömiä toimenpiteitä vähentääkseen taloudellista riippuvuutta Venäjästä ja pyrkiäkseen varmistamaan, ettei unionin taloudellisella toiminnalla osaltaan tueta Venäjän sotatoimia.</w:t>
      </w:r>
    </w:p>
    <w:p w14:paraId="4F945F2A" w14:textId="77777777" w:rsidR="00C008E2" w:rsidRPr="00A203FB" w:rsidRDefault="00C008E2" w:rsidP="00B35DF8">
      <w:pPr>
        <w:widowControl/>
        <w:spacing w:after="240"/>
        <w:rPr>
          <w:szCs w:val="24"/>
        </w:rPr>
      </w:pPr>
      <w:r w:rsidRPr="00A203FB">
        <w:rPr>
          <w:szCs w:val="24"/>
        </w:rPr>
        <w:t>Nämä toimenpiteet ovat vähentäneet merkittävästi kauppavirtoja monilla eri aloilla, kuten teräsalalla, nopeuttaneet irtautumista ja parantaneet unionin häiriönsietokykyä sekä osoittaneet unionin kyvyn toimia yhtenäisesti ja päättäväisesti, kun sen arvot ja strategiset edut ovat uhattuina.</w:t>
      </w:r>
    </w:p>
    <w:p w14:paraId="317A7DDB" w14:textId="77777777" w:rsidR="00C008E2" w:rsidRPr="00A203FB" w:rsidRDefault="00C008E2" w:rsidP="00B35DF8">
      <w:pPr>
        <w:widowControl/>
        <w:spacing w:after="240"/>
        <w:rPr>
          <w:szCs w:val="24"/>
        </w:rPr>
      </w:pPr>
      <w:r w:rsidRPr="00A203FB">
        <w:rPr>
          <w:szCs w:val="24"/>
        </w:rPr>
        <w:t>Samalla unionin on kiinnitettävä edelleen huomiota niihin alueisiin, joilla on edelleen riippuvuutta erityisesti tietyistä terästuotteista, joiden tuontia ei ole vielä kokonaan kielletty.</w:t>
      </w:r>
    </w:p>
    <w:p w14:paraId="4A7F3643" w14:textId="77777777" w:rsidR="00C008E2" w:rsidRPr="00A203FB" w:rsidRDefault="00C008E2" w:rsidP="00B35DF8">
      <w:pPr>
        <w:widowControl/>
        <w:spacing w:after="240"/>
        <w:rPr>
          <w:szCs w:val="24"/>
        </w:rPr>
      </w:pPr>
      <w:r w:rsidRPr="00A203FB">
        <w:rPr>
          <w:szCs w:val="24"/>
        </w:rPr>
        <w:t>Erityisesti Venäjältä peräisin oleva rajoitettu teräsalan tuonti jatkuu 30. syyskuuta 2028 neuvoston hyväksymissä asiaankuuluvissa rajoittavissa toimenpiteissä vahvistettujen siirtymäjärjestelyjen mukaisesti</w:t>
      </w:r>
      <w:r w:rsidRPr="00A203FB">
        <w:rPr>
          <w:szCs w:val="24"/>
          <w:vertAlign w:val="superscript"/>
        </w:rPr>
        <w:footnoteReference w:id="1"/>
      </w:r>
      <w:r w:rsidRPr="00A203FB">
        <w:rPr>
          <w:szCs w:val="24"/>
        </w:rPr>
        <w:t>. Vaiheittain toteutettavan vakaan monipuolistamisen varmistamiseksi tälle tuonnille asetetaan kiintiöt, joiden määrät pienenevät vuosittain.</w:t>
      </w:r>
    </w:p>
    <w:p w14:paraId="76D4634A" w14:textId="0C28649B" w:rsidR="00E365E1" w:rsidRPr="006206EC" w:rsidRDefault="00C008E2" w:rsidP="005D2EF4">
      <w:pPr>
        <w:widowControl/>
        <w:spacing w:after="240"/>
      </w:pPr>
      <w:r w:rsidRPr="00A203FB">
        <w:rPr>
          <w:szCs w:val="24"/>
        </w:rPr>
        <w:t>Euroopan parlamentti, neuvosto ja komissio palauttavat mieleen rajoittaviin toimenpiteisiin sovellettavan institutionaalisen kehyksen ja korostavat, että neuvoston hyväksymät asiaankuuluvat rajoittavat toimenpiteet edistävät venäläisten terästuotteiden, erityisesti teräslaattojen, jäljellä olevan tuonnin lopettamista kokonaan 30. syyskuuta 2028 mennessä.</w:t>
      </w:r>
      <w:r w:rsidRPr="00A203FB">
        <w:rPr>
          <w:rFonts w:ascii="Arial" w:hAnsi="Arial" w:cs="Arial"/>
          <w:noProof/>
          <w:vanish/>
          <w:color w:val="000080"/>
          <w:sz w:val="20"/>
        </w:rPr>
        <w:t>&lt;/Amend&gt;</w:t>
      </w:r>
    </w:p>
    <w:sectPr w:rsidR="00E365E1" w:rsidRPr="006206EC" w:rsidSect="006206EC">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8320D" w14:textId="77777777" w:rsidR="005E7BE1" w:rsidRPr="006206EC" w:rsidRDefault="005E7BE1">
      <w:r w:rsidRPr="006206EC">
        <w:separator/>
      </w:r>
    </w:p>
  </w:endnote>
  <w:endnote w:type="continuationSeparator" w:id="0">
    <w:p w14:paraId="38A35829" w14:textId="77777777" w:rsidR="005E7BE1" w:rsidRPr="006206EC" w:rsidRDefault="005E7BE1">
      <w:r w:rsidRPr="006206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580C5" w14:textId="77777777" w:rsidR="00C008E2" w:rsidRPr="00B142AF" w:rsidRDefault="00C008E2">
    <w:pPr>
      <w:pStyle w:val="Footer1"/>
    </w:pPr>
    <w:r w:rsidRPr="00B142AF">
      <w:rPr>
        <w:rStyle w:val="Footer2"/>
      </w:rPr>
      <w:t>FI</w:t>
    </w:r>
    <w:r w:rsidRPr="00B142AF">
      <w:tab/>
    </w:r>
    <w:r w:rsidRPr="00B142AF">
      <w:fldChar w:fldCharType="begin"/>
    </w:r>
    <w:r w:rsidRPr="00B142AF">
      <w:instrText xml:space="preserve"> PAGE </w:instrText>
    </w:r>
    <w:r w:rsidRPr="00B142AF">
      <w:fldChar w:fldCharType="separate"/>
    </w:r>
    <w:r w:rsidRPr="00B142AF">
      <w:rPr>
        <w:noProof/>
      </w:rPr>
      <w:t>1</w:t>
    </w:r>
    <w:r w:rsidRPr="00B142AF">
      <w:fldChar w:fldCharType="end"/>
    </w:r>
    <w:r w:rsidRPr="00B142AF">
      <w:tab/>
    </w:r>
    <w:r w:rsidRPr="00B142AF">
      <w:rPr>
        <w:rStyle w:val="Footer2"/>
      </w:rPr>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94493" w14:textId="77777777" w:rsidR="00C008E2" w:rsidRPr="00B142AF" w:rsidRDefault="00C008E2">
    <w:pPr>
      <w:pStyle w:val="Footer1"/>
    </w:pPr>
    <w:r w:rsidRPr="00B142AF">
      <w:rPr>
        <w:rStyle w:val="Footer2"/>
      </w:rPr>
      <w:t>FI</w:t>
    </w:r>
    <w:r w:rsidRPr="00B142AF">
      <w:tab/>
    </w:r>
    <w:r w:rsidRPr="00B142AF">
      <w:fldChar w:fldCharType="begin"/>
    </w:r>
    <w:r w:rsidRPr="00B142AF">
      <w:instrText xml:space="preserve"> PAGE </w:instrText>
    </w:r>
    <w:r w:rsidRPr="00B142AF">
      <w:fldChar w:fldCharType="separate"/>
    </w:r>
    <w:r w:rsidRPr="00B142AF">
      <w:rPr>
        <w:noProof/>
      </w:rPr>
      <w:t>1</w:t>
    </w:r>
    <w:r w:rsidRPr="00B142AF">
      <w:fldChar w:fldCharType="end"/>
    </w:r>
    <w:r w:rsidRPr="00B142AF">
      <w:tab/>
    </w:r>
    <w:r w:rsidRPr="00B142AF">
      <w:rPr>
        <w:rStyle w:val="Footer2"/>
      </w:rPr>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AAE53" w14:textId="77777777" w:rsidR="005E7BE1" w:rsidRPr="006206EC" w:rsidRDefault="005E7BE1">
      <w:r w:rsidRPr="006206EC">
        <w:separator/>
      </w:r>
    </w:p>
  </w:footnote>
  <w:footnote w:type="continuationSeparator" w:id="0">
    <w:p w14:paraId="0B1D00CF" w14:textId="77777777" w:rsidR="005E7BE1" w:rsidRPr="006206EC" w:rsidRDefault="005E7BE1">
      <w:r w:rsidRPr="006206EC">
        <w:continuationSeparator/>
      </w:r>
    </w:p>
  </w:footnote>
  <w:footnote w:id="1">
    <w:p w14:paraId="1D684A19" w14:textId="1EA8B89E" w:rsidR="00C008E2" w:rsidRPr="00C008E2" w:rsidRDefault="00C008E2" w:rsidP="00C008E2">
      <w:pPr>
        <w:pStyle w:val="FootnoteText"/>
        <w:ind w:left="720" w:hanging="720"/>
        <w:rPr>
          <w:sz w:val="24"/>
          <w:szCs w:val="24"/>
          <w:lang w:val="fi-FI"/>
        </w:rPr>
      </w:pPr>
      <w:r w:rsidRPr="000A081F">
        <w:rPr>
          <w:rStyle w:val="FootnoteReference"/>
          <w:sz w:val="24"/>
          <w:szCs w:val="24"/>
        </w:rPr>
        <w:footnoteRef/>
      </w:r>
      <w:r w:rsidRPr="00C008E2">
        <w:rPr>
          <w:sz w:val="24"/>
          <w:szCs w:val="24"/>
          <w:lang w:val="fi-FI"/>
        </w:rPr>
        <w:t xml:space="preserve"> </w:t>
      </w:r>
      <w:r w:rsidRPr="00C008E2">
        <w:rPr>
          <w:sz w:val="24"/>
          <w:szCs w:val="24"/>
          <w:lang w:val="fi-FI"/>
        </w:rPr>
        <w:tab/>
      </w:r>
      <w:r w:rsidRPr="007A341C">
        <w:rPr>
          <w:sz w:val="24"/>
          <w:szCs w:val="24"/>
          <w:lang w:val="fi-FI"/>
        </w:rPr>
        <w:t xml:space="preserve">Neuvoston päätös 2014/512/YUTP, annettu 31. heinäkuuta 2014, rajoittavista toimenpiteistä Ukrainan tilannetta epävakauttavien Venäjän toimien </w:t>
      </w:r>
      <w:proofErr w:type="gramStart"/>
      <w:r w:rsidRPr="007A341C">
        <w:rPr>
          <w:sz w:val="24"/>
          <w:szCs w:val="24"/>
          <w:lang w:val="fi-FI"/>
        </w:rPr>
        <w:t>johdosta</w:t>
      </w:r>
      <w:proofErr w:type="gramEnd"/>
      <w:r w:rsidRPr="007A341C">
        <w:rPr>
          <w:sz w:val="24"/>
          <w:szCs w:val="24"/>
          <w:lang w:val="fi-FI"/>
        </w:rPr>
        <w:t xml:space="preserve"> </w:t>
      </w:r>
      <w:r w:rsidR="007A341C" w:rsidRPr="007A341C">
        <w:rPr>
          <w:sz w:val="24"/>
          <w:szCs w:val="24"/>
          <w:lang w:val="fi-FI"/>
        </w:rPr>
        <w:t>(</w:t>
      </w:r>
      <w:r w:rsidR="007A341C" w:rsidRPr="007A341C">
        <w:rPr>
          <w:sz w:val="24"/>
          <w:szCs w:val="24"/>
          <w:lang w:val="fi-FI"/>
        </w:rPr>
        <w:t>EUVL</w:t>
      </w:r>
      <w:r w:rsidR="007A341C" w:rsidRPr="007A341C">
        <w:rPr>
          <w:sz w:val="24"/>
          <w:szCs w:val="24"/>
          <w:lang w:val="fi-FI"/>
        </w:rPr>
        <w:t xml:space="preserve"> L</w:t>
      </w:r>
      <w:r w:rsidR="007A341C" w:rsidRPr="007A341C">
        <w:rPr>
          <w:sz w:val="24"/>
          <w:szCs w:val="24"/>
          <w:lang w:val="fi-FI"/>
        </w:rPr>
        <w:t> </w:t>
      </w:r>
      <w:r w:rsidR="007A341C" w:rsidRPr="007A341C">
        <w:rPr>
          <w:sz w:val="24"/>
          <w:szCs w:val="24"/>
          <w:lang w:val="fi-FI"/>
        </w:rPr>
        <w:t xml:space="preserve">229, 31.7.2014, </w:t>
      </w:r>
      <w:r w:rsidR="007A341C" w:rsidRPr="007A341C">
        <w:rPr>
          <w:sz w:val="24"/>
          <w:szCs w:val="24"/>
          <w:lang w:val="fi-FI"/>
        </w:rPr>
        <w:t>s</w:t>
      </w:r>
      <w:r w:rsidR="007A341C" w:rsidRPr="007A341C">
        <w:rPr>
          <w:sz w:val="24"/>
          <w:szCs w:val="24"/>
          <w:lang w:val="fi-FI"/>
        </w:rPr>
        <w:t xml:space="preserve">. 13, ELI: </w:t>
      </w:r>
      <w:hyperlink r:id="rId1" w:history="1">
        <w:r w:rsidR="007A341C" w:rsidRPr="007A341C">
          <w:rPr>
            <w:rStyle w:val="Hyperlink"/>
            <w:sz w:val="24"/>
            <w:szCs w:val="24"/>
            <w:lang w:val="fi-FI"/>
          </w:rPr>
          <w:t>http://data.europa.eu/eli/dec/2014/512/oj</w:t>
        </w:r>
      </w:hyperlink>
      <w:r w:rsidR="007A341C" w:rsidRPr="007A341C">
        <w:rPr>
          <w:sz w:val="24"/>
          <w:szCs w:val="24"/>
          <w:lang w:val="fi-FI"/>
        </w:rPr>
        <w:t xml:space="preserve">) </w:t>
      </w:r>
      <w:r w:rsidRPr="007A341C">
        <w:rPr>
          <w:sz w:val="24"/>
          <w:szCs w:val="24"/>
          <w:lang w:val="fi-FI"/>
        </w:rPr>
        <w:t>ja neuvoston asetus (EU) N:o 833/2014, annettu 31. heinäkuuta 2014, |rajoittavista toimenpiteistä Ukrainan tilannetta epävakauttavien Venäjän toimien johdosta</w:t>
      </w:r>
      <w:r w:rsidR="007A341C" w:rsidRPr="007A341C">
        <w:rPr>
          <w:sz w:val="24"/>
          <w:szCs w:val="24"/>
          <w:lang w:val="fi-FI"/>
        </w:rPr>
        <w:t xml:space="preserve"> </w:t>
      </w:r>
      <w:r w:rsidR="007A341C" w:rsidRPr="007A341C">
        <w:rPr>
          <w:sz w:val="24"/>
          <w:szCs w:val="24"/>
          <w:lang w:val="fi-FI"/>
        </w:rPr>
        <w:t>(</w:t>
      </w:r>
      <w:r w:rsidR="007A341C" w:rsidRPr="007A341C">
        <w:rPr>
          <w:sz w:val="24"/>
          <w:szCs w:val="24"/>
          <w:lang w:val="fi-FI"/>
        </w:rPr>
        <w:t>EUVL</w:t>
      </w:r>
      <w:r w:rsidR="007A341C" w:rsidRPr="007A341C">
        <w:rPr>
          <w:sz w:val="24"/>
          <w:szCs w:val="24"/>
          <w:lang w:val="fi-FI"/>
        </w:rPr>
        <w:t xml:space="preserve"> L 229, 31.7.2014, </w:t>
      </w:r>
      <w:r w:rsidR="007A341C" w:rsidRPr="007A341C">
        <w:rPr>
          <w:sz w:val="24"/>
          <w:szCs w:val="24"/>
          <w:lang w:val="fi-FI"/>
        </w:rPr>
        <w:t>s</w:t>
      </w:r>
      <w:r w:rsidR="007A341C" w:rsidRPr="007A341C">
        <w:rPr>
          <w:sz w:val="24"/>
          <w:szCs w:val="24"/>
          <w:lang w:val="fi-FI"/>
        </w:rPr>
        <w:t xml:space="preserve">. 1, ELI: </w:t>
      </w:r>
      <w:hyperlink r:id="rId2" w:history="1">
        <w:r w:rsidR="007A341C" w:rsidRPr="007A341C">
          <w:rPr>
            <w:rStyle w:val="Hyperlink"/>
            <w:sz w:val="24"/>
            <w:szCs w:val="24"/>
            <w:lang w:val="fi-FI"/>
          </w:rPr>
          <w:t>http://data.europa.eu/eli/reg/2014/833/oj</w:t>
        </w:r>
      </w:hyperlink>
      <w:r w:rsidR="007A341C" w:rsidRPr="007A341C">
        <w:rPr>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6630497">
    <w:abstractNumId w:val="0"/>
  </w:num>
  <w:num w:numId="2" w16cid:durableId="1094857360">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2/2026"/>
    <w:docVar w:name="dvlangue" w:val="FI"/>
    <w:docVar w:name="dvnumam" w:val="88"/>
    <w:docVar w:name="dvpe" w:val="779.727"/>
    <w:docVar w:name="dvrapporteur" w:val="Esittelijä: "/>
    <w:docVar w:name="dvstar" w:val="***I"/>
    <w:docVar w:name="dvtitre" w:val="Euroopan parlamentin lainsäädäntöpäätöslauselma xx. toukokuuta 2026 ehdotuksesta Euroopan parlamentin ja neuvoston asetukseksi maailmanlaajuisen ylikapasiteetin unionin teräsmarkkinoilla aiheuttamien kauppaan liittyvien kielteisten vaikutusten torjumisesta(COM(2025)0726 – C10-0245/2025 – 2025/0726(COD))"/>
  </w:docVars>
  <w:rsids>
    <w:rsidRoot w:val="005E7BE1"/>
    <w:rsid w:val="00002272"/>
    <w:rsid w:val="00040EDF"/>
    <w:rsid w:val="00064002"/>
    <w:rsid w:val="000677B9"/>
    <w:rsid w:val="000831BA"/>
    <w:rsid w:val="000A42CC"/>
    <w:rsid w:val="000E6FBE"/>
    <w:rsid w:val="000E7DD9"/>
    <w:rsid w:val="0010095E"/>
    <w:rsid w:val="00125B37"/>
    <w:rsid w:val="0015679C"/>
    <w:rsid w:val="00187494"/>
    <w:rsid w:val="001F32AE"/>
    <w:rsid w:val="002767FF"/>
    <w:rsid w:val="002B18FE"/>
    <w:rsid w:val="002B5493"/>
    <w:rsid w:val="002F2862"/>
    <w:rsid w:val="00343214"/>
    <w:rsid w:val="00361C00"/>
    <w:rsid w:val="00395FA1"/>
    <w:rsid w:val="003C04CA"/>
    <w:rsid w:val="003E15D4"/>
    <w:rsid w:val="0040256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2EF4"/>
    <w:rsid w:val="005D5C45"/>
    <w:rsid w:val="005E7BE1"/>
    <w:rsid w:val="005F1B17"/>
    <w:rsid w:val="006037C0"/>
    <w:rsid w:val="006206EC"/>
    <w:rsid w:val="006631B6"/>
    <w:rsid w:val="00680577"/>
    <w:rsid w:val="006853B1"/>
    <w:rsid w:val="006A3BB2"/>
    <w:rsid w:val="006F74FA"/>
    <w:rsid w:val="00731ADD"/>
    <w:rsid w:val="00734777"/>
    <w:rsid w:val="0074768F"/>
    <w:rsid w:val="00747932"/>
    <w:rsid w:val="00751A4A"/>
    <w:rsid w:val="00756632"/>
    <w:rsid w:val="00762C74"/>
    <w:rsid w:val="00786EC0"/>
    <w:rsid w:val="007A341C"/>
    <w:rsid w:val="007C0586"/>
    <w:rsid w:val="007D1690"/>
    <w:rsid w:val="007E22AD"/>
    <w:rsid w:val="00817416"/>
    <w:rsid w:val="00842779"/>
    <w:rsid w:val="00850C1A"/>
    <w:rsid w:val="00865F67"/>
    <w:rsid w:val="00881A7B"/>
    <w:rsid w:val="008840E5"/>
    <w:rsid w:val="00887B3E"/>
    <w:rsid w:val="008C2AC6"/>
    <w:rsid w:val="008C538B"/>
    <w:rsid w:val="00930C23"/>
    <w:rsid w:val="0093193B"/>
    <w:rsid w:val="009509D8"/>
    <w:rsid w:val="00950B64"/>
    <w:rsid w:val="009777BD"/>
    <w:rsid w:val="00981893"/>
    <w:rsid w:val="009C61D0"/>
    <w:rsid w:val="009E5B02"/>
    <w:rsid w:val="009F4567"/>
    <w:rsid w:val="009F500C"/>
    <w:rsid w:val="00A1687D"/>
    <w:rsid w:val="00A203FB"/>
    <w:rsid w:val="00A43E52"/>
    <w:rsid w:val="00A4678D"/>
    <w:rsid w:val="00A778C7"/>
    <w:rsid w:val="00AB441E"/>
    <w:rsid w:val="00AB6293"/>
    <w:rsid w:val="00AE039C"/>
    <w:rsid w:val="00AE0928"/>
    <w:rsid w:val="00AF3B82"/>
    <w:rsid w:val="00B12E95"/>
    <w:rsid w:val="00B22876"/>
    <w:rsid w:val="00B35DF8"/>
    <w:rsid w:val="00B40CF0"/>
    <w:rsid w:val="00B558F0"/>
    <w:rsid w:val="00B55A31"/>
    <w:rsid w:val="00BD48FE"/>
    <w:rsid w:val="00BD7BD8"/>
    <w:rsid w:val="00BE6ADC"/>
    <w:rsid w:val="00C008E2"/>
    <w:rsid w:val="00C05BFE"/>
    <w:rsid w:val="00C169AC"/>
    <w:rsid w:val="00C23CD4"/>
    <w:rsid w:val="00C61C0C"/>
    <w:rsid w:val="00C6299C"/>
    <w:rsid w:val="00C85808"/>
    <w:rsid w:val="00C941CB"/>
    <w:rsid w:val="00CC2357"/>
    <w:rsid w:val="00CC77CC"/>
    <w:rsid w:val="00CF071A"/>
    <w:rsid w:val="00D058B8"/>
    <w:rsid w:val="00D41C8D"/>
    <w:rsid w:val="00D56C11"/>
    <w:rsid w:val="00D834A0"/>
    <w:rsid w:val="00D872DF"/>
    <w:rsid w:val="00D91E21"/>
    <w:rsid w:val="00DA7FCD"/>
    <w:rsid w:val="00E365E1"/>
    <w:rsid w:val="00E6194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11420DB"/>
  <w15:chartTrackingRefBased/>
  <w15:docId w15:val="{4FA3E86C-3E28-4033-B99B-8B79E14DD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Body Text" w:uiPriority="1"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C04CA"/>
    <w:rPr>
      <w:b/>
      <w:kern w:val="28"/>
      <w:sz w:val="28"/>
      <w:lang w:val="fr-FR" w:eastAsia="fr-FR"/>
    </w:rPr>
  </w:style>
  <w:style w:type="character" w:customStyle="1" w:styleId="Heading2Char">
    <w:name w:val="Heading 2 Char"/>
    <w:basedOn w:val="DefaultParagraphFont"/>
    <w:link w:val="Heading2"/>
    <w:semiHidden/>
    <w:rsid w:val="003C04CA"/>
    <w:rPr>
      <w:sz w:val="24"/>
      <w:lang w:val="fr-FR" w:eastAsia="fr-FR"/>
    </w:rPr>
  </w:style>
  <w:style w:type="character" w:customStyle="1" w:styleId="Heading3Char">
    <w:name w:val="Heading 3 Char"/>
    <w:basedOn w:val="DefaultParagraphFont"/>
    <w:link w:val="Heading3"/>
    <w:semiHidden/>
    <w:rsid w:val="003C04CA"/>
    <w:rPr>
      <w:rFonts w:ascii="Arial" w:hAnsi="Arial"/>
      <w:sz w:val="24"/>
      <w:lang w:val="fr-FR" w:eastAsia="fr-FR"/>
    </w:rPr>
  </w:style>
  <w:style w:type="character" w:customStyle="1" w:styleId="Heading4Char">
    <w:name w:val="Heading 4 Char"/>
    <w:basedOn w:val="DefaultParagraphFont"/>
    <w:link w:val="Heading4"/>
    <w:semiHidden/>
    <w:rsid w:val="003C04CA"/>
    <w:rPr>
      <w:sz w:val="24"/>
      <w:lang w:val="en-US" w:eastAsia="fr-FR"/>
    </w:rPr>
  </w:style>
  <w:style w:type="character" w:customStyle="1" w:styleId="Heading5Char">
    <w:name w:val="Heading 5 Char"/>
    <w:basedOn w:val="DefaultParagraphFont"/>
    <w:link w:val="Heading5"/>
    <w:semiHidden/>
    <w:rsid w:val="003C04CA"/>
    <w:rPr>
      <w:sz w:val="24"/>
      <w:lang w:val="en-US" w:eastAsia="fr-FR"/>
    </w:rPr>
  </w:style>
  <w:style w:type="character" w:customStyle="1" w:styleId="Heading6Char">
    <w:name w:val="Heading 6 Char"/>
    <w:basedOn w:val="DefaultParagraphFont"/>
    <w:link w:val="Heading6"/>
    <w:semiHidden/>
    <w:rsid w:val="003C04CA"/>
    <w:rPr>
      <w:i/>
      <w:sz w:val="22"/>
      <w:lang w:val="fi-FI"/>
    </w:rPr>
  </w:style>
  <w:style w:type="character" w:customStyle="1" w:styleId="Heading7Char">
    <w:name w:val="Heading 7 Char"/>
    <w:basedOn w:val="DefaultParagraphFont"/>
    <w:link w:val="Heading7"/>
    <w:semiHidden/>
    <w:rsid w:val="003C04CA"/>
    <w:rPr>
      <w:rFonts w:ascii="Arial" w:hAnsi="Arial"/>
      <w:sz w:val="24"/>
      <w:lang w:val="fi-FI"/>
    </w:rPr>
  </w:style>
  <w:style w:type="character" w:customStyle="1" w:styleId="Heading8Char">
    <w:name w:val="Heading 8 Char"/>
    <w:basedOn w:val="DefaultParagraphFont"/>
    <w:link w:val="Heading8"/>
    <w:semiHidden/>
    <w:rsid w:val="003C04CA"/>
    <w:rPr>
      <w:rFonts w:ascii="Arial" w:hAnsi="Arial"/>
      <w:i/>
      <w:sz w:val="24"/>
      <w:lang w:val="fi-FI"/>
    </w:rPr>
  </w:style>
  <w:style w:type="character" w:customStyle="1" w:styleId="Heading9Char">
    <w:name w:val="Heading 9 Char"/>
    <w:basedOn w:val="DefaultParagraphFont"/>
    <w:link w:val="Heading9"/>
    <w:semiHidden/>
    <w:rsid w:val="003C04CA"/>
    <w:rPr>
      <w:rFonts w:ascii="Arial" w:hAnsi="Arial"/>
      <w:b/>
      <w:i/>
      <w:sz w:val="18"/>
      <w:lang w:val="fi-FI"/>
    </w:rPr>
  </w:style>
  <w:style w:type="paragraph" w:styleId="TOCHeading">
    <w:name w:val="TOC Heading"/>
    <w:basedOn w:val="Normal"/>
    <w:next w:val="Normal"/>
    <w:unhideWhenUsed/>
    <w:qFormat/>
    <w:rsid w:val="003C04CA"/>
    <w:pPr>
      <w:widowControl/>
      <w:spacing w:after="240"/>
    </w:pPr>
    <w:rPr>
      <w:lang w:val="en-GB"/>
    </w:rPr>
  </w:style>
  <w:style w:type="paragraph" w:customStyle="1" w:styleId="EPFooter2">
    <w:name w:val="EPFooter2"/>
    <w:basedOn w:val="Normal"/>
    <w:next w:val="Normal"/>
    <w:rsid w:val="003C04C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C04CA"/>
    <w:pPr>
      <w:keepNext/>
      <w:spacing w:after="240"/>
      <w:jc w:val="right"/>
    </w:pPr>
    <w:rPr>
      <w:rFonts w:ascii="Arial" w:hAnsi="Arial"/>
      <w:b/>
    </w:rPr>
  </w:style>
  <w:style w:type="paragraph" w:customStyle="1" w:styleId="Normal6a">
    <w:name w:val="Normal6a"/>
    <w:basedOn w:val="Normal"/>
    <w:rsid w:val="003C04CA"/>
    <w:pPr>
      <w:spacing w:after="120"/>
    </w:pPr>
  </w:style>
  <w:style w:type="paragraph" w:customStyle="1" w:styleId="PageHeading">
    <w:name w:val="PageHeading"/>
    <w:basedOn w:val="Normal"/>
    <w:qFormat/>
    <w:rsid w:val="003C04CA"/>
    <w:pPr>
      <w:keepNext/>
      <w:spacing w:after="480"/>
      <w:jc w:val="center"/>
    </w:pPr>
    <w:rPr>
      <w:rFonts w:ascii="Arial" w:hAnsi="Arial" w:cs="Arial"/>
      <w:b/>
    </w:rPr>
  </w:style>
  <w:style w:type="paragraph" w:customStyle="1" w:styleId="NormalBold">
    <w:name w:val="NormalBold"/>
    <w:basedOn w:val="Normal"/>
    <w:link w:val="NormalBoldChar"/>
    <w:rsid w:val="003C04CA"/>
    <w:rPr>
      <w:b/>
    </w:rPr>
  </w:style>
  <w:style w:type="paragraph" w:customStyle="1" w:styleId="NormalBold12a">
    <w:name w:val="NormalBold12a"/>
    <w:basedOn w:val="Normal"/>
    <w:rsid w:val="003C04CA"/>
    <w:pPr>
      <w:spacing w:after="240"/>
    </w:pPr>
    <w:rPr>
      <w:b/>
    </w:rPr>
  </w:style>
  <w:style w:type="paragraph" w:customStyle="1" w:styleId="AmJustText">
    <w:name w:val="AmJustText"/>
    <w:basedOn w:val="Normal"/>
    <w:rsid w:val="003C04CA"/>
    <w:pPr>
      <w:spacing w:after="240"/>
    </w:pPr>
    <w:rPr>
      <w:i/>
    </w:rPr>
  </w:style>
  <w:style w:type="paragraph" w:customStyle="1" w:styleId="NormalHanging12a">
    <w:name w:val="NormalHanging12a"/>
    <w:basedOn w:val="Normal"/>
    <w:rsid w:val="003C04CA"/>
    <w:pPr>
      <w:spacing w:after="240"/>
      <w:ind w:left="567" w:hanging="567"/>
    </w:pPr>
  </w:style>
  <w:style w:type="paragraph" w:customStyle="1" w:styleId="CoverNormal24a">
    <w:name w:val="CoverNormal24a"/>
    <w:basedOn w:val="Normal"/>
    <w:rsid w:val="003C04CA"/>
    <w:pPr>
      <w:spacing w:after="480"/>
      <w:ind w:left="1417"/>
    </w:pPr>
  </w:style>
  <w:style w:type="paragraph" w:customStyle="1" w:styleId="CoverNormal">
    <w:name w:val="CoverNormal"/>
    <w:basedOn w:val="Normal"/>
    <w:rsid w:val="003C04CA"/>
    <w:pPr>
      <w:ind w:left="1418"/>
    </w:pPr>
  </w:style>
  <w:style w:type="paragraph" w:customStyle="1" w:styleId="AmCrossRef">
    <w:name w:val="AmCrossRef"/>
    <w:basedOn w:val="Normal"/>
    <w:rsid w:val="003C04CA"/>
    <w:pPr>
      <w:spacing w:before="240" w:after="240"/>
      <w:jc w:val="center"/>
    </w:pPr>
    <w:rPr>
      <w:i/>
    </w:rPr>
  </w:style>
  <w:style w:type="paragraph" w:customStyle="1" w:styleId="AmJustTitle">
    <w:name w:val="AmJustTitle"/>
    <w:basedOn w:val="Normal"/>
    <w:next w:val="AmJustText"/>
    <w:rsid w:val="003C04CA"/>
    <w:pPr>
      <w:keepNext/>
      <w:spacing w:before="240" w:after="240"/>
      <w:jc w:val="center"/>
    </w:pPr>
    <w:rPr>
      <w:i/>
    </w:rPr>
  </w:style>
  <w:style w:type="paragraph" w:customStyle="1" w:styleId="CoverReference">
    <w:name w:val="CoverReference"/>
    <w:basedOn w:val="Normal"/>
    <w:rsid w:val="003C04CA"/>
    <w:pPr>
      <w:spacing w:before="1080"/>
      <w:jc w:val="right"/>
    </w:pPr>
    <w:rPr>
      <w:rFonts w:ascii="Arial" w:hAnsi="Arial" w:cs="Arial"/>
      <w:b/>
    </w:rPr>
  </w:style>
  <w:style w:type="paragraph" w:customStyle="1" w:styleId="CoverDocType">
    <w:name w:val="CoverDocType"/>
    <w:basedOn w:val="Normal"/>
    <w:rsid w:val="003C04CA"/>
    <w:pPr>
      <w:ind w:left="1418"/>
    </w:pPr>
    <w:rPr>
      <w:rFonts w:ascii="Arial" w:hAnsi="Arial"/>
      <w:b/>
      <w:sz w:val="48"/>
    </w:rPr>
  </w:style>
  <w:style w:type="paragraph" w:customStyle="1" w:styleId="CoverDocType24a">
    <w:name w:val="CoverDocType24a"/>
    <w:basedOn w:val="Normal"/>
    <w:rsid w:val="003C04CA"/>
    <w:pPr>
      <w:spacing w:after="480"/>
      <w:ind w:left="1418"/>
    </w:pPr>
    <w:rPr>
      <w:rFonts w:ascii="Arial" w:hAnsi="Arial"/>
      <w:b/>
      <w:sz w:val="48"/>
    </w:rPr>
  </w:style>
  <w:style w:type="paragraph" w:customStyle="1" w:styleId="CoverDate">
    <w:name w:val="CoverDate"/>
    <w:basedOn w:val="Normal"/>
    <w:rsid w:val="003C04CA"/>
    <w:pPr>
      <w:spacing w:before="240" w:after="1200"/>
    </w:pPr>
  </w:style>
  <w:style w:type="paragraph" w:styleId="Header">
    <w:name w:val="header"/>
    <w:basedOn w:val="Normal"/>
    <w:link w:val="HeaderChar"/>
    <w:rsid w:val="003C04CA"/>
    <w:pPr>
      <w:tabs>
        <w:tab w:val="center" w:pos="4513"/>
        <w:tab w:val="right" w:pos="9026"/>
      </w:tabs>
    </w:pPr>
  </w:style>
  <w:style w:type="character" w:customStyle="1" w:styleId="HeaderChar">
    <w:name w:val="Header Char"/>
    <w:basedOn w:val="DefaultParagraphFont"/>
    <w:link w:val="Header"/>
    <w:rsid w:val="003C04CA"/>
    <w:rPr>
      <w:sz w:val="24"/>
      <w:lang w:val="fi-FI"/>
    </w:rPr>
  </w:style>
  <w:style w:type="paragraph" w:customStyle="1" w:styleId="AmOrLang">
    <w:name w:val="AmOrLang"/>
    <w:basedOn w:val="Normal"/>
    <w:rsid w:val="003C04CA"/>
    <w:pPr>
      <w:spacing w:before="240" w:after="240"/>
      <w:jc w:val="right"/>
    </w:pPr>
  </w:style>
  <w:style w:type="paragraph" w:customStyle="1" w:styleId="AmColumnHeading">
    <w:name w:val="AmColumnHeading"/>
    <w:basedOn w:val="Normal"/>
    <w:rsid w:val="003C04CA"/>
    <w:pPr>
      <w:spacing w:after="240"/>
      <w:jc w:val="center"/>
    </w:pPr>
    <w:rPr>
      <w:i/>
    </w:rPr>
  </w:style>
  <w:style w:type="paragraph" w:customStyle="1" w:styleId="AmNumberTabs">
    <w:name w:val="AmNumberTabs"/>
    <w:basedOn w:val="Normal"/>
    <w:rsid w:val="003C04C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C04CA"/>
    <w:pPr>
      <w:spacing w:before="240"/>
    </w:pPr>
    <w:rPr>
      <w:b/>
    </w:rPr>
  </w:style>
  <w:style w:type="paragraph" w:customStyle="1" w:styleId="EPBody">
    <w:name w:val="EPBody"/>
    <w:basedOn w:val="Normal"/>
    <w:rsid w:val="003C04CA"/>
    <w:pPr>
      <w:jc w:val="center"/>
    </w:pPr>
    <w:rPr>
      <w:rFonts w:ascii="Arial" w:hAnsi="Arial" w:cs="Arial"/>
      <w:i/>
      <w:sz w:val="22"/>
      <w:szCs w:val="22"/>
    </w:rPr>
  </w:style>
  <w:style w:type="paragraph" w:customStyle="1" w:styleId="EPFooter">
    <w:name w:val="EPFooter"/>
    <w:basedOn w:val="Normal"/>
    <w:rsid w:val="003C04CA"/>
    <w:pPr>
      <w:tabs>
        <w:tab w:val="center" w:pos="4535"/>
        <w:tab w:val="right" w:pos="9071"/>
      </w:tabs>
      <w:spacing w:before="240" w:after="240"/>
    </w:pPr>
    <w:rPr>
      <w:color w:val="010000"/>
      <w:sz w:val="22"/>
    </w:rPr>
  </w:style>
  <w:style w:type="paragraph" w:customStyle="1" w:styleId="EPComma">
    <w:name w:val="EPComma"/>
    <w:basedOn w:val="Normal"/>
    <w:rsid w:val="003C04CA"/>
    <w:pPr>
      <w:spacing w:before="480" w:after="240"/>
    </w:pPr>
  </w:style>
  <w:style w:type="paragraph" w:customStyle="1" w:styleId="Lgendesigne">
    <w:name w:val="Légende signe"/>
    <w:basedOn w:val="Normal"/>
    <w:rsid w:val="003C04CA"/>
    <w:pPr>
      <w:tabs>
        <w:tab w:val="right" w:pos="454"/>
        <w:tab w:val="left" w:pos="737"/>
      </w:tabs>
      <w:ind w:left="737" w:hanging="737"/>
    </w:pPr>
    <w:rPr>
      <w:snapToGrid w:val="0"/>
      <w:sz w:val="18"/>
      <w:lang w:eastAsia="en-US"/>
    </w:rPr>
  </w:style>
  <w:style w:type="paragraph" w:customStyle="1" w:styleId="Lgendetitre">
    <w:name w:val="Légende titre"/>
    <w:basedOn w:val="Normal"/>
    <w:rsid w:val="003C04CA"/>
    <w:pPr>
      <w:spacing w:before="240" w:after="240"/>
    </w:pPr>
    <w:rPr>
      <w:b/>
      <w:i/>
      <w:snapToGrid w:val="0"/>
      <w:lang w:eastAsia="en-US"/>
    </w:rPr>
  </w:style>
  <w:style w:type="paragraph" w:customStyle="1" w:styleId="Lgendestandard">
    <w:name w:val="Légende standard"/>
    <w:basedOn w:val="Normal"/>
    <w:rsid w:val="003C04CA"/>
    <w:rPr>
      <w:sz w:val="18"/>
    </w:rPr>
  </w:style>
  <w:style w:type="paragraph" w:customStyle="1" w:styleId="Default">
    <w:name w:val="Default"/>
    <w:rsid w:val="003C04CA"/>
    <w:pPr>
      <w:autoSpaceDE w:val="0"/>
      <w:autoSpaceDN w:val="0"/>
      <w:adjustRightInd w:val="0"/>
    </w:pPr>
    <w:rPr>
      <w:color w:val="000000"/>
      <w:sz w:val="24"/>
      <w:szCs w:val="24"/>
      <w:lang w:val="fi-FI"/>
    </w:rPr>
  </w:style>
  <w:style w:type="character" w:customStyle="1" w:styleId="Normal6Char">
    <w:name w:val="Normal6 Char"/>
    <w:basedOn w:val="DefaultParagraphFont"/>
    <w:link w:val="Normal6"/>
    <w:locked/>
    <w:rsid w:val="003C04CA"/>
    <w:rPr>
      <w:b/>
      <w:bCs/>
      <w:i/>
      <w:iCs/>
      <w:sz w:val="24"/>
      <w:lang w:val="fi-FI"/>
    </w:rPr>
  </w:style>
  <w:style w:type="paragraph" w:customStyle="1" w:styleId="Normal6">
    <w:name w:val="Normal6"/>
    <w:basedOn w:val="Normal"/>
    <w:link w:val="Normal6Char"/>
    <w:rsid w:val="003C04CA"/>
    <w:pPr>
      <w:spacing w:after="120"/>
    </w:pPr>
    <w:rPr>
      <w:b/>
      <w:bCs/>
      <w:i/>
      <w:iCs/>
    </w:rPr>
  </w:style>
  <w:style w:type="character" w:customStyle="1" w:styleId="NormalBoldChar">
    <w:name w:val="NormalBold Char"/>
    <w:basedOn w:val="DefaultParagraphFont"/>
    <w:link w:val="NormalBold"/>
    <w:locked/>
    <w:rsid w:val="003C04CA"/>
    <w:rPr>
      <w:b/>
      <w:sz w:val="24"/>
      <w:lang w:val="fi-FI"/>
    </w:rPr>
  </w:style>
  <w:style w:type="paragraph" w:customStyle="1" w:styleId="ColumnHeading">
    <w:name w:val="ColumnHeading"/>
    <w:basedOn w:val="Normal"/>
    <w:rsid w:val="003C04CA"/>
    <w:pPr>
      <w:spacing w:after="240"/>
      <w:jc w:val="center"/>
    </w:pPr>
    <w:rPr>
      <w:i/>
    </w:rPr>
  </w:style>
  <w:style w:type="paragraph" w:customStyle="1" w:styleId="AMNumberTabs0">
    <w:name w:val="AMNumberTabs"/>
    <w:basedOn w:val="Normal"/>
    <w:rsid w:val="003C04C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C04CA"/>
    <w:pPr>
      <w:jc w:val="right"/>
    </w:pPr>
    <w:rPr>
      <w:lang w:val="fi-FI"/>
    </w:rPr>
  </w:style>
  <w:style w:type="character" w:styleId="Hyperlink">
    <w:name w:val="Hyperlink"/>
    <w:basedOn w:val="DefaultParagraphFont"/>
    <w:unhideWhenUsed/>
    <w:rsid w:val="003C04CA"/>
    <w:rPr>
      <w:color w:val="467886"/>
      <w:u w:val="single"/>
    </w:rPr>
  </w:style>
  <w:style w:type="paragraph" w:styleId="Revision">
    <w:name w:val="Revision"/>
    <w:hidden/>
    <w:uiPriority w:val="99"/>
    <w:semiHidden/>
    <w:rsid w:val="003C04CA"/>
    <w:rPr>
      <w:sz w:val="24"/>
      <w:lang w:val="fi-FI"/>
    </w:rPr>
  </w:style>
  <w:style w:type="character" w:styleId="CommentReference">
    <w:name w:val="annotation reference"/>
    <w:basedOn w:val="DefaultParagraphFont"/>
    <w:rsid w:val="003C04CA"/>
    <w:rPr>
      <w:sz w:val="16"/>
      <w:szCs w:val="16"/>
    </w:rPr>
  </w:style>
  <w:style w:type="paragraph" w:styleId="CommentText">
    <w:name w:val="annotation text"/>
    <w:basedOn w:val="Normal"/>
    <w:link w:val="CommentTextChar"/>
    <w:rsid w:val="003C04CA"/>
    <w:rPr>
      <w:sz w:val="20"/>
    </w:rPr>
  </w:style>
  <w:style w:type="character" w:customStyle="1" w:styleId="CommentTextChar">
    <w:name w:val="Comment Text Char"/>
    <w:basedOn w:val="DefaultParagraphFont"/>
    <w:link w:val="CommentText"/>
    <w:rsid w:val="003C04CA"/>
    <w:rPr>
      <w:lang w:val="fi-FI"/>
    </w:rPr>
  </w:style>
  <w:style w:type="paragraph" w:styleId="CommentSubject">
    <w:name w:val="annotation subject"/>
    <w:basedOn w:val="CommentText"/>
    <w:next w:val="CommentText"/>
    <w:link w:val="CommentSubjectChar"/>
    <w:unhideWhenUsed/>
    <w:rsid w:val="003C04CA"/>
    <w:rPr>
      <w:b/>
      <w:bCs/>
    </w:rPr>
  </w:style>
  <w:style w:type="character" w:customStyle="1" w:styleId="CommentSubjectChar">
    <w:name w:val="Comment Subject Char"/>
    <w:basedOn w:val="CommentTextChar"/>
    <w:link w:val="CommentSubject"/>
    <w:rsid w:val="003C04CA"/>
    <w:rPr>
      <w:b/>
      <w:bCs/>
      <w:lang w:val="fi-FI"/>
    </w:rPr>
  </w:style>
  <w:style w:type="character" w:styleId="UnresolvedMention">
    <w:name w:val="Unresolved Mention"/>
    <w:basedOn w:val="DefaultParagraphFont"/>
    <w:uiPriority w:val="99"/>
    <w:semiHidden/>
    <w:unhideWhenUsed/>
    <w:rsid w:val="003C04CA"/>
    <w:rPr>
      <w:color w:val="605E5C"/>
      <w:shd w:val="clear" w:color="auto" w:fill="E1DFDD"/>
    </w:rPr>
  </w:style>
  <w:style w:type="character" w:styleId="Emphasis">
    <w:name w:val="Emphasis"/>
    <w:basedOn w:val="DefaultParagraphFont"/>
    <w:uiPriority w:val="20"/>
    <w:qFormat/>
    <w:rsid w:val="003C04CA"/>
    <w:rPr>
      <w:i/>
      <w:iCs/>
    </w:rPr>
  </w:style>
  <w:style w:type="paragraph" w:styleId="ListParagraph">
    <w:name w:val="List Paragraph"/>
    <w:basedOn w:val="Normal"/>
    <w:uiPriority w:val="1"/>
    <w:qFormat/>
    <w:rsid w:val="003C04CA"/>
    <w:pPr>
      <w:ind w:left="720"/>
      <w:contextualSpacing/>
    </w:pPr>
  </w:style>
  <w:style w:type="paragraph" w:styleId="BodyText">
    <w:name w:val="Body Text"/>
    <w:basedOn w:val="Normal"/>
    <w:link w:val="BodyTextChar"/>
    <w:uiPriority w:val="1"/>
    <w:unhideWhenUsed/>
    <w:qFormat/>
    <w:rsid w:val="003C04CA"/>
    <w:pPr>
      <w:autoSpaceDE w:val="0"/>
      <w:autoSpaceDN w:val="0"/>
      <w:spacing w:before="120"/>
    </w:pPr>
    <w:rPr>
      <w:szCs w:val="24"/>
      <w:lang w:eastAsia="en-US"/>
    </w:rPr>
  </w:style>
  <w:style w:type="character" w:customStyle="1" w:styleId="BodyTextChar">
    <w:name w:val="Body Text Char"/>
    <w:basedOn w:val="DefaultParagraphFont"/>
    <w:link w:val="BodyText"/>
    <w:uiPriority w:val="1"/>
    <w:rsid w:val="003C04CA"/>
    <w:rPr>
      <w:sz w:val="24"/>
      <w:szCs w:val="24"/>
      <w:lang w:val="fi-FI" w:eastAsia="en-US"/>
    </w:rPr>
  </w:style>
  <w:style w:type="paragraph" w:customStyle="1" w:styleId="Normal12a">
    <w:name w:val="Normal12a"/>
    <w:basedOn w:val="Normal"/>
    <w:rsid w:val="003C04CA"/>
    <w:pPr>
      <w:spacing w:after="240"/>
    </w:pPr>
  </w:style>
  <w:style w:type="paragraph" w:customStyle="1" w:styleId="PageHeadingNotTOC">
    <w:name w:val="PageHeadingNotTOC"/>
    <w:basedOn w:val="Normal"/>
    <w:rsid w:val="003C04CA"/>
    <w:pPr>
      <w:keepNext/>
      <w:spacing w:after="480"/>
      <w:jc w:val="center"/>
    </w:pPr>
    <w:rPr>
      <w:rFonts w:ascii="Arial" w:hAnsi="Arial" w:cs="Arial"/>
      <w:b/>
    </w:rPr>
  </w:style>
  <w:style w:type="paragraph" w:customStyle="1" w:styleId="AmHeadingPA">
    <w:name w:val="AmHeadingPA"/>
    <w:basedOn w:val="Normal"/>
    <w:next w:val="Normal"/>
    <w:rsid w:val="003C04CA"/>
    <w:pPr>
      <w:spacing w:before="480" w:after="240"/>
      <w:jc w:val="center"/>
    </w:pPr>
    <w:rPr>
      <w:rFonts w:ascii="Arial" w:hAnsi="Arial"/>
      <w:b/>
      <w:caps/>
      <w:snapToGrid w:val="0"/>
      <w:szCs w:val="24"/>
      <w:lang w:eastAsia="en-US"/>
    </w:rPr>
  </w:style>
  <w:style w:type="paragraph" w:customStyle="1" w:styleId="Normal24a">
    <w:name w:val="Normal24a"/>
    <w:basedOn w:val="Normal"/>
    <w:rsid w:val="003C04CA"/>
    <w:pPr>
      <w:spacing w:after="480"/>
    </w:pPr>
    <w:rPr>
      <w:szCs w:val="24"/>
    </w:rPr>
  </w:style>
  <w:style w:type="paragraph" w:customStyle="1" w:styleId="NormalBoldCenter">
    <w:name w:val="NormalBoldCenter"/>
    <w:basedOn w:val="Normal"/>
    <w:rsid w:val="003C04CA"/>
    <w:pPr>
      <w:jc w:val="center"/>
    </w:pPr>
    <w:rPr>
      <w:b/>
      <w:szCs w:val="24"/>
    </w:rPr>
  </w:style>
  <w:style w:type="paragraph" w:customStyle="1" w:styleId="Footprint12b">
    <w:name w:val="Footprint12b"/>
    <w:basedOn w:val="Normal"/>
    <w:rsid w:val="003C04CA"/>
    <w:pPr>
      <w:spacing w:before="240"/>
    </w:pPr>
    <w:rPr>
      <w:szCs w:val="24"/>
    </w:rPr>
  </w:style>
  <w:style w:type="paragraph" w:customStyle="1" w:styleId="NormalSingle">
    <w:name w:val="NormalSingle"/>
    <w:basedOn w:val="Normal"/>
    <w:qFormat/>
    <w:rsid w:val="003C04CA"/>
    <w:rPr>
      <w:szCs w:val="24"/>
    </w:rPr>
  </w:style>
  <w:style w:type="paragraph" w:customStyle="1" w:styleId="RollCallSymbols14pt">
    <w:name w:val="RollCallSymbols14pt"/>
    <w:basedOn w:val="Normal"/>
    <w:rsid w:val="003C04C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C04CA"/>
    <w:pPr>
      <w:tabs>
        <w:tab w:val="center" w:pos="284"/>
        <w:tab w:val="left" w:pos="426"/>
      </w:tabs>
    </w:pPr>
    <w:rPr>
      <w:snapToGrid w:val="0"/>
      <w:lang w:eastAsia="en-US"/>
    </w:rPr>
  </w:style>
  <w:style w:type="paragraph" w:customStyle="1" w:styleId="RollCallVotes">
    <w:name w:val="RollCallVotes"/>
    <w:basedOn w:val="Normal"/>
    <w:rsid w:val="003C04CA"/>
    <w:pPr>
      <w:spacing w:before="120" w:after="120"/>
      <w:jc w:val="center"/>
    </w:pPr>
    <w:rPr>
      <w:b/>
      <w:bCs/>
      <w:snapToGrid w:val="0"/>
      <w:sz w:val="16"/>
      <w:lang w:eastAsia="en-US"/>
    </w:rPr>
  </w:style>
  <w:style w:type="paragraph" w:customStyle="1" w:styleId="RollCallTable">
    <w:name w:val="RollCallTable"/>
    <w:basedOn w:val="Normal"/>
    <w:rsid w:val="003C04CA"/>
    <w:pPr>
      <w:spacing w:before="120" w:after="120"/>
    </w:pPr>
    <w:rPr>
      <w:snapToGrid w:val="0"/>
      <w:sz w:val="16"/>
      <w:lang w:eastAsia="en-US"/>
    </w:rPr>
  </w:style>
  <w:style w:type="paragraph" w:styleId="Footer">
    <w:name w:val="footer"/>
    <w:basedOn w:val="Normal"/>
    <w:link w:val="FooterChar"/>
    <w:rsid w:val="003C04CA"/>
    <w:pPr>
      <w:tabs>
        <w:tab w:val="center" w:pos="4513"/>
        <w:tab w:val="right" w:pos="9026"/>
      </w:tabs>
    </w:pPr>
  </w:style>
  <w:style w:type="character" w:customStyle="1" w:styleId="FooterChar">
    <w:name w:val="Footer Char"/>
    <w:basedOn w:val="DefaultParagraphFont"/>
    <w:link w:val="Footer"/>
    <w:rsid w:val="003C04CA"/>
    <w:rPr>
      <w:sz w:val="24"/>
      <w:lang w:val="fi-FI"/>
    </w:rPr>
  </w:style>
  <w:style w:type="paragraph" w:customStyle="1" w:styleId="FootnoteTextForceStyle">
    <w:name w:val="Footnote Text ForceStyle"/>
    <w:rsid w:val="00C008E2"/>
    <w:pPr>
      <w:keepLines/>
      <w:spacing w:line="240" w:lineRule="exact"/>
      <w:ind w:left="850" w:hanging="850"/>
    </w:pPr>
    <w:rPr>
      <w:sz w:val="24"/>
      <w:lang w:val="fi-FI" w:eastAsia="en-US"/>
    </w:rPr>
  </w:style>
  <w:style w:type="character" w:customStyle="1" w:styleId="Footer2">
    <w:name w:val="Footer2"/>
    <w:rsid w:val="00C008E2"/>
    <w:rPr>
      <w:rFonts w:ascii="Arial" w:hAnsi="Arial"/>
      <w:b/>
      <w:sz w:val="48"/>
    </w:rPr>
  </w:style>
  <w:style w:type="paragraph" w:customStyle="1" w:styleId="Footer1">
    <w:name w:val="Footer1"/>
    <w:basedOn w:val="Normal"/>
    <w:rsid w:val="00C008E2"/>
    <w:pPr>
      <w:widowControl/>
      <w:tabs>
        <w:tab w:val="center" w:pos="4534"/>
        <w:tab w:val="right" w:pos="9638"/>
        <w:tab w:val="right" w:pos="10772"/>
      </w:tabs>
      <w:spacing w:before="360" w:line="360" w:lineRule="auto"/>
      <w:ind w:left="-840" w:right="-840"/>
    </w:pPr>
    <w:rPr>
      <w:szCs w:val="24"/>
      <w:lang w:eastAsia="en-US"/>
    </w:rPr>
  </w:style>
  <w:style w:type="character" w:customStyle="1" w:styleId="Hyperlink1">
    <w:name w:val="Hyperlink1"/>
    <w:basedOn w:val="DefaultParagraphFont"/>
    <w:rsid w:val="00C008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4/833/oj" TargetMode="External"/><Relationship Id="rId1" Type="http://schemas.openxmlformats.org/officeDocument/2006/relationships/hyperlink" Target="http://data.europa.eu/eli/dec/2014/5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416</Words>
  <Characters>3781</Characters>
  <Application>Microsoft Office Word</Application>
  <DocSecurity>0</DocSecurity>
  <Lines>78</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2026-07-01T14:39:00Z</dcterms:created>
  <dcterms:modified xsi:type="dcterms:W3CDTF">2026-07-01T14:39:00Z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P10_TA(2026)0170_</vt:lpwstr>
  </property>
  <property fmtid="{D5CDD505-2E9C-101B-9397-08002B2CF9AE}" pid="4" name="&lt;Type&gt;">
    <vt:lpwstr>RR</vt:lpwstr>
  </property>
</Properties>
</file>