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0950" w14:paraId="5FA937E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2F8A26" w14:textId="77777777" w:rsidR="00751A4A" w:rsidRPr="002D0950" w:rsidRDefault="00273671" w:rsidP="0010095E">
            <w:pPr>
              <w:pStyle w:val="EPName"/>
            </w:pPr>
            <w:r w:rsidRPr="002D0950">
              <w:t>Europski parlament</w:t>
            </w:r>
          </w:p>
          <w:p w14:paraId="05D3AF5F" w14:textId="77777777" w:rsidR="00751A4A" w:rsidRPr="002D09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0950">
              <w:t>2024</w:t>
            </w:r>
            <w:r w:rsidR="00817416" w:rsidRPr="002D0950">
              <w:t>-202</w:t>
            </w:r>
            <w:r w:rsidRPr="002D0950">
              <w:t>9</w:t>
            </w:r>
          </w:p>
        </w:tc>
        <w:tc>
          <w:tcPr>
            <w:tcW w:w="2268" w:type="dxa"/>
            <w:shd w:val="clear" w:color="auto" w:fill="auto"/>
          </w:tcPr>
          <w:p w14:paraId="24FB81A4" w14:textId="77777777" w:rsidR="00751A4A" w:rsidRPr="002D0950" w:rsidRDefault="00187494" w:rsidP="0010095E">
            <w:pPr>
              <w:pStyle w:val="EPLogo"/>
            </w:pPr>
            <w:r w:rsidRPr="002D0950">
              <w:rPr>
                <w:noProof/>
                <w:lang w:eastAsia="ja-JP"/>
              </w:rPr>
              <w:drawing>
                <wp:inline distT="0" distB="0" distL="0" distR="0" wp14:anchorId="33B0368B" wp14:editId="0A294F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D2BC7C" w14:textId="77777777" w:rsidR="00D058B8" w:rsidRPr="002D0950" w:rsidRDefault="00D058B8" w:rsidP="004C5D52">
      <w:pPr>
        <w:pStyle w:val="LineTop"/>
      </w:pPr>
    </w:p>
    <w:p w14:paraId="2495CEE5" w14:textId="77777777" w:rsidR="00680577" w:rsidRPr="002D0950" w:rsidRDefault="00273671" w:rsidP="00680577">
      <w:pPr>
        <w:pStyle w:val="EPBodyTA1"/>
      </w:pPr>
      <w:r w:rsidRPr="002D0950">
        <w:t>USVOJENI TEKSTOVI</w:t>
      </w:r>
    </w:p>
    <w:p w14:paraId="222EE5C2" w14:textId="77777777" w:rsidR="00D058B8" w:rsidRPr="002D0950" w:rsidRDefault="00D058B8" w:rsidP="00D058B8">
      <w:pPr>
        <w:pStyle w:val="LineBottom"/>
      </w:pPr>
    </w:p>
    <w:p w14:paraId="7C3110A6" w14:textId="47A41FB2" w:rsidR="00273671" w:rsidRPr="002D0950" w:rsidRDefault="00273671" w:rsidP="00273671">
      <w:pPr>
        <w:pStyle w:val="ATHeading1"/>
      </w:pPr>
      <w:bookmarkStart w:id="0" w:name="TANumber"/>
      <w:r w:rsidRPr="002D0950">
        <w:t>P10_TA(2026)0</w:t>
      </w:r>
      <w:r w:rsidR="007107D0">
        <w:t>17</w:t>
      </w:r>
      <w:r w:rsidRPr="002D0950">
        <w:t>0</w:t>
      </w:r>
      <w:bookmarkEnd w:id="0"/>
    </w:p>
    <w:p w14:paraId="0158B3F5" w14:textId="77777777" w:rsidR="00273671" w:rsidRPr="002D0950" w:rsidRDefault="00273671" w:rsidP="00273671">
      <w:pPr>
        <w:pStyle w:val="ATHeading2"/>
      </w:pPr>
      <w:bookmarkStart w:id="1" w:name="title"/>
      <w:r w:rsidRPr="002D0950">
        <w:t xml:space="preserve">Negativni trgovinski učinci globalnih prekomjernih kapaciteta na </w:t>
      </w:r>
      <w:proofErr w:type="spellStart"/>
      <w:r w:rsidRPr="002D0950">
        <w:t>Unijino</w:t>
      </w:r>
      <w:proofErr w:type="spellEnd"/>
      <w:r w:rsidRPr="002D0950">
        <w:t xml:space="preserve"> tržište čelika</w:t>
      </w:r>
      <w:bookmarkEnd w:id="1"/>
    </w:p>
    <w:p w14:paraId="42FC7706" w14:textId="77777777" w:rsidR="00273671" w:rsidRPr="002D0950" w:rsidRDefault="00273671" w:rsidP="00273671">
      <w:pPr>
        <w:rPr>
          <w:i/>
          <w:vanish/>
        </w:rPr>
      </w:pPr>
      <w:r w:rsidRPr="002D0950">
        <w:rPr>
          <w:i/>
        </w:rPr>
        <w:fldChar w:fldCharType="begin"/>
      </w:r>
      <w:r w:rsidRPr="002D0950">
        <w:rPr>
          <w:i/>
        </w:rPr>
        <w:instrText xml:space="preserve"> TC"(</w:instrText>
      </w:r>
      <w:bookmarkStart w:id="2" w:name="DocNumber"/>
      <w:r w:rsidRPr="002D0950">
        <w:rPr>
          <w:i/>
        </w:rPr>
        <w:instrText>A10-0012/2026</w:instrText>
      </w:r>
      <w:bookmarkEnd w:id="2"/>
      <w:r w:rsidRPr="002D0950">
        <w:rPr>
          <w:i/>
        </w:rPr>
        <w:instrText xml:space="preserve"> - Izvjestiteljica: Karin Karlsbro)"\l3 \n&gt; \* MERGEFORMAT </w:instrText>
      </w:r>
      <w:r w:rsidRPr="002D0950">
        <w:rPr>
          <w:i/>
        </w:rPr>
        <w:fldChar w:fldCharType="end"/>
      </w:r>
    </w:p>
    <w:p w14:paraId="6A6F03C9" w14:textId="77777777" w:rsidR="00273671" w:rsidRPr="002D0950" w:rsidRDefault="00273671" w:rsidP="00273671">
      <w:pPr>
        <w:rPr>
          <w:vanish/>
        </w:rPr>
      </w:pPr>
      <w:bookmarkStart w:id="3" w:name="Commission"/>
      <w:r w:rsidRPr="002D0950">
        <w:rPr>
          <w:vanish/>
        </w:rPr>
        <w:t>Odbor za međunarodnu trgovinu</w:t>
      </w:r>
      <w:bookmarkEnd w:id="3"/>
    </w:p>
    <w:p w14:paraId="3FF11CD2" w14:textId="77777777" w:rsidR="00273671" w:rsidRPr="002D0950" w:rsidRDefault="00273671" w:rsidP="00273671">
      <w:pPr>
        <w:rPr>
          <w:vanish/>
        </w:rPr>
      </w:pPr>
      <w:bookmarkStart w:id="4" w:name="PE"/>
      <w:r w:rsidRPr="002D0950">
        <w:rPr>
          <w:vanish/>
        </w:rPr>
        <w:t>PE779.727</w:t>
      </w:r>
      <w:bookmarkEnd w:id="4"/>
    </w:p>
    <w:p w14:paraId="1FEB8639" w14:textId="2754193B" w:rsidR="00273671" w:rsidRPr="002D0950" w:rsidRDefault="00273671" w:rsidP="00273671">
      <w:pPr>
        <w:pStyle w:val="ATHeading3"/>
      </w:pPr>
      <w:bookmarkStart w:id="5" w:name="Sujet"/>
      <w:r w:rsidRPr="002D0950">
        <w:t xml:space="preserve">Zakonodavna rezolucija Europskog parlamenta od </w:t>
      </w:r>
      <w:r w:rsidR="002D0950">
        <w:t>19</w:t>
      </w:r>
      <w:r w:rsidRPr="002D0950">
        <w:t xml:space="preserve">. </w:t>
      </w:r>
      <w:r w:rsidR="002D0950">
        <w:t xml:space="preserve">svibnja </w:t>
      </w:r>
      <w:r w:rsidRPr="002D0950">
        <w:t xml:space="preserve">2026. o Prijedlogu uredbe Europskog parlamenta i Vijeća o otklanjaju negativnih trgovinskih učinaka globalnih prekomjernih kapaciteta na </w:t>
      </w:r>
      <w:proofErr w:type="spellStart"/>
      <w:r w:rsidRPr="002D0950">
        <w:t>Unijino</w:t>
      </w:r>
      <w:proofErr w:type="spellEnd"/>
      <w:r w:rsidRPr="002D0950">
        <w:t xml:space="preserve"> tržište čelika</w:t>
      </w:r>
      <w:bookmarkEnd w:id="5"/>
      <w:r w:rsidRPr="002D0950">
        <w:t xml:space="preserve"> </w:t>
      </w:r>
      <w:bookmarkStart w:id="6" w:name="References"/>
      <w:r w:rsidRPr="002D0950">
        <w:t>(COM(2025)0726 – C10-0245/2025 – 2025/0726(COD))</w:t>
      </w:r>
      <w:bookmarkEnd w:id="6"/>
    </w:p>
    <w:p w14:paraId="11572D97" w14:textId="77777777" w:rsidR="005A29B9" w:rsidRPr="002D0950" w:rsidRDefault="005A29B9" w:rsidP="005A29B9">
      <w:pPr>
        <w:pStyle w:val="NormalBold"/>
      </w:pPr>
      <w:r w:rsidRPr="002D0950">
        <w:t>(Redovni zakonodavni postupak: prvo čitanje)</w:t>
      </w:r>
    </w:p>
    <w:p w14:paraId="587CA6E3" w14:textId="77777777" w:rsidR="005A29B9" w:rsidRPr="002D0950" w:rsidRDefault="005A29B9" w:rsidP="005A29B9">
      <w:pPr>
        <w:pStyle w:val="EPComma"/>
      </w:pPr>
      <w:r w:rsidRPr="002D0950">
        <w:rPr>
          <w:i/>
        </w:rPr>
        <w:t>Europski parlament</w:t>
      </w:r>
      <w:r w:rsidRPr="002D0950">
        <w:t>,</w:t>
      </w:r>
    </w:p>
    <w:p w14:paraId="411B32AC" w14:textId="77777777" w:rsidR="005A29B9" w:rsidRPr="002D0950" w:rsidRDefault="005A29B9" w:rsidP="005A29B9">
      <w:pPr>
        <w:pStyle w:val="NormalHanging12a"/>
      </w:pPr>
      <w:r w:rsidRPr="002D0950">
        <w:t>–</w:t>
      </w:r>
      <w:r w:rsidRPr="002D0950">
        <w:tab/>
        <w:t>uzimajući u obzir Prijedlog Komisije upućen Europskom parlamentu i Vijeću (COM(2025)0726),</w:t>
      </w:r>
    </w:p>
    <w:p w14:paraId="4B73D304" w14:textId="77777777" w:rsidR="005A29B9" w:rsidRPr="002D0950" w:rsidRDefault="005A29B9" w:rsidP="005A29B9">
      <w:pPr>
        <w:pStyle w:val="NormalHanging12a"/>
      </w:pPr>
      <w:r w:rsidRPr="002D0950">
        <w:t>–</w:t>
      </w:r>
      <w:r w:rsidRPr="002D0950">
        <w:tab/>
        <w:t>uzimajući u obzir članak 294. stavak 2. i članak 207. stavak 2. Ugovora o funkcioniranju Europske unije, u skladu s kojima je Komisija podnijela Prijedlog Parlamentu (C10</w:t>
      </w:r>
      <w:r w:rsidRPr="002D0950">
        <w:noBreakHyphen/>
        <w:t>0245/2025),</w:t>
      </w:r>
    </w:p>
    <w:p w14:paraId="357314D3" w14:textId="77777777" w:rsidR="005A29B9" w:rsidRDefault="005A29B9" w:rsidP="005A29B9">
      <w:pPr>
        <w:pStyle w:val="NormalHanging12a"/>
      </w:pPr>
      <w:r w:rsidRPr="002D0950">
        <w:t>–</w:t>
      </w:r>
      <w:r w:rsidRPr="002D0950">
        <w:tab/>
        <w:t>uzimajući u obzir članak 294. stavak 3. Ugovora o funkcioniranju Europske unije,</w:t>
      </w:r>
    </w:p>
    <w:p w14:paraId="7219E23B" w14:textId="54956399" w:rsidR="00247BAF" w:rsidRPr="002D0950" w:rsidRDefault="00247BAF" w:rsidP="005A29B9">
      <w:pPr>
        <w:pStyle w:val="NormalHanging12a"/>
      </w:pPr>
      <w:r w:rsidRPr="00B54080">
        <w:t>–</w:t>
      </w:r>
      <w:r w:rsidRPr="00B54080">
        <w:tab/>
      </w:r>
      <w:r w:rsidRPr="00226049">
        <w:t>uzimajući u obzir privremeni sporazum koji je odobrio nadležni odbor u skladu s člankom 7</w:t>
      </w:r>
      <w:r>
        <w:t>5</w:t>
      </w:r>
      <w:r w:rsidRPr="00226049">
        <w:t xml:space="preserve">. stavkom 4. Poslovnika te činjenicu da se predstavnik Vijeća pismom od </w:t>
      </w:r>
      <w:r>
        <w:t>23</w:t>
      </w:r>
      <w:r w:rsidRPr="00226049">
        <w:t xml:space="preserve">. </w:t>
      </w:r>
      <w:r>
        <w:t>travnja</w:t>
      </w:r>
      <w:r w:rsidRPr="00226049">
        <w:t xml:space="preserve"> 202</w:t>
      </w:r>
      <w:r>
        <w:t>6</w:t>
      </w:r>
      <w:r w:rsidRPr="00226049">
        <w:t>. obvezao prihvatiti stajalište Europskog parlamenta u skladu s člankom 294. stavkom 4. Ugovora o funkcioniranju Europske unije,</w:t>
      </w:r>
    </w:p>
    <w:p w14:paraId="1AF2AA5C" w14:textId="77777777" w:rsidR="005A29B9" w:rsidRPr="002D0950" w:rsidRDefault="005A29B9" w:rsidP="005A29B9">
      <w:pPr>
        <w:pStyle w:val="NormalHanging12a"/>
      </w:pPr>
      <w:r w:rsidRPr="002D0950">
        <w:t>–</w:t>
      </w:r>
      <w:r w:rsidRPr="002D0950">
        <w:tab/>
        <w:t>uzimajući u obzir članak 60. Poslovnika,</w:t>
      </w:r>
    </w:p>
    <w:p w14:paraId="6A7E5EBD" w14:textId="77777777" w:rsidR="005A29B9" w:rsidRPr="002D0950" w:rsidRDefault="005A29B9" w:rsidP="005A29B9">
      <w:pPr>
        <w:pStyle w:val="NormalHanging12a"/>
      </w:pPr>
      <w:r w:rsidRPr="002D0950">
        <w:t>–</w:t>
      </w:r>
      <w:r w:rsidRPr="002D0950">
        <w:tab/>
        <w:t>uzimajući u obzir mišljenje Odbora za industriju, istraživanje i energetiku,</w:t>
      </w:r>
    </w:p>
    <w:p w14:paraId="0D057844" w14:textId="77777777" w:rsidR="005A29B9" w:rsidRPr="002D0950" w:rsidRDefault="005A29B9" w:rsidP="005A29B9">
      <w:pPr>
        <w:pStyle w:val="NormalHanging12a"/>
      </w:pPr>
      <w:r w:rsidRPr="002D0950">
        <w:t>–</w:t>
      </w:r>
      <w:r w:rsidRPr="002D0950">
        <w:tab/>
        <w:t>uzimajući u obzir izvješće Odbora za međunarodnu trgovinu (A10</w:t>
      </w:r>
      <w:r w:rsidRPr="002D0950">
        <w:noBreakHyphen/>
        <w:t>0012/2026),</w:t>
      </w:r>
    </w:p>
    <w:p w14:paraId="25E388FE" w14:textId="77777777" w:rsidR="005A29B9" w:rsidRDefault="005A29B9" w:rsidP="005A29B9">
      <w:pPr>
        <w:pStyle w:val="NormalHanging12a"/>
      </w:pPr>
      <w:r w:rsidRPr="002D0950">
        <w:t>1.</w:t>
      </w:r>
      <w:r w:rsidRPr="002D0950">
        <w:tab/>
        <w:t>usvaja niže navedeno stajalište u prvom čitanju;</w:t>
      </w:r>
    </w:p>
    <w:p w14:paraId="320796C2" w14:textId="0EB25BBA" w:rsidR="004E03D6" w:rsidRPr="002D0950" w:rsidRDefault="004E03D6" w:rsidP="005A29B9">
      <w:pPr>
        <w:pStyle w:val="NormalHanging12a"/>
      </w:pPr>
      <w:r>
        <w:t>2.</w:t>
      </w:r>
      <w:r>
        <w:tab/>
        <w:t xml:space="preserve">odobrava zajedničku izjavu Europskog parlamenta, Vijeća i Komisije priloženu ovoj Rezoluciji, koja će se objaviti u seriji C </w:t>
      </w:r>
      <w:r w:rsidRPr="007107D0">
        <w:rPr>
          <w:i/>
          <w:iCs/>
        </w:rPr>
        <w:t>Službenog lista Europske unije</w:t>
      </w:r>
      <w:r>
        <w:t>;</w:t>
      </w:r>
    </w:p>
    <w:p w14:paraId="250B4C45" w14:textId="384B98E2" w:rsidR="005A29B9" w:rsidRPr="002D0950" w:rsidRDefault="004E03D6" w:rsidP="005A29B9">
      <w:pPr>
        <w:pStyle w:val="NormalHanging12a"/>
      </w:pPr>
      <w:r>
        <w:t>3</w:t>
      </w:r>
      <w:r w:rsidR="005A29B9" w:rsidRPr="002D0950">
        <w:t>.</w:t>
      </w:r>
      <w:r w:rsidR="005A29B9" w:rsidRPr="002D0950">
        <w:tab/>
        <w:t xml:space="preserve">poziva Komisiju da predmet ponovno uputi Parlamentu ako zamijeni, bitno izmijeni ili </w:t>
      </w:r>
      <w:r w:rsidR="005A29B9" w:rsidRPr="002D0950">
        <w:lastRenderedPageBreak/>
        <w:t>namjerava bitno izmijeniti svoj Prijedlog;</w:t>
      </w:r>
    </w:p>
    <w:p w14:paraId="3D79BE4B" w14:textId="4734EFF1" w:rsidR="005A29B9" w:rsidRPr="002D0950" w:rsidRDefault="004E03D6" w:rsidP="005A29B9">
      <w:pPr>
        <w:pStyle w:val="NormalHanging12a"/>
      </w:pPr>
      <w:r>
        <w:t>4</w:t>
      </w:r>
      <w:r w:rsidR="005A29B9" w:rsidRPr="002D0950">
        <w:t>.</w:t>
      </w:r>
      <w:r w:rsidR="005A29B9" w:rsidRPr="002D0950">
        <w:tab/>
        <w:t>nalaže svojoj predsjednici da stajalište Parlamenta proslijedi Vijeću, Komisiji i nacionalnim parlamentima.</w:t>
      </w:r>
    </w:p>
    <w:p w14:paraId="65CA4354" w14:textId="77777777" w:rsidR="00247BAF" w:rsidRDefault="00247BAF" w:rsidP="005A29B9">
      <w:pPr>
        <w:pStyle w:val="AmNumberTabs"/>
        <w:sectPr w:rsidR="00247BAF" w:rsidSect="002715C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5B55024" w14:textId="2C01647C" w:rsidR="00E365E1" w:rsidRDefault="004E03D6" w:rsidP="004E03D6">
      <w:pPr>
        <w:pStyle w:val="AmNumberTabs"/>
      </w:pPr>
      <w:r>
        <w:lastRenderedPageBreak/>
        <w:t>P10_TC1-COD(2025)0726</w:t>
      </w:r>
    </w:p>
    <w:p w14:paraId="72D6745F" w14:textId="0CAC8E2D" w:rsidR="004E03D6" w:rsidRDefault="004E03D6" w:rsidP="00BF36DA">
      <w:pPr>
        <w:widowControl/>
        <w:spacing w:before="240" w:after="120"/>
        <w:rPr>
          <w:b/>
          <w:iCs/>
          <w:szCs w:val="24"/>
          <w:lang w:eastAsia="en-US"/>
        </w:rPr>
      </w:pPr>
      <w:r w:rsidRPr="0099173C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>
        <w:rPr>
          <w:rFonts w:eastAsia="Calibri"/>
          <w:b/>
          <w:szCs w:val="24"/>
          <w:lang w:eastAsia="en-US"/>
        </w:rPr>
        <w:t>19</w:t>
      </w:r>
      <w:r w:rsidRPr="0099173C">
        <w:rPr>
          <w:rFonts w:eastAsia="Calibri"/>
          <w:b/>
          <w:szCs w:val="24"/>
          <w:lang w:eastAsia="en-US"/>
        </w:rPr>
        <w:t xml:space="preserve">. </w:t>
      </w:r>
      <w:r>
        <w:rPr>
          <w:rFonts w:eastAsia="Calibri"/>
          <w:b/>
          <w:szCs w:val="24"/>
          <w:lang w:eastAsia="en-US"/>
        </w:rPr>
        <w:t xml:space="preserve">svibnja </w:t>
      </w:r>
      <w:r w:rsidRPr="0099173C">
        <w:rPr>
          <w:rFonts w:eastAsia="Calibri"/>
          <w:b/>
          <w:szCs w:val="24"/>
          <w:lang w:eastAsia="en-US"/>
        </w:rPr>
        <w:t>202</w:t>
      </w:r>
      <w:r>
        <w:rPr>
          <w:rFonts w:eastAsia="Calibri"/>
          <w:b/>
          <w:szCs w:val="24"/>
          <w:lang w:eastAsia="en-US"/>
        </w:rPr>
        <w:t>6</w:t>
      </w:r>
      <w:r w:rsidRPr="0099173C">
        <w:rPr>
          <w:rFonts w:eastAsia="Calibri"/>
          <w:b/>
          <w:szCs w:val="24"/>
          <w:lang w:eastAsia="en-US"/>
        </w:rPr>
        <w:t xml:space="preserve">. radi donošenja </w:t>
      </w:r>
      <w:r>
        <w:rPr>
          <w:rFonts w:eastAsia="Calibri"/>
          <w:b/>
          <w:szCs w:val="24"/>
          <w:lang w:eastAsia="en-US"/>
        </w:rPr>
        <w:t>Uredbe</w:t>
      </w:r>
      <w:r w:rsidRPr="0099173C">
        <w:rPr>
          <w:rFonts w:eastAsia="Calibri"/>
          <w:b/>
          <w:szCs w:val="24"/>
          <w:lang w:eastAsia="en-US"/>
        </w:rPr>
        <w:t xml:space="preserve"> (EU) 202</w:t>
      </w:r>
      <w:r>
        <w:rPr>
          <w:rFonts w:eastAsia="Calibri"/>
          <w:b/>
          <w:szCs w:val="24"/>
          <w:lang w:eastAsia="en-US"/>
        </w:rPr>
        <w:t>6</w:t>
      </w:r>
      <w:r w:rsidRPr="0099173C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4E03D6">
        <w:rPr>
          <w:b/>
          <w:szCs w:val="24"/>
          <w:lang w:eastAsia="en-US"/>
        </w:rPr>
        <w:t xml:space="preserve">o otklanjanju negativnih trgovinskih učinaka globalnih prekomjernih kapaciteta na tržište čelika Unije </w:t>
      </w:r>
      <w:r w:rsidRPr="00701284">
        <w:rPr>
          <w:b/>
          <w:iCs/>
          <w:szCs w:val="24"/>
          <w:lang w:eastAsia="en-US"/>
        </w:rPr>
        <w:t>i izmjeni Uredbe (EU) 2020/2170</w:t>
      </w:r>
    </w:p>
    <w:p w14:paraId="72C258DE" w14:textId="2514D8E7" w:rsidR="00485F04" w:rsidRPr="00485F04" w:rsidRDefault="00485F04" w:rsidP="00485F04">
      <w:pPr>
        <w:widowControl/>
        <w:spacing w:before="240"/>
        <w:rPr>
          <w:rFonts w:eastAsia="Calibri"/>
          <w:i/>
          <w:szCs w:val="24"/>
          <w:lang w:eastAsia="en-US"/>
        </w:rPr>
      </w:pPr>
      <w:r w:rsidRPr="00485F04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Uredbi</w:t>
      </w:r>
      <w:r w:rsidRPr="00485F04">
        <w:rPr>
          <w:rFonts w:eastAsia="Calibri"/>
          <w:i/>
          <w:szCs w:val="24"/>
          <w:lang w:eastAsia="en-US"/>
        </w:rPr>
        <w:t xml:space="preserve"> </w:t>
      </w:r>
      <w:r>
        <w:rPr>
          <w:rFonts w:eastAsia="Calibri"/>
          <w:i/>
          <w:szCs w:val="24"/>
          <w:lang w:eastAsia="en-US"/>
        </w:rPr>
        <w:t>(EU) 2026/1384.</w:t>
      </w:r>
      <w:r w:rsidRPr="00485F04">
        <w:rPr>
          <w:rFonts w:eastAsia="Calibri"/>
          <w:i/>
          <w:szCs w:val="24"/>
          <w:lang w:eastAsia="en-US"/>
        </w:rPr>
        <w:t>)</w:t>
      </w:r>
    </w:p>
    <w:p w14:paraId="441C9A9D" w14:textId="5E0981BD" w:rsidR="004E03D6" w:rsidRPr="004E03D6" w:rsidRDefault="004E03D6" w:rsidP="004E03D6">
      <w:pPr>
        <w:widowControl/>
        <w:spacing w:before="120" w:after="120" w:line="360" w:lineRule="auto"/>
        <w:rPr>
          <w:szCs w:val="24"/>
          <w:lang w:eastAsia="en-US"/>
        </w:rPr>
      </w:pPr>
    </w:p>
    <w:p w14:paraId="7C6CD8A9" w14:textId="77777777" w:rsidR="004E03D6" w:rsidRDefault="004E03D6" w:rsidP="004E03D6">
      <w:pPr>
        <w:widowControl/>
        <w:spacing w:before="120" w:after="120" w:line="360" w:lineRule="auto"/>
        <w:ind w:left="709" w:hanging="709"/>
        <w:rPr>
          <w:szCs w:val="24"/>
          <w:lang w:eastAsia="en-US"/>
        </w:rPr>
        <w:sectPr w:rsidR="004E03D6" w:rsidSect="002715CB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8645AE5" w14:textId="07A9689F" w:rsidR="004E03D6" w:rsidRDefault="004E03D6" w:rsidP="004E03D6">
      <w:pPr>
        <w:widowControl/>
        <w:spacing w:before="120" w:after="120" w:line="360" w:lineRule="auto"/>
        <w:ind w:left="709" w:hanging="709"/>
        <w:jc w:val="right"/>
        <w:rPr>
          <w:szCs w:val="24"/>
          <w:lang w:eastAsia="en-US"/>
        </w:rPr>
      </w:pPr>
      <w:r>
        <w:rPr>
          <w:szCs w:val="24"/>
          <w:lang w:eastAsia="en-US"/>
        </w:rPr>
        <w:lastRenderedPageBreak/>
        <w:t>PRILOG ZAKONODAVNOJ REZOLUCIJI</w:t>
      </w:r>
    </w:p>
    <w:p w14:paraId="695D5ACD" w14:textId="7D06BF40" w:rsidR="004E03D6" w:rsidRPr="004E03D6" w:rsidRDefault="004E03D6" w:rsidP="004E03D6">
      <w:pPr>
        <w:spacing w:after="240"/>
        <w:rPr>
          <w:b/>
          <w:bCs/>
          <w:szCs w:val="24"/>
        </w:rPr>
      </w:pPr>
      <w:r w:rsidRPr="004E03D6">
        <w:rPr>
          <w:b/>
          <w:szCs w:val="24"/>
        </w:rPr>
        <w:t xml:space="preserve">Zajednička izjava Europskog parlamenta, Vijeća i Europske komisije o uvozu proizvoda od čelika iz Rusije </w:t>
      </w:r>
    </w:p>
    <w:p w14:paraId="3D71680E" w14:textId="77777777" w:rsidR="004E03D6" w:rsidRPr="004E03D6" w:rsidRDefault="004E03D6" w:rsidP="004E03D6">
      <w:pPr>
        <w:widowControl/>
        <w:spacing w:after="240"/>
        <w:rPr>
          <w:szCs w:val="24"/>
        </w:rPr>
      </w:pPr>
      <w:r w:rsidRPr="004E03D6">
        <w:rPr>
          <w:szCs w:val="24"/>
        </w:rPr>
        <w:t>Od početka rata Unija i njezine države članice poduzele su dosad nezabilježene mjere kako bi smanjile ekonomsku ovisnost o Rusiji i osigurale da Unija svojim gospodarskim djelatnostima ne pomaže Rusiji u njezinim ratnim naporima.</w:t>
      </w:r>
    </w:p>
    <w:p w14:paraId="42B1A50C" w14:textId="77777777" w:rsidR="004E03D6" w:rsidRPr="004E03D6" w:rsidRDefault="004E03D6" w:rsidP="004E03D6">
      <w:pPr>
        <w:widowControl/>
        <w:spacing w:after="240"/>
        <w:rPr>
          <w:szCs w:val="24"/>
        </w:rPr>
      </w:pPr>
      <w:r w:rsidRPr="004E03D6">
        <w:rPr>
          <w:szCs w:val="24"/>
        </w:rPr>
        <w:t>Te su mjere dovele do znatnog smanjenja trgovinskih tokova u širokom rasponu sektora, uključujući čelik, ubrzale odvajanje i doprinijele otpornosti Unije te istodobno pokazale sposobnost Unije da djeluje ujedinjeno i odlučno kad su njezine vrijednosti i strateški interesi dovedeni u pitanje.</w:t>
      </w:r>
    </w:p>
    <w:p w14:paraId="34158D89" w14:textId="77777777" w:rsidR="004E03D6" w:rsidRPr="004E03D6" w:rsidRDefault="004E03D6" w:rsidP="004E03D6">
      <w:pPr>
        <w:widowControl/>
        <w:spacing w:after="240"/>
        <w:rPr>
          <w:szCs w:val="24"/>
        </w:rPr>
      </w:pPr>
      <w:r w:rsidRPr="004E03D6">
        <w:rPr>
          <w:szCs w:val="24"/>
        </w:rPr>
        <w:t>Isto tako, Unija mora i dalje pozorno pratiti ona područja u kojima i dalje postoji ovisnost, posebno kad je riječ o određenim proizvodima od čelika čiji uvoz još nije u potpunosti zabranjen.</w:t>
      </w:r>
    </w:p>
    <w:p w14:paraId="39E381E2" w14:textId="77777777" w:rsidR="004E03D6" w:rsidRPr="004E03D6" w:rsidRDefault="004E03D6" w:rsidP="004E03D6">
      <w:pPr>
        <w:widowControl/>
        <w:spacing w:after="240"/>
        <w:rPr>
          <w:szCs w:val="24"/>
        </w:rPr>
      </w:pPr>
      <w:r w:rsidRPr="004E03D6">
        <w:rPr>
          <w:szCs w:val="24"/>
        </w:rPr>
        <w:t>Naime, u sektoru čelika i dalje je dopušten ograničen uvoz određenih proizvoda iz Rusije do 30. rujna 2028., u skladu s prijelaznim aranžmanima utvrđenima u relevantnim mjerama ograničavanja koje je donijelo Vijeće</w:t>
      </w:r>
      <w:r w:rsidRPr="004E03D6">
        <w:rPr>
          <w:szCs w:val="24"/>
          <w:vertAlign w:val="superscript"/>
        </w:rPr>
        <w:footnoteReference w:id="1"/>
      </w:r>
      <w:r w:rsidRPr="004E03D6">
        <w:rPr>
          <w:szCs w:val="24"/>
        </w:rPr>
        <w:t>. Kako bi se osigurala postupna i stabilna diversifikacija, taj je uvoz ograničen kvotama, a količine se smanjuju svake godine.</w:t>
      </w:r>
    </w:p>
    <w:p w14:paraId="67FA8F05" w14:textId="78141F56" w:rsidR="004E03D6" w:rsidRPr="004E03D6" w:rsidRDefault="004E03D6" w:rsidP="004E03D6">
      <w:pPr>
        <w:spacing w:after="240"/>
      </w:pPr>
      <w:r w:rsidRPr="004E03D6">
        <w:rPr>
          <w:szCs w:val="24"/>
        </w:rPr>
        <w:t>Imajući u vidu institucijski okvir koji se primjenjuje na mjere ograničavanja, Europski parlament, Vijeće i Europska komisija ističu da su relevantne mjere ograničavanja koje je donijelo Vijeće početni korak prema potpunom ukidanju preostalog uvoza ruskih proizvoda od čelika, posebno čeličnih ploča, do 30. rujna 2028.</w:t>
      </w:r>
    </w:p>
    <w:sectPr w:rsidR="004E03D6" w:rsidRPr="004E03D6" w:rsidSect="002715C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AC362" w14:textId="77777777" w:rsidR="00273671" w:rsidRPr="002715CB" w:rsidRDefault="00273671">
      <w:r w:rsidRPr="002715CB">
        <w:separator/>
      </w:r>
    </w:p>
  </w:endnote>
  <w:endnote w:type="continuationSeparator" w:id="0">
    <w:p w14:paraId="15FFAA09" w14:textId="77777777" w:rsidR="00273671" w:rsidRPr="002715CB" w:rsidRDefault="00273671">
      <w:r w:rsidRPr="002715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6500A" w14:textId="77777777" w:rsidR="004E03D6" w:rsidRPr="00297D07" w:rsidRDefault="004E03D6">
    <w:pPr>
      <w:pStyle w:val="Footer1"/>
    </w:pPr>
    <w:r w:rsidRPr="00297D07">
      <w:rPr>
        <w:rStyle w:val="Footer2"/>
      </w:rPr>
      <w:t>HR</w:t>
    </w:r>
    <w:r w:rsidRPr="00297D07">
      <w:tab/>
    </w:r>
    <w:r w:rsidRPr="00297D07">
      <w:fldChar w:fldCharType="begin"/>
    </w:r>
    <w:r w:rsidRPr="00297D07">
      <w:instrText xml:space="preserve"> PAGE </w:instrText>
    </w:r>
    <w:r w:rsidRPr="00297D07">
      <w:fldChar w:fldCharType="separate"/>
    </w:r>
    <w:r w:rsidRPr="00297D07">
      <w:t>1</w:t>
    </w:r>
    <w:r w:rsidRPr="00297D07">
      <w:fldChar w:fldCharType="end"/>
    </w:r>
    <w:r w:rsidRPr="00297D07">
      <w:tab/>
    </w:r>
    <w:r w:rsidRPr="00297D07">
      <w:rPr>
        <w:rStyle w:val="Footer2"/>
      </w:rPr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3A2F4" w14:textId="180F3C45" w:rsidR="004E03D6" w:rsidRPr="004E03D6" w:rsidRDefault="004E03D6" w:rsidP="004E03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58C4" w14:textId="77777777" w:rsidR="004E03D6" w:rsidRPr="00297D07" w:rsidRDefault="004E03D6">
    <w:pPr>
      <w:pStyle w:val="Footer1"/>
    </w:pPr>
    <w:r w:rsidRPr="00297D07">
      <w:rPr>
        <w:rStyle w:val="Footer2"/>
      </w:rPr>
      <w:t>HR</w:t>
    </w:r>
    <w:r w:rsidRPr="00297D07">
      <w:tab/>
    </w:r>
    <w:r w:rsidRPr="00297D07">
      <w:fldChar w:fldCharType="begin"/>
    </w:r>
    <w:r w:rsidRPr="00297D07">
      <w:instrText xml:space="preserve"> PAGE </w:instrText>
    </w:r>
    <w:r w:rsidRPr="00297D07">
      <w:fldChar w:fldCharType="separate"/>
    </w:r>
    <w:r w:rsidRPr="00297D07">
      <w:t>1</w:t>
    </w:r>
    <w:r w:rsidRPr="00297D07">
      <w:fldChar w:fldCharType="end"/>
    </w:r>
    <w:r w:rsidRPr="00297D07">
      <w:tab/>
    </w:r>
    <w:r w:rsidRPr="00297D07">
      <w:rPr>
        <w:rStyle w:val="Footer2"/>
      </w:rPr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DEFEB" w14:textId="77777777" w:rsidR="00273671" w:rsidRPr="002715CB" w:rsidRDefault="00273671">
      <w:r w:rsidRPr="002715CB">
        <w:separator/>
      </w:r>
    </w:p>
  </w:footnote>
  <w:footnote w:type="continuationSeparator" w:id="0">
    <w:p w14:paraId="5F4A78C7" w14:textId="77777777" w:rsidR="00273671" w:rsidRPr="002715CB" w:rsidRDefault="00273671">
      <w:r w:rsidRPr="002715CB">
        <w:continuationSeparator/>
      </w:r>
    </w:p>
  </w:footnote>
  <w:footnote w:id="1">
    <w:p w14:paraId="124D9D71" w14:textId="2730E7F4" w:rsidR="004E03D6" w:rsidRPr="004E03D6" w:rsidRDefault="004E03D6" w:rsidP="004E03D6">
      <w:pPr>
        <w:pStyle w:val="FootnoteText"/>
        <w:ind w:left="709" w:hanging="709"/>
        <w:rPr>
          <w:sz w:val="24"/>
          <w:szCs w:val="24"/>
          <w:lang w:val="hr-HR"/>
        </w:rPr>
      </w:pPr>
      <w:r w:rsidRPr="003D65F5">
        <w:rPr>
          <w:rStyle w:val="FootnoteReference"/>
          <w:sz w:val="24"/>
          <w:szCs w:val="24"/>
        </w:rPr>
        <w:footnoteRef/>
      </w:r>
      <w:r w:rsidRPr="004E03D6">
        <w:rPr>
          <w:sz w:val="24"/>
          <w:szCs w:val="24"/>
          <w:lang w:val="hr-HR"/>
        </w:rPr>
        <w:tab/>
        <w:t xml:space="preserve">Odluka Vijeća 2014/512/ZVSP od 31. srpnja 2014. o mjerama ograničavanja s obzirom na djelovanja Rusije kojima se destabilizira stanje </w:t>
      </w:r>
      <w:r w:rsidRPr="00485F04">
        <w:rPr>
          <w:sz w:val="24"/>
          <w:szCs w:val="24"/>
          <w:lang w:val="hr-HR"/>
        </w:rPr>
        <w:t xml:space="preserve">u Ukrajini </w:t>
      </w:r>
      <w:r w:rsidR="00485F04" w:rsidRPr="00485F04">
        <w:rPr>
          <w:sz w:val="24"/>
          <w:szCs w:val="24"/>
          <w:lang w:val="en-GB"/>
        </w:rPr>
        <w:t>(</w:t>
      </w:r>
      <w:r w:rsidR="00485F04" w:rsidRPr="00485F04">
        <w:rPr>
          <w:sz w:val="24"/>
          <w:szCs w:val="24"/>
          <w:lang w:val="en-GB"/>
        </w:rPr>
        <w:t>SL</w:t>
      </w:r>
      <w:r w:rsidR="00485F04" w:rsidRPr="00485F04">
        <w:rPr>
          <w:sz w:val="24"/>
          <w:szCs w:val="24"/>
          <w:lang w:val="en-GB"/>
        </w:rPr>
        <w:t xml:space="preserve"> L 229, 31.7.2014</w:t>
      </w:r>
      <w:r w:rsidR="00485F04" w:rsidRPr="00485F04">
        <w:rPr>
          <w:sz w:val="24"/>
          <w:szCs w:val="24"/>
          <w:lang w:val="en-GB"/>
        </w:rPr>
        <w:t>.</w:t>
      </w:r>
      <w:r w:rsidR="00485F04" w:rsidRPr="00485F04">
        <w:rPr>
          <w:sz w:val="24"/>
          <w:szCs w:val="24"/>
          <w:lang w:val="en-GB"/>
        </w:rPr>
        <w:t xml:space="preserve">, </w:t>
      </w:r>
      <w:r w:rsidR="00485F04" w:rsidRPr="00485F04">
        <w:rPr>
          <w:sz w:val="24"/>
          <w:szCs w:val="24"/>
          <w:lang w:val="en-GB"/>
        </w:rPr>
        <w:t>str</w:t>
      </w:r>
      <w:r w:rsidR="00485F04" w:rsidRPr="00485F04">
        <w:rPr>
          <w:sz w:val="24"/>
          <w:szCs w:val="24"/>
          <w:lang w:val="en-GB"/>
        </w:rPr>
        <w:t>. 13</w:t>
      </w:r>
      <w:r w:rsidR="00485F04" w:rsidRPr="00485F04">
        <w:rPr>
          <w:sz w:val="24"/>
          <w:szCs w:val="24"/>
          <w:lang w:val="en-GB"/>
        </w:rPr>
        <w:t>.</w:t>
      </w:r>
      <w:r w:rsidR="00485F04" w:rsidRPr="00485F04">
        <w:rPr>
          <w:sz w:val="24"/>
          <w:szCs w:val="24"/>
          <w:lang w:val="en-GB"/>
        </w:rPr>
        <w:t xml:space="preserve">, ELI: </w:t>
      </w:r>
      <w:hyperlink r:id="rId1" w:history="1">
        <w:r w:rsidR="00485F04" w:rsidRPr="00485F04">
          <w:rPr>
            <w:rStyle w:val="Hyperlink"/>
            <w:sz w:val="24"/>
            <w:szCs w:val="24"/>
            <w:lang w:val="en-GB"/>
          </w:rPr>
          <w:t>http://data.europa.eu/eli/dec/2014/512/oj</w:t>
        </w:r>
      </w:hyperlink>
      <w:r w:rsidR="00485F04" w:rsidRPr="00485F04">
        <w:rPr>
          <w:sz w:val="24"/>
          <w:szCs w:val="24"/>
          <w:lang w:val="en-GB"/>
        </w:rPr>
        <w:t xml:space="preserve">) </w:t>
      </w:r>
      <w:r w:rsidRPr="00485F04">
        <w:rPr>
          <w:sz w:val="24"/>
          <w:szCs w:val="24"/>
          <w:lang w:val="hr-HR"/>
        </w:rPr>
        <w:t>i Uredb</w:t>
      </w:r>
      <w:r w:rsidR="00485F04">
        <w:rPr>
          <w:sz w:val="24"/>
          <w:szCs w:val="24"/>
          <w:lang w:val="hr-HR"/>
        </w:rPr>
        <w:t>a</w:t>
      </w:r>
      <w:r w:rsidRPr="00485F04">
        <w:rPr>
          <w:sz w:val="24"/>
          <w:szCs w:val="24"/>
          <w:lang w:val="hr-HR"/>
        </w:rPr>
        <w:t xml:space="preserve"> Vijeća (EU) br. 833/2014 od 31. srpnja 2014. o mjerama ograničavanja s obzirom na djelovanja Rusije kojima se destabilizira stanje u Ukrajini</w:t>
      </w:r>
      <w:r w:rsidR="00485F04">
        <w:rPr>
          <w:sz w:val="24"/>
          <w:szCs w:val="24"/>
          <w:lang w:val="hr-HR"/>
        </w:rPr>
        <w:t xml:space="preserve"> </w:t>
      </w:r>
      <w:r w:rsidR="00485F04" w:rsidRPr="00485F04">
        <w:rPr>
          <w:sz w:val="24"/>
          <w:szCs w:val="24"/>
          <w:lang w:val="en-GB"/>
        </w:rPr>
        <w:t>(</w:t>
      </w:r>
      <w:r w:rsidR="00485F04">
        <w:rPr>
          <w:sz w:val="24"/>
          <w:szCs w:val="24"/>
          <w:lang w:val="en-GB"/>
        </w:rPr>
        <w:t>SL</w:t>
      </w:r>
      <w:r w:rsidR="00485F04" w:rsidRPr="00485F04">
        <w:rPr>
          <w:sz w:val="24"/>
          <w:szCs w:val="24"/>
          <w:lang w:val="en-GB"/>
        </w:rPr>
        <w:t xml:space="preserve"> L 229, 31.7.2014</w:t>
      </w:r>
      <w:r w:rsidR="00485F04">
        <w:rPr>
          <w:sz w:val="24"/>
          <w:szCs w:val="24"/>
          <w:lang w:val="en-GB"/>
        </w:rPr>
        <w:t>.</w:t>
      </w:r>
      <w:r w:rsidR="00485F04" w:rsidRPr="00485F04">
        <w:rPr>
          <w:sz w:val="24"/>
          <w:szCs w:val="24"/>
          <w:lang w:val="en-GB"/>
        </w:rPr>
        <w:t xml:space="preserve">, </w:t>
      </w:r>
      <w:r w:rsidR="00485F04">
        <w:rPr>
          <w:sz w:val="24"/>
          <w:szCs w:val="24"/>
          <w:lang w:val="en-GB"/>
        </w:rPr>
        <w:t>str</w:t>
      </w:r>
      <w:r w:rsidR="00485F04" w:rsidRPr="00485F04">
        <w:rPr>
          <w:sz w:val="24"/>
          <w:szCs w:val="24"/>
          <w:lang w:val="en-GB"/>
        </w:rPr>
        <w:t>. 1</w:t>
      </w:r>
      <w:r w:rsidR="00485F04">
        <w:rPr>
          <w:sz w:val="24"/>
          <w:szCs w:val="24"/>
          <w:lang w:val="en-GB"/>
        </w:rPr>
        <w:t>.</w:t>
      </w:r>
      <w:r w:rsidR="00485F04" w:rsidRPr="00485F04">
        <w:rPr>
          <w:sz w:val="24"/>
          <w:szCs w:val="24"/>
          <w:lang w:val="en-GB"/>
        </w:rPr>
        <w:t xml:space="preserve">, ELI: </w:t>
      </w:r>
      <w:hyperlink r:id="rId2" w:history="1">
        <w:r w:rsidR="00485F04" w:rsidRPr="00485F04">
          <w:rPr>
            <w:rStyle w:val="Hyperlink"/>
            <w:sz w:val="24"/>
            <w:szCs w:val="24"/>
            <w:lang w:val="en-GB"/>
          </w:rPr>
          <w:t>http://data.europa.eu/eli/reg/2014/833/oj</w:t>
        </w:r>
      </w:hyperlink>
      <w:r w:rsidR="00485F04" w:rsidRPr="00485F04">
        <w:rPr>
          <w:sz w:val="24"/>
          <w:szCs w:val="24"/>
          <w:lang w:val="en-GB"/>
        </w:rPr>
        <w:t>)</w:t>
      </w:r>
      <w:r w:rsidRPr="00485F04">
        <w:rPr>
          <w:sz w:val="24"/>
          <w:szCs w:val="24"/>
          <w:lang w:val="hr-H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40220BED"/>
    <w:multiLevelType w:val="hybridMultilevel"/>
    <w:tmpl w:val="7AB271BC"/>
    <w:lvl w:ilvl="0" w:tplc="E8CEC68C">
      <w:start w:val="2"/>
      <w:numFmt w:val="lowerRoman"/>
      <w:lvlText w:val="%1."/>
      <w:lvlJc w:val="left"/>
      <w:pPr>
        <w:ind w:left="2290" w:hanging="72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2650" w:hanging="360"/>
      </w:pPr>
    </w:lvl>
    <w:lvl w:ilvl="2" w:tplc="0809001B" w:tentative="1">
      <w:start w:val="1"/>
      <w:numFmt w:val="lowerRoman"/>
      <w:lvlText w:val="%3."/>
      <w:lvlJc w:val="right"/>
      <w:pPr>
        <w:ind w:left="3370" w:hanging="180"/>
      </w:pPr>
    </w:lvl>
    <w:lvl w:ilvl="3" w:tplc="0809000F" w:tentative="1">
      <w:start w:val="1"/>
      <w:numFmt w:val="decimal"/>
      <w:lvlText w:val="%4."/>
      <w:lvlJc w:val="left"/>
      <w:pPr>
        <w:ind w:left="4090" w:hanging="360"/>
      </w:pPr>
    </w:lvl>
    <w:lvl w:ilvl="4" w:tplc="08090019" w:tentative="1">
      <w:start w:val="1"/>
      <w:numFmt w:val="lowerLetter"/>
      <w:lvlText w:val="%5."/>
      <w:lvlJc w:val="left"/>
      <w:pPr>
        <w:ind w:left="4810" w:hanging="360"/>
      </w:pPr>
    </w:lvl>
    <w:lvl w:ilvl="5" w:tplc="0809001B" w:tentative="1">
      <w:start w:val="1"/>
      <w:numFmt w:val="lowerRoman"/>
      <w:lvlText w:val="%6."/>
      <w:lvlJc w:val="right"/>
      <w:pPr>
        <w:ind w:left="5530" w:hanging="180"/>
      </w:pPr>
    </w:lvl>
    <w:lvl w:ilvl="6" w:tplc="0809000F" w:tentative="1">
      <w:start w:val="1"/>
      <w:numFmt w:val="decimal"/>
      <w:lvlText w:val="%7."/>
      <w:lvlJc w:val="left"/>
      <w:pPr>
        <w:ind w:left="6250" w:hanging="360"/>
      </w:pPr>
    </w:lvl>
    <w:lvl w:ilvl="7" w:tplc="08090019" w:tentative="1">
      <w:start w:val="1"/>
      <w:numFmt w:val="lowerLetter"/>
      <w:lvlText w:val="%8."/>
      <w:lvlJc w:val="left"/>
      <w:pPr>
        <w:ind w:left="6970" w:hanging="360"/>
      </w:pPr>
    </w:lvl>
    <w:lvl w:ilvl="8" w:tplc="0809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3" w15:restartNumberingAfterBreak="0">
    <w:nsid w:val="45255B45"/>
    <w:multiLevelType w:val="hybridMultilevel"/>
    <w:tmpl w:val="3F565B88"/>
    <w:lvl w:ilvl="0" w:tplc="19BE1808">
      <w:start w:val="1"/>
      <w:numFmt w:val="lowerLetter"/>
      <w:lvlText w:val="(%1)"/>
      <w:lvlJc w:val="left"/>
      <w:pPr>
        <w:ind w:left="1210" w:hanging="360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930" w:hanging="360"/>
      </w:pPr>
    </w:lvl>
    <w:lvl w:ilvl="2" w:tplc="0809001B" w:tentative="1">
      <w:start w:val="1"/>
      <w:numFmt w:val="lowerRoman"/>
      <w:lvlText w:val="%3."/>
      <w:lvlJc w:val="right"/>
      <w:pPr>
        <w:ind w:left="2650" w:hanging="180"/>
      </w:pPr>
    </w:lvl>
    <w:lvl w:ilvl="3" w:tplc="0809000F" w:tentative="1">
      <w:start w:val="1"/>
      <w:numFmt w:val="decimal"/>
      <w:lvlText w:val="%4."/>
      <w:lvlJc w:val="left"/>
      <w:pPr>
        <w:ind w:left="3370" w:hanging="360"/>
      </w:pPr>
    </w:lvl>
    <w:lvl w:ilvl="4" w:tplc="08090019" w:tentative="1">
      <w:start w:val="1"/>
      <w:numFmt w:val="lowerLetter"/>
      <w:lvlText w:val="%5."/>
      <w:lvlJc w:val="left"/>
      <w:pPr>
        <w:ind w:left="4090" w:hanging="360"/>
      </w:pPr>
    </w:lvl>
    <w:lvl w:ilvl="5" w:tplc="0809001B" w:tentative="1">
      <w:start w:val="1"/>
      <w:numFmt w:val="lowerRoman"/>
      <w:lvlText w:val="%6."/>
      <w:lvlJc w:val="right"/>
      <w:pPr>
        <w:ind w:left="4810" w:hanging="180"/>
      </w:pPr>
    </w:lvl>
    <w:lvl w:ilvl="6" w:tplc="0809000F" w:tentative="1">
      <w:start w:val="1"/>
      <w:numFmt w:val="decimal"/>
      <w:lvlText w:val="%7."/>
      <w:lvlJc w:val="left"/>
      <w:pPr>
        <w:ind w:left="5530" w:hanging="360"/>
      </w:pPr>
    </w:lvl>
    <w:lvl w:ilvl="7" w:tplc="08090019" w:tentative="1">
      <w:start w:val="1"/>
      <w:numFmt w:val="lowerLetter"/>
      <w:lvlText w:val="%8."/>
      <w:lvlJc w:val="left"/>
      <w:pPr>
        <w:ind w:left="6250" w:hanging="360"/>
      </w:pPr>
    </w:lvl>
    <w:lvl w:ilvl="8" w:tplc="0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 w15:restartNumberingAfterBreak="0">
    <w:nsid w:val="585E6641"/>
    <w:multiLevelType w:val="hybridMultilevel"/>
    <w:tmpl w:val="0D665AA2"/>
    <w:lvl w:ilvl="0" w:tplc="F30227F4">
      <w:start w:val="9"/>
      <w:numFmt w:val="lowerLetter"/>
      <w:lvlText w:val="%1."/>
      <w:lvlJc w:val="left"/>
      <w:pPr>
        <w:ind w:left="193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2650" w:hanging="360"/>
      </w:pPr>
    </w:lvl>
    <w:lvl w:ilvl="2" w:tplc="0809001B" w:tentative="1">
      <w:start w:val="1"/>
      <w:numFmt w:val="lowerRoman"/>
      <w:lvlText w:val="%3."/>
      <w:lvlJc w:val="right"/>
      <w:pPr>
        <w:ind w:left="3370" w:hanging="180"/>
      </w:pPr>
    </w:lvl>
    <w:lvl w:ilvl="3" w:tplc="0809000F" w:tentative="1">
      <w:start w:val="1"/>
      <w:numFmt w:val="decimal"/>
      <w:lvlText w:val="%4."/>
      <w:lvlJc w:val="left"/>
      <w:pPr>
        <w:ind w:left="4090" w:hanging="360"/>
      </w:pPr>
    </w:lvl>
    <w:lvl w:ilvl="4" w:tplc="08090019" w:tentative="1">
      <w:start w:val="1"/>
      <w:numFmt w:val="lowerLetter"/>
      <w:lvlText w:val="%5."/>
      <w:lvlJc w:val="left"/>
      <w:pPr>
        <w:ind w:left="4810" w:hanging="360"/>
      </w:pPr>
    </w:lvl>
    <w:lvl w:ilvl="5" w:tplc="0809001B" w:tentative="1">
      <w:start w:val="1"/>
      <w:numFmt w:val="lowerRoman"/>
      <w:lvlText w:val="%6."/>
      <w:lvlJc w:val="right"/>
      <w:pPr>
        <w:ind w:left="5530" w:hanging="180"/>
      </w:pPr>
    </w:lvl>
    <w:lvl w:ilvl="6" w:tplc="0809000F" w:tentative="1">
      <w:start w:val="1"/>
      <w:numFmt w:val="decimal"/>
      <w:lvlText w:val="%7."/>
      <w:lvlJc w:val="left"/>
      <w:pPr>
        <w:ind w:left="6250" w:hanging="360"/>
      </w:pPr>
    </w:lvl>
    <w:lvl w:ilvl="7" w:tplc="08090019" w:tentative="1">
      <w:start w:val="1"/>
      <w:numFmt w:val="lowerLetter"/>
      <w:lvlText w:val="%8."/>
      <w:lvlJc w:val="left"/>
      <w:pPr>
        <w:ind w:left="6970" w:hanging="360"/>
      </w:pPr>
    </w:lvl>
    <w:lvl w:ilvl="8" w:tplc="0809001B" w:tentative="1">
      <w:start w:val="1"/>
      <w:numFmt w:val="lowerRoman"/>
      <w:lvlText w:val="%9."/>
      <w:lvlJc w:val="right"/>
      <w:pPr>
        <w:ind w:left="7690" w:hanging="180"/>
      </w:pPr>
    </w:lvl>
  </w:abstractNum>
  <w:num w:numId="1" w16cid:durableId="2020113343">
    <w:abstractNumId w:val="0"/>
  </w:num>
  <w:num w:numId="2" w16cid:durableId="614563813">
    <w:abstractNumId w:val="1"/>
  </w:num>
  <w:num w:numId="3" w16cid:durableId="497842497">
    <w:abstractNumId w:val="3"/>
  </w:num>
  <w:num w:numId="4" w16cid:durableId="723337630">
    <w:abstractNumId w:val="4"/>
  </w:num>
  <w:num w:numId="5" w16cid:durableId="70032857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2/2026"/>
    <w:docVar w:name="dvlangue" w:val="HR"/>
    <w:docVar w:name="dvnumam" w:val="88"/>
    <w:docVar w:name="dvpe" w:val="779.727"/>
    <w:docVar w:name="dvrapporteur" w:val="Izvjestiteljica: "/>
    <w:docVar w:name="dvstar" w:val="***I"/>
    <w:docVar w:name="dvtitre" w:val="Zakonodavna rezolucija Europskog parlamenta od .... 2026. o Prijedlogu uredbe Europskog parlamenta i Vijeća o otklanjaju negativnih trgovinskih učinaka globalnih prekomjernih kapaciteta na Unijino tržište čelika(COM(2025)0726 – C10-0245/2025 – 2025/0726(COD))"/>
  </w:docVars>
  <w:rsids>
    <w:rsidRoot w:val="0027367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76FB"/>
    <w:rsid w:val="00247BAF"/>
    <w:rsid w:val="00256919"/>
    <w:rsid w:val="002715CB"/>
    <w:rsid w:val="00273671"/>
    <w:rsid w:val="002767FF"/>
    <w:rsid w:val="002B18FE"/>
    <w:rsid w:val="002B5493"/>
    <w:rsid w:val="002D0950"/>
    <w:rsid w:val="00343214"/>
    <w:rsid w:val="00361C00"/>
    <w:rsid w:val="00395FA1"/>
    <w:rsid w:val="003E15D4"/>
    <w:rsid w:val="00411CCE"/>
    <w:rsid w:val="0041666E"/>
    <w:rsid w:val="00421060"/>
    <w:rsid w:val="00445781"/>
    <w:rsid w:val="00471C19"/>
    <w:rsid w:val="00485F04"/>
    <w:rsid w:val="004867E3"/>
    <w:rsid w:val="00494A28"/>
    <w:rsid w:val="004C0004"/>
    <w:rsid w:val="004C5D52"/>
    <w:rsid w:val="004E03D6"/>
    <w:rsid w:val="0050519A"/>
    <w:rsid w:val="005072A1"/>
    <w:rsid w:val="00514517"/>
    <w:rsid w:val="00545827"/>
    <w:rsid w:val="005570EB"/>
    <w:rsid w:val="00560270"/>
    <w:rsid w:val="005A29B9"/>
    <w:rsid w:val="005C2568"/>
    <w:rsid w:val="005F1B17"/>
    <w:rsid w:val="006037C0"/>
    <w:rsid w:val="0065788F"/>
    <w:rsid w:val="006631B6"/>
    <w:rsid w:val="00680577"/>
    <w:rsid w:val="006A5786"/>
    <w:rsid w:val="006C42B8"/>
    <w:rsid w:val="006F74FA"/>
    <w:rsid w:val="00701284"/>
    <w:rsid w:val="007107D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5318"/>
    <w:rsid w:val="00AF3B82"/>
    <w:rsid w:val="00B12E95"/>
    <w:rsid w:val="00B22876"/>
    <w:rsid w:val="00B43882"/>
    <w:rsid w:val="00B558F0"/>
    <w:rsid w:val="00B8183A"/>
    <w:rsid w:val="00BD48FE"/>
    <w:rsid w:val="00BD7BD8"/>
    <w:rsid w:val="00BE6ADC"/>
    <w:rsid w:val="00BF36DA"/>
    <w:rsid w:val="00BF4B0C"/>
    <w:rsid w:val="00C05BFE"/>
    <w:rsid w:val="00C23CD4"/>
    <w:rsid w:val="00C61C0C"/>
    <w:rsid w:val="00C941CB"/>
    <w:rsid w:val="00CC0A2F"/>
    <w:rsid w:val="00CC2357"/>
    <w:rsid w:val="00CF071A"/>
    <w:rsid w:val="00D058B8"/>
    <w:rsid w:val="00D56C11"/>
    <w:rsid w:val="00D834A0"/>
    <w:rsid w:val="00D872DF"/>
    <w:rsid w:val="00D91E21"/>
    <w:rsid w:val="00DA387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8E0BFB"/>
  <w15:chartTrackingRefBased/>
  <w15:docId w15:val="{B4399FCB-A7F2-4AF4-8380-8C216B60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A29B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A29B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A29B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A29B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A29B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A29B9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5A29B9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5A29B9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5A29B9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5A29B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A29B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A29B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A29B9"/>
    <w:pPr>
      <w:spacing w:after="120"/>
    </w:pPr>
  </w:style>
  <w:style w:type="paragraph" w:customStyle="1" w:styleId="PageHeading">
    <w:name w:val="PageHeading"/>
    <w:basedOn w:val="Normal"/>
    <w:qFormat/>
    <w:rsid w:val="005A29B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A29B9"/>
    <w:rPr>
      <w:b/>
    </w:rPr>
  </w:style>
  <w:style w:type="paragraph" w:customStyle="1" w:styleId="NormalBold12a">
    <w:name w:val="NormalBold12a"/>
    <w:basedOn w:val="Normal"/>
    <w:rsid w:val="005A29B9"/>
    <w:pPr>
      <w:spacing w:after="240"/>
    </w:pPr>
    <w:rPr>
      <w:b/>
    </w:rPr>
  </w:style>
  <w:style w:type="paragraph" w:customStyle="1" w:styleId="AmJustText">
    <w:name w:val="AmJustText"/>
    <w:basedOn w:val="Normal"/>
    <w:rsid w:val="005A29B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A29B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A29B9"/>
    <w:pPr>
      <w:spacing w:after="480"/>
      <w:ind w:left="1417"/>
    </w:pPr>
  </w:style>
  <w:style w:type="paragraph" w:customStyle="1" w:styleId="CoverNormal">
    <w:name w:val="CoverNormal"/>
    <w:basedOn w:val="Normal"/>
    <w:rsid w:val="005A29B9"/>
    <w:pPr>
      <w:ind w:left="1418"/>
    </w:pPr>
  </w:style>
  <w:style w:type="paragraph" w:customStyle="1" w:styleId="AmCrossRef">
    <w:name w:val="AmCrossRef"/>
    <w:basedOn w:val="Normal"/>
    <w:rsid w:val="005A29B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A29B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A29B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A29B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A29B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A29B9"/>
    <w:pPr>
      <w:spacing w:before="240" w:after="1200"/>
    </w:pPr>
  </w:style>
  <w:style w:type="paragraph" w:styleId="Header">
    <w:name w:val="header"/>
    <w:basedOn w:val="Normal"/>
    <w:link w:val="HeaderChar"/>
    <w:rsid w:val="005A29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A29B9"/>
    <w:rPr>
      <w:sz w:val="24"/>
      <w:lang w:val="hr-HR"/>
    </w:rPr>
  </w:style>
  <w:style w:type="paragraph" w:customStyle="1" w:styleId="AmOrLang">
    <w:name w:val="AmOrLang"/>
    <w:basedOn w:val="Normal"/>
    <w:rsid w:val="005A29B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A29B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A29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A29B9"/>
    <w:pPr>
      <w:spacing w:before="240"/>
    </w:pPr>
    <w:rPr>
      <w:b/>
    </w:rPr>
  </w:style>
  <w:style w:type="paragraph" w:customStyle="1" w:styleId="EPBody">
    <w:name w:val="EPBody"/>
    <w:basedOn w:val="Normal"/>
    <w:rsid w:val="005A29B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A29B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A29B9"/>
    <w:pPr>
      <w:spacing w:before="480" w:after="240"/>
    </w:pPr>
  </w:style>
  <w:style w:type="paragraph" w:customStyle="1" w:styleId="Lgendesigne">
    <w:name w:val="Légende signe"/>
    <w:basedOn w:val="Normal"/>
    <w:rsid w:val="005A29B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A29B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A29B9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5A29B9"/>
    <w:rPr>
      <w:b/>
      <w:sz w:val="24"/>
      <w:lang w:val="hr-HR"/>
    </w:rPr>
  </w:style>
  <w:style w:type="character" w:styleId="Hyperlink">
    <w:name w:val="Hyperlink"/>
    <w:basedOn w:val="DefaultParagraphFont"/>
    <w:unhideWhenUsed/>
    <w:rsid w:val="005A29B9"/>
    <w:rPr>
      <w:color w:val="467886"/>
      <w:u w:val="single"/>
    </w:rPr>
  </w:style>
  <w:style w:type="character" w:styleId="Emphasis">
    <w:name w:val="Emphasis"/>
    <w:basedOn w:val="DefaultParagraphFont"/>
    <w:uiPriority w:val="20"/>
    <w:qFormat/>
    <w:rsid w:val="005A29B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5A29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A29B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5A29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9B9"/>
    <w:rPr>
      <w:sz w:val="24"/>
      <w:lang w:val="hr-HR"/>
    </w:rPr>
  </w:style>
  <w:style w:type="paragraph" w:customStyle="1" w:styleId="Default">
    <w:name w:val="Default"/>
    <w:rsid w:val="005A29B9"/>
    <w:pPr>
      <w:autoSpaceDE w:val="0"/>
      <w:autoSpaceDN w:val="0"/>
      <w:adjustRightInd w:val="0"/>
    </w:pPr>
    <w:rPr>
      <w:color w:val="000000"/>
      <w:sz w:val="24"/>
      <w:szCs w:val="24"/>
      <w:lang w:val="hr-HR"/>
    </w:rPr>
  </w:style>
  <w:style w:type="character" w:customStyle="1" w:styleId="Normal6Char">
    <w:name w:val="Normal6 Char"/>
    <w:basedOn w:val="DefaultParagraphFont"/>
    <w:link w:val="Normal6"/>
    <w:locked/>
    <w:rsid w:val="005A29B9"/>
    <w:rPr>
      <w:b/>
      <w:bCs/>
      <w:i/>
      <w:iCs/>
      <w:sz w:val="24"/>
      <w:lang w:val="hr-HR"/>
    </w:rPr>
  </w:style>
  <w:style w:type="paragraph" w:customStyle="1" w:styleId="Normal6">
    <w:name w:val="Normal6"/>
    <w:basedOn w:val="Normal"/>
    <w:link w:val="Normal6Char"/>
    <w:rsid w:val="005A29B9"/>
    <w:pPr>
      <w:spacing w:after="120"/>
    </w:pPr>
    <w:rPr>
      <w:b/>
      <w:bCs/>
      <w:i/>
      <w:iCs/>
    </w:rPr>
  </w:style>
  <w:style w:type="paragraph" w:customStyle="1" w:styleId="ColumnHeading">
    <w:name w:val="ColumnHeading"/>
    <w:basedOn w:val="Normal"/>
    <w:rsid w:val="005A29B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A29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5A29B9"/>
    <w:pPr>
      <w:jc w:val="right"/>
    </w:pPr>
    <w:rPr>
      <w:lang w:val="hr-HR"/>
    </w:rPr>
  </w:style>
  <w:style w:type="paragraph" w:styleId="Revision">
    <w:name w:val="Revision"/>
    <w:hidden/>
    <w:uiPriority w:val="99"/>
    <w:semiHidden/>
    <w:rsid w:val="005A29B9"/>
    <w:rPr>
      <w:sz w:val="24"/>
      <w:lang w:val="hr-HR"/>
    </w:rPr>
  </w:style>
  <w:style w:type="character" w:styleId="CommentReference">
    <w:name w:val="annotation reference"/>
    <w:basedOn w:val="DefaultParagraphFont"/>
    <w:rsid w:val="005A29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29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29B9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A29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29B9"/>
    <w:rPr>
      <w:b/>
      <w:bCs/>
      <w:lang w:val="hr-HR"/>
    </w:rPr>
  </w:style>
  <w:style w:type="paragraph" w:styleId="ListParagraph">
    <w:name w:val="List Paragraph"/>
    <w:basedOn w:val="Normal"/>
    <w:uiPriority w:val="34"/>
    <w:qFormat/>
    <w:rsid w:val="005A29B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5A29B9"/>
    <w:pPr>
      <w:autoSpaceDE w:val="0"/>
      <w:autoSpaceDN w:val="0"/>
      <w:spacing w:before="12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A29B9"/>
    <w:rPr>
      <w:sz w:val="24"/>
      <w:szCs w:val="24"/>
      <w:lang w:val="hr-HR" w:eastAsia="en-US"/>
    </w:rPr>
  </w:style>
  <w:style w:type="paragraph" w:customStyle="1" w:styleId="Normal12a">
    <w:name w:val="Normal12a"/>
    <w:basedOn w:val="Normal"/>
    <w:rsid w:val="005A29B9"/>
    <w:pPr>
      <w:spacing w:after="240"/>
    </w:pPr>
  </w:style>
  <w:style w:type="paragraph" w:customStyle="1" w:styleId="PageHeadingNotTOC">
    <w:name w:val="PageHeadingNotTOC"/>
    <w:basedOn w:val="Normal"/>
    <w:rsid w:val="005A29B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A29B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5A29B9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5A29B9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5A29B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A29B9"/>
    <w:rPr>
      <w:szCs w:val="24"/>
    </w:rPr>
  </w:style>
  <w:style w:type="paragraph" w:customStyle="1" w:styleId="RollCallSymbols14pt">
    <w:name w:val="RollCallSymbols14pt"/>
    <w:basedOn w:val="Normal"/>
    <w:rsid w:val="005A29B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A29B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A29B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A29B9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4E03D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E03D6"/>
    <w:pPr>
      <w:spacing w:after="240"/>
      <w:jc w:val="center"/>
    </w:pPr>
  </w:style>
  <w:style w:type="paragraph" w:customStyle="1" w:styleId="AmDateTab">
    <w:name w:val="AmDateTab"/>
    <w:basedOn w:val="Normal"/>
    <w:rsid w:val="004E03D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E03D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E03D6"/>
  </w:style>
  <w:style w:type="paragraph" w:customStyle="1" w:styleId="Institutionquiagit">
    <w:name w:val="Institution qui agit"/>
    <w:basedOn w:val="Normal"/>
    <w:next w:val="Normal"/>
    <w:rsid w:val="004E03D6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4E03D6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4E03D6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4E03D6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4E03D6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4E03D6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4E03D6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4E03D6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4E03D6"/>
    <w:pPr>
      <w:keepLines/>
      <w:spacing w:line="240" w:lineRule="exact"/>
      <w:ind w:left="850" w:hanging="850"/>
    </w:pPr>
    <w:rPr>
      <w:sz w:val="24"/>
      <w:lang w:eastAsia="en-US"/>
    </w:rPr>
  </w:style>
  <w:style w:type="character" w:customStyle="1" w:styleId="Footer2">
    <w:name w:val="Footer2"/>
    <w:rsid w:val="004E03D6"/>
    <w:rPr>
      <w:rFonts w:ascii="Arial" w:hAnsi="Arial"/>
      <w:b/>
      <w:sz w:val="48"/>
    </w:rPr>
  </w:style>
  <w:style w:type="paragraph" w:customStyle="1" w:styleId="Considrant">
    <w:name w:val="Considérant"/>
    <w:basedOn w:val="Normal"/>
    <w:rsid w:val="004E03D6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4E03D6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4E03D6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4E03D6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4E03D6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4E03D6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4E03D6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4E03D6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4E03D6"/>
    <w:pPr>
      <w:spacing w:before="120" w:after="120" w:line="360" w:lineRule="auto"/>
    </w:pPr>
    <w:rPr>
      <w:sz w:val="24"/>
      <w:lang w:eastAsia="en-US"/>
    </w:rPr>
  </w:style>
  <w:style w:type="character" w:customStyle="1" w:styleId="CMissingStyle">
    <w:name w:val="C_MissingStyle"/>
    <w:rsid w:val="004E03D6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4E03D6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yperlink1">
    <w:name w:val="Hyperlink1"/>
    <w:basedOn w:val="DefaultParagraphFont"/>
    <w:rsid w:val="004E03D6"/>
    <w:rPr>
      <w:color w:val="0000FF"/>
      <w:u w:val="single"/>
    </w:rPr>
  </w:style>
  <w:style w:type="character" w:customStyle="1" w:styleId="FooterChar1">
    <w:name w:val="Footer Char1"/>
    <w:basedOn w:val="DefaultParagraphFont"/>
    <w:rsid w:val="004E03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4/833/oj" TargetMode="External"/><Relationship Id="rId1" Type="http://schemas.openxmlformats.org/officeDocument/2006/relationships/hyperlink" Target="http://data.europa.eu/eli/dec/2014/5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2026-07-02T10:15:00Z</dcterms:created>
  <dcterms:modified xsi:type="dcterms:W3CDTF">2026-07-02T10:15:00Z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P10_TA(2026)0170_</vt:lpwstr>
  </property>
  <property fmtid="{D5CDD505-2E9C-101B-9397-08002B2CF9AE}" pid="4" name="&lt;Type&gt;">
    <vt:lpwstr>RR</vt:lpwstr>
  </property>
</Properties>
</file>