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0DE8" w14:paraId="2EB2DE2A" w14:textId="77777777" w:rsidTr="0010095E">
        <w:trPr>
          <w:trHeight w:hRule="exact" w:val="1418"/>
        </w:trPr>
        <w:tc>
          <w:tcPr>
            <w:tcW w:w="6804" w:type="dxa"/>
            <w:shd w:val="clear" w:color="auto" w:fill="auto"/>
            <w:vAlign w:val="center"/>
          </w:tcPr>
          <w:p w14:paraId="53DBFE34" w14:textId="46A09F9A" w:rsidR="00751A4A" w:rsidRPr="00250DE8" w:rsidRDefault="003E0805" w:rsidP="0010095E">
            <w:pPr>
              <w:pStyle w:val="EPName"/>
            </w:pPr>
            <w:r w:rsidRPr="00250DE8">
              <w:t>Európai Parlament</w:t>
            </w:r>
          </w:p>
          <w:p w14:paraId="39B3FE49" w14:textId="77777777" w:rsidR="00751A4A" w:rsidRPr="00250DE8" w:rsidRDefault="005F1B17" w:rsidP="005F1B17">
            <w:pPr>
              <w:pStyle w:val="EPTerm"/>
              <w:rPr>
                <w:rStyle w:val="HideTWBExt"/>
                <w:noProof w:val="0"/>
                <w:vanish w:val="0"/>
                <w:color w:val="auto"/>
              </w:rPr>
            </w:pPr>
            <w:r w:rsidRPr="00250DE8">
              <w:t>2024</w:t>
            </w:r>
            <w:r w:rsidR="00817416" w:rsidRPr="00250DE8">
              <w:t>-202</w:t>
            </w:r>
            <w:r w:rsidRPr="00250DE8">
              <w:t>9</w:t>
            </w:r>
          </w:p>
        </w:tc>
        <w:tc>
          <w:tcPr>
            <w:tcW w:w="2268" w:type="dxa"/>
            <w:shd w:val="clear" w:color="auto" w:fill="auto"/>
          </w:tcPr>
          <w:p w14:paraId="492F17DA" w14:textId="77777777" w:rsidR="00751A4A" w:rsidRPr="00250DE8" w:rsidRDefault="00187494" w:rsidP="0010095E">
            <w:pPr>
              <w:pStyle w:val="EPLogo"/>
            </w:pPr>
            <w:r w:rsidRPr="00250DE8">
              <w:rPr>
                <w:noProof/>
                <w:lang w:eastAsia="ja-JP"/>
              </w:rPr>
              <w:drawing>
                <wp:inline distT="0" distB="0" distL="0" distR="0" wp14:anchorId="3420C3E6" wp14:editId="68082AC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01AE2D" w14:textId="77777777" w:rsidR="00D058B8" w:rsidRPr="00250DE8" w:rsidRDefault="00D058B8" w:rsidP="004C5D52">
      <w:pPr>
        <w:pStyle w:val="LineTop"/>
      </w:pPr>
    </w:p>
    <w:p w14:paraId="1E83C1AD" w14:textId="7433FFBA" w:rsidR="00680577" w:rsidRPr="00250DE8" w:rsidRDefault="003E0805" w:rsidP="00680577">
      <w:pPr>
        <w:pStyle w:val="EPBodyTA1"/>
      </w:pPr>
      <w:r w:rsidRPr="00250DE8">
        <w:t>ELFOGADOTT SZÖVEGEK</w:t>
      </w:r>
    </w:p>
    <w:p w14:paraId="3FA9CEB5" w14:textId="77777777" w:rsidR="00D058B8" w:rsidRPr="00250DE8" w:rsidRDefault="00D058B8" w:rsidP="00D058B8">
      <w:pPr>
        <w:pStyle w:val="LineBottom"/>
      </w:pPr>
    </w:p>
    <w:p w14:paraId="5B397CB2" w14:textId="514E69E3" w:rsidR="003E0805" w:rsidRPr="00250DE8" w:rsidRDefault="003E0805" w:rsidP="003E0805">
      <w:pPr>
        <w:pStyle w:val="ATHeading1"/>
      </w:pPr>
      <w:bookmarkStart w:id="0" w:name="TANumber"/>
      <w:r w:rsidRPr="00250DE8">
        <w:t>P10_</w:t>
      </w:r>
      <w:proofErr w:type="gramStart"/>
      <w:r w:rsidRPr="00250DE8">
        <w:t>TA(</w:t>
      </w:r>
      <w:proofErr w:type="gramEnd"/>
      <w:r w:rsidRPr="00250DE8">
        <w:t>2026)0</w:t>
      </w:r>
      <w:r w:rsidR="00250DE8">
        <w:t>170</w:t>
      </w:r>
      <w:bookmarkEnd w:id="0"/>
    </w:p>
    <w:p w14:paraId="14189370" w14:textId="3716C25D" w:rsidR="003E0805" w:rsidRPr="00250DE8" w:rsidRDefault="00CF12F8" w:rsidP="003E0805">
      <w:pPr>
        <w:pStyle w:val="ATHeading2"/>
      </w:pPr>
      <w:bookmarkStart w:id="1" w:name="title"/>
      <w:r w:rsidRPr="00250DE8">
        <w:t xml:space="preserve">A globális kapacitásfelesleg által az uniós acélpiacra gyakorolt negatív kereskedelmi hatások </w:t>
      </w:r>
      <w:bookmarkEnd w:id="1"/>
    </w:p>
    <w:p w14:paraId="63C25941" w14:textId="77777777" w:rsidR="003E0805" w:rsidRPr="00250DE8" w:rsidRDefault="003E0805" w:rsidP="003E0805">
      <w:pPr>
        <w:rPr>
          <w:i/>
          <w:vanish/>
        </w:rPr>
      </w:pPr>
      <w:r w:rsidRPr="00250DE8">
        <w:rPr>
          <w:i/>
        </w:rPr>
        <w:fldChar w:fldCharType="begin"/>
      </w:r>
      <w:r w:rsidRPr="00250DE8">
        <w:rPr>
          <w:i/>
        </w:rPr>
        <w:instrText xml:space="preserve"> TC"(</w:instrText>
      </w:r>
      <w:bookmarkStart w:id="2" w:name="DocNumber"/>
      <w:r w:rsidRPr="00250DE8">
        <w:rPr>
          <w:i/>
        </w:rPr>
        <w:instrText>A10-0012/2026</w:instrText>
      </w:r>
      <w:bookmarkEnd w:id="2"/>
      <w:r w:rsidRPr="00250DE8">
        <w:rPr>
          <w:i/>
        </w:rPr>
        <w:instrText xml:space="preserve"> - Előadó: Karin </w:instrText>
      </w:r>
      <w:proofErr w:type="spellStart"/>
      <w:r w:rsidRPr="00250DE8">
        <w:rPr>
          <w:i/>
        </w:rPr>
        <w:instrText>Karlsbro</w:instrText>
      </w:r>
      <w:proofErr w:type="spellEnd"/>
      <w:r w:rsidRPr="00250DE8">
        <w:rPr>
          <w:i/>
        </w:rPr>
        <w:instrText xml:space="preserve">)"\l3 \n&gt; \* MERGEFORMAT </w:instrText>
      </w:r>
      <w:r w:rsidRPr="00250DE8">
        <w:rPr>
          <w:i/>
        </w:rPr>
        <w:fldChar w:fldCharType="end"/>
      </w:r>
    </w:p>
    <w:p w14:paraId="22DF96B7" w14:textId="77777777" w:rsidR="003E0805" w:rsidRPr="00250DE8" w:rsidRDefault="003E0805" w:rsidP="003E0805">
      <w:pPr>
        <w:rPr>
          <w:vanish/>
        </w:rPr>
      </w:pPr>
      <w:bookmarkStart w:id="3" w:name="Commission"/>
      <w:r w:rsidRPr="00250DE8">
        <w:rPr>
          <w:vanish/>
        </w:rPr>
        <w:t>Nemzetközi Kereskedelmi Bizottság</w:t>
      </w:r>
      <w:bookmarkEnd w:id="3"/>
    </w:p>
    <w:p w14:paraId="4A118007" w14:textId="77777777" w:rsidR="003E0805" w:rsidRPr="00250DE8" w:rsidRDefault="003E0805" w:rsidP="003E0805">
      <w:pPr>
        <w:rPr>
          <w:vanish/>
        </w:rPr>
      </w:pPr>
      <w:bookmarkStart w:id="4" w:name="PE"/>
      <w:r w:rsidRPr="00250DE8">
        <w:rPr>
          <w:vanish/>
        </w:rPr>
        <w:t>PE779.727</w:t>
      </w:r>
      <w:bookmarkEnd w:id="4"/>
    </w:p>
    <w:p w14:paraId="2D0C5731" w14:textId="760B025E" w:rsidR="003E0805" w:rsidRPr="00250DE8" w:rsidRDefault="003E0805" w:rsidP="003E0805">
      <w:pPr>
        <w:pStyle w:val="ATHeading3"/>
      </w:pPr>
      <w:bookmarkStart w:id="5" w:name="Sujet"/>
      <w:r w:rsidRPr="00250DE8">
        <w:t xml:space="preserve">Az Európai Parlament 2026. </w:t>
      </w:r>
      <w:r w:rsidR="00CF12F8" w:rsidRPr="00250DE8">
        <w:t>május</w:t>
      </w:r>
      <w:r w:rsidRPr="00250DE8">
        <w:t xml:space="preserve"> </w:t>
      </w:r>
      <w:r w:rsidR="000D2D08" w:rsidRPr="00250DE8">
        <w:t>19-</w:t>
      </w:r>
      <w:r w:rsidRPr="00250DE8">
        <w:t>i jogalkotási állásfoglalása a globális kapacitásfelesleg uniós acélpiacra gyakorolt negatív kereskedelmi hatásainak kezeléséről szóló európai parlamenti és tanácsi rendeletre irányuló javaslatról</w:t>
      </w:r>
      <w:bookmarkEnd w:id="5"/>
      <w:r w:rsidRPr="00250DE8">
        <w:t xml:space="preserve"> </w:t>
      </w:r>
      <w:bookmarkStart w:id="6" w:name="References"/>
      <w:r w:rsidRPr="00250DE8">
        <w:t>(</w:t>
      </w:r>
      <w:proofErr w:type="gramStart"/>
      <w:r w:rsidRPr="00250DE8">
        <w:t>COM(</w:t>
      </w:r>
      <w:proofErr w:type="gramEnd"/>
      <w:r w:rsidRPr="00250DE8">
        <w:t>2025)0726 – C10-0245/2025 – 2025/0726(COD))</w:t>
      </w:r>
      <w:bookmarkEnd w:id="6"/>
    </w:p>
    <w:p w14:paraId="5C521C56" w14:textId="77777777" w:rsidR="00966FFD" w:rsidRPr="00250DE8" w:rsidRDefault="00966FFD" w:rsidP="00966FFD">
      <w:pPr>
        <w:pStyle w:val="NormalBold"/>
      </w:pPr>
      <w:r w:rsidRPr="00250DE8">
        <w:t>(Rendes jogalkotási eljárás: első olvasat)</w:t>
      </w:r>
    </w:p>
    <w:p w14:paraId="5515FA64" w14:textId="77777777" w:rsidR="00966FFD" w:rsidRPr="00250DE8" w:rsidRDefault="00966FFD" w:rsidP="00966FFD">
      <w:pPr>
        <w:pStyle w:val="EPComma"/>
        <w:rPr>
          <w:i/>
          <w:iCs/>
        </w:rPr>
      </w:pPr>
      <w:r w:rsidRPr="00250DE8">
        <w:rPr>
          <w:i/>
          <w:iCs/>
        </w:rPr>
        <w:t>Az Európai Parlament,</w:t>
      </w:r>
    </w:p>
    <w:p w14:paraId="47339E6D" w14:textId="77777777" w:rsidR="00966FFD" w:rsidRPr="00250DE8" w:rsidRDefault="00966FFD" w:rsidP="000D471D">
      <w:pPr>
        <w:pStyle w:val="NormalHanging12a"/>
        <w:widowControl/>
      </w:pPr>
      <w:r w:rsidRPr="00250DE8">
        <w:t>–</w:t>
      </w:r>
      <w:r w:rsidRPr="00250DE8">
        <w:tab/>
        <w:t>tekintettel a Bizottság Parlamenthez és Tanácshoz intézett javaslatára (</w:t>
      </w:r>
      <w:proofErr w:type="gramStart"/>
      <w:r w:rsidRPr="00250DE8">
        <w:t>COM(</w:t>
      </w:r>
      <w:proofErr w:type="gramEnd"/>
      <w:r w:rsidRPr="00250DE8">
        <w:t>2025)0726),</w:t>
      </w:r>
    </w:p>
    <w:p w14:paraId="22519C1C" w14:textId="77777777" w:rsidR="00966FFD" w:rsidRPr="00250DE8" w:rsidRDefault="00966FFD" w:rsidP="000D471D">
      <w:pPr>
        <w:pStyle w:val="NormalHanging12a"/>
        <w:widowControl/>
      </w:pPr>
      <w:r w:rsidRPr="00250DE8">
        <w:t>–</w:t>
      </w:r>
      <w:r w:rsidRPr="00250DE8">
        <w:tab/>
        <w:t>tekintettel az Európai Unió működéséről szóló szerződés 294. cikkének (2) bekezdésére és 207. cikkének (2) bekezdésére, amelyek alapján a Bizottság javaslatát benyújtotta a Parlamenthez (C10</w:t>
      </w:r>
      <w:r w:rsidRPr="00250DE8">
        <w:noBreakHyphen/>
        <w:t>0245/2025),</w:t>
      </w:r>
    </w:p>
    <w:p w14:paraId="2FDE8FDA" w14:textId="77777777" w:rsidR="00966FFD" w:rsidRPr="00250DE8" w:rsidRDefault="00966FFD" w:rsidP="000D471D">
      <w:pPr>
        <w:pStyle w:val="NormalHanging12a"/>
        <w:widowControl/>
      </w:pPr>
      <w:r w:rsidRPr="00250DE8">
        <w:t>–</w:t>
      </w:r>
      <w:r w:rsidRPr="00250DE8">
        <w:tab/>
        <w:t>tekintettel az Európai Unió működéséről szóló szerződés 294. cikkének (3) bekezdésére,</w:t>
      </w:r>
    </w:p>
    <w:p w14:paraId="292D0591" w14:textId="3324E8F5" w:rsidR="000D2D08" w:rsidRPr="00250DE8" w:rsidRDefault="00966FFD" w:rsidP="000D471D">
      <w:pPr>
        <w:pStyle w:val="NormalHanging12a"/>
        <w:widowControl/>
      </w:pPr>
      <w:r w:rsidRPr="00250DE8">
        <w:t>–</w:t>
      </w:r>
      <w:r w:rsidRPr="00250DE8">
        <w:tab/>
      </w:r>
      <w:r w:rsidR="000D2D08" w:rsidRPr="00250DE8">
        <w:t>tekintettel az illetékes bizottság által az eljárási szabályzat 75. cikkének (4) bekezdése alapján jóváhagyott ideiglenes megállapodásra és a Tanács képviselőjének 2026. április 23-i írásbeli kötelezettségvállalására, amely szerint egyetért a Parlament álláspontjával, az Európai Unió működéséről szóló szerződés 294. cikkének (4) bekezdésével összhangban,</w:t>
      </w:r>
    </w:p>
    <w:p w14:paraId="08416216" w14:textId="3E4AC7A7" w:rsidR="00966FFD" w:rsidRPr="00250DE8" w:rsidRDefault="000D2D08" w:rsidP="000D471D">
      <w:pPr>
        <w:pStyle w:val="NormalHanging12a"/>
        <w:widowControl/>
      </w:pPr>
      <w:r w:rsidRPr="00250DE8">
        <w:t>–</w:t>
      </w:r>
      <w:r w:rsidRPr="00250DE8">
        <w:tab/>
      </w:r>
      <w:r w:rsidR="00966FFD" w:rsidRPr="00250DE8">
        <w:t>tekintettel eljárási szabályzata 60. cikkére,</w:t>
      </w:r>
    </w:p>
    <w:p w14:paraId="4F5C88D5" w14:textId="77777777" w:rsidR="00966FFD" w:rsidRPr="00250DE8" w:rsidRDefault="00966FFD" w:rsidP="000D471D">
      <w:pPr>
        <w:pStyle w:val="NormalHanging12a"/>
        <w:widowControl/>
      </w:pPr>
      <w:r w:rsidRPr="00250DE8">
        <w:t>–</w:t>
      </w:r>
      <w:r w:rsidRPr="00250DE8">
        <w:tab/>
        <w:t>tekintettel az Ipari, Kutatási és Energiaügyi Bizottság véleményére,</w:t>
      </w:r>
    </w:p>
    <w:p w14:paraId="2BFA3EFA" w14:textId="77777777" w:rsidR="00966FFD" w:rsidRPr="00250DE8" w:rsidRDefault="00966FFD" w:rsidP="000D471D">
      <w:pPr>
        <w:pStyle w:val="NormalHanging12a"/>
        <w:widowControl/>
      </w:pPr>
      <w:r w:rsidRPr="00250DE8">
        <w:t>–</w:t>
      </w:r>
      <w:r w:rsidRPr="00250DE8">
        <w:tab/>
        <w:t>tekintettel a Nemzetközi Kereskedelmi Bizottság jelentésére (A10-0012/2026),</w:t>
      </w:r>
    </w:p>
    <w:p w14:paraId="3A4ED05E" w14:textId="77777777" w:rsidR="00966FFD" w:rsidRPr="00250DE8" w:rsidRDefault="00966FFD" w:rsidP="000D471D">
      <w:pPr>
        <w:pStyle w:val="NormalHanging12a"/>
        <w:widowControl/>
      </w:pPr>
      <w:r w:rsidRPr="00250DE8">
        <w:t>1.</w:t>
      </w:r>
      <w:r w:rsidRPr="00250DE8">
        <w:tab/>
        <w:t>elfogadja első olvasatban az alábbi álláspontot;</w:t>
      </w:r>
    </w:p>
    <w:p w14:paraId="3AB771A9" w14:textId="26E863C0" w:rsidR="0092103A" w:rsidRPr="00250DE8" w:rsidRDefault="0092103A" w:rsidP="000D471D">
      <w:pPr>
        <w:pStyle w:val="NormalHanging12a"/>
        <w:widowControl/>
      </w:pPr>
      <w:r w:rsidRPr="00250DE8">
        <w:t>2.</w:t>
      </w:r>
      <w:r w:rsidRPr="00250DE8">
        <w:tab/>
      </w:r>
      <w:r w:rsidR="00FF3A5E" w:rsidRPr="00FF3A5E">
        <w:t xml:space="preserve">jóváhagyja </w:t>
      </w:r>
      <w:r w:rsidRPr="00250DE8">
        <w:t>a Parlament</w:t>
      </w:r>
      <w:r w:rsidR="008E4884">
        <w:t>, a Tanács</w:t>
      </w:r>
      <w:r w:rsidRPr="00250DE8">
        <w:t xml:space="preserve"> és a Bizottság ezen állásfoglaláshoz csatolt, együttes nyilatkozatát, amelyet az </w:t>
      </w:r>
      <w:r w:rsidRPr="00250DE8">
        <w:rPr>
          <w:i/>
          <w:iCs/>
        </w:rPr>
        <w:t>Európai Unió Hivatalos Lapjának</w:t>
      </w:r>
      <w:r w:rsidRPr="00250DE8">
        <w:t xml:space="preserve"> C sorozatában tesznek közzé;</w:t>
      </w:r>
    </w:p>
    <w:p w14:paraId="7C9C6DED" w14:textId="2FCDD3A2" w:rsidR="00966FFD" w:rsidRPr="00250DE8" w:rsidRDefault="0092103A" w:rsidP="000D471D">
      <w:pPr>
        <w:pStyle w:val="NormalHanging12a"/>
        <w:widowControl/>
      </w:pPr>
      <w:r w:rsidRPr="00250DE8">
        <w:lastRenderedPageBreak/>
        <w:t>3</w:t>
      </w:r>
      <w:r w:rsidR="00966FFD" w:rsidRPr="00250DE8">
        <w:t>.</w:t>
      </w:r>
      <w:r w:rsidR="00966FFD" w:rsidRPr="00250DE8">
        <w:tab/>
        <w:t>felkéri a Bizottságot, hogy utalja az ügyet újból a Parlamenthez, ha javaslatát másik szöveggel váltja fel, lényegesen módosítja vagy lényegesen módosítani kívánja;</w:t>
      </w:r>
    </w:p>
    <w:p w14:paraId="18321DC1" w14:textId="063CAEE5" w:rsidR="00966FFD" w:rsidRPr="00250DE8" w:rsidRDefault="0092103A" w:rsidP="000D471D">
      <w:pPr>
        <w:pStyle w:val="NormalHanging12a"/>
        <w:widowControl/>
      </w:pPr>
      <w:r w:rsidRPr="00250DE8">
        <w:t>4</w:t>
      </w:r>
      <w:r w:rsidR="00966FFD" w:rsidRPr="00250DE8">
        <w:t>.</w:t>
      </w:r>
      <w:r w:rsidR="00966FFD" w:rsidRPr="00250DE8">
        <w:tab/>
        <w:t>utasítja elnökét, hogy továbbítsa a Parlament álláspontját a Tanácsnak és a Bizottságnak, valamint a nemzeti parlamenteknek.</w:t>
      </w:r>
    </w:p>
    <w:p w14:paraId="2430ABFD" w14:textId="77777777" w:rsidR="000D2D08" w:rsidRPr="00250DE8" w:rsidRDefault="000D2D08" w:rsidP="00966FFD">
      <w:pPr>
        <w:widowControl/>
        <w:sectPr w:rsidR="000D2D08" w:rsidRPr="00250DE8" w:rsidSect="00E96A6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B1D8A99" w14:textId="1C6D1638" w:rsidR="0092103A" w:rsidRPr="00250DE8" w:rsidRDefault="0092103A" w:rsidP="0092103A">
      <w:pPr>
        <w:widowControl/>
        <w:spacing w:after="240"/>
        <w:rPr>
          <w:b/>
          <w:bCs/>
        </w:rPr>
      </w:pPr>
      <w:r w:rsidRPr="00250DE8">
        <w:rPr>
          <w:b/>
          <w:bCs/>
        </w:rPr>
        <w:lastRenderedPageBreak/>
        <w:t>P10_TC1-</w:t>
      </w:r>
      <w:proofErr w:type="gramStart"/>
      <w:r w:rsidRPr="00250DE8">
        <w:rPr>
          <w:b/>
          <w:bCs/>
        </w:rPr>
        <w:t>COD(</w:t>
      </w:r>
      <w:proofErr w:type="gramEnd"/>
      <w:r w:rsidRPr="00250DE8">
        <w:rPr>
          <w:b/>
          <w:bCs/>
        </w:rPr>
        <w:t>2025)0726</w:t>
      </w:r>
    </w:p>
    <w:p w14:paraId="08012BA8" w14:textId="0434DD84" w:rsidR="0092103A" w:rsidRPr="00250DE8" w:rsidRDefault="0092103A" w:rsidP="0092103A">
      <w:pPr>
        <w:pStyle w:val="NormalHanging12a"/>
        <w:widowControl/>
        <w:ind w:left="0" w:firstLine="0"/>
        <w:rPr>
          <w:b/>
        </w:rPr>
      </w:pPr>
      <w:r w:rsidRPr="00250DE8">
        <w:rPr>
          <w:b/>
        </w:rPr>
        <w:t xml:space="preserve">Az Európai Parlament álláspontja, amely első olvasatban 2026. május 19-én került elfogadásra </w:t>
      </w:r>
      <w:r w:rsidR="00E13929" w:rsidRPr="00E13929">
        <w:rPr>
          <w:b/>
          <w:szCs w:val="24"/>
          <w:lang w:eastAsia="en-US"/>
        </w:rPr>
        <w:t>a globális kapacitásfelesleg által az uniós acélpiacra gyakorolt negatív kereskedelmi hatások kezeléséről és az (EU) 2020/2170 rendelet módosításáról</w:t>
      </w:r>
      <w:r w:rsidR="00E13929">
        <w:rPr>
          <w:b/>
          <w:szCs w:val="24"/>
          <w:lang w:eastAsia="en-US"/>
        </w:rPr>
        <w:t xml:space="preserve"> </w:t>
      </w:r>
      <w:r w:rsidRPr="00250DE8">
        <w:rPr>
          <w:b/>
        </w:rPr>
        <w:t>szóló (EU) 2026/... európai parlamenti és tanácsi rendelet elfogadására tekintettel</w:t>
      </w:r>
    </w:p>
    <w:p w14:paraId="71D4FE13" w14:textId="1BD3C6F0" w:rsidR="00E13929" w:rsidRPr="00E13929" w:rsidRDefault="00E13929" w:rsidP="00E13929">
      <w:pPr>
        <w:pStyle w:val="NormalWeb"/>
        <w:spacing w:before="0" w:beforeAutospacing="0" w:after="0" w:afterAutospacing="0"/>
        <w:rPr>
          <w:i/>
          <w:iCs/>
          <w:lang w:val="hu-HU"/>
        </w:rPr>
      </w:pPr>
      <w:r w:rsidRPr="00E13929">
        <w:rPr>
          <w:i/>
          <w:iCs/>
          <w:lang w:val="hu-HU"/>
        </w:rPr>
        <w:t>(A Parlament és a Tanács megállapodása következtében a Parlament álláspontja megegyezik a végleges jogalkotási aktussal, az (EU) 2026/</w:t>
      </w:r>
      <w:r>
        <w:rPr>
          <w:i/>
          <w:iCs/>
          <w:lang w:val="hu-HU"/>
        </w:rPr>
        <w:t>1384</w:t>
      </w:r>
      <w:r w:rsidRPr="00E13929">
        <w:rPr>
          <w:i/>
          <w:iCs/>
          <w:lang w:val="hu-HU"/>
        </w:rPr>
        <w:t xml:space="preserve"> rendelettel</w:t>
      </w:r>
      <w:r>
        <w:rPr>
          <w:i/>
          <w:iCs/>
          <w:lang w:val="hu-HU"/>
        </w:rPr>
        <w:t>.</w:t>
      </w:r>
      <w:r w:rsidRPr="00E13929">
        <w:rPr>
          <w:i/>
          <w:iCs/>
          <w:lang w:val="hu-HU"/>
        </w:rPr>
        <w:t>)</w:t>
      </w:r>
    </w:p>
    <w:p w14:paraId="003AE96F" w14:textId="77777777" w:rsidR="0092103A" w:rsidRPr="00250DE8" w:rsidRDefault="0092103A" w:rsidP="003E0805"/>
    <w:p w14:paraId="56E5DBFB" w14:textId="77777777" w:rsidR="0092103A" w:rsidRPr="00250DE8" w:rsidRDefault="0092103A" w:rsidP="003E0805">
      <w:pPr>
        <w:sectPr w:rsidR="0092103A" w:rsidRPr="00250DE8" w:rsidSect="00E96A6B">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2753F1F" w14:textId="54F613C8" w:rsidR="0092103A" w:rsidRPr="00250DE8" w:rsidRDefault="0092103A" w:rsidP="0092103A">
      <w:pPr>
        <w:jc w:val="right"/>
      </w:pPr>
      <w:r w:rsidRPr="00250DE8">
        <w:lastRenderedPageBreak/>
        <w:t>MELLÉKLET A JOGALKOTÁSI ÁLLÁSFOGLALÁSHOZ</w:t>
      </w:r>
    </w:p>
    <w:p w14:paraId="6488DE20" w14:textId="77777777" w:rsidR="0092103A" w:rsidRPr="00250DE8" w:rsidRDefault="0092103A" w:rsidP="003E0805"/>
    <w:p w14:paraId="42512135" w14:textId="77777777" w:rsidR="001C25EA" w:rsidRPr="00250DE8" w:rsidRDefault="001C25EA" w:rsidP="006A5C9A">
      <w:pPr>
        <w:widowControl/>
        <w:spacing w:after="240"/>
        <w:jc w:val="center"/>
        <w:rPr>
          <w:b/>
          <w:bCs/>
          <w:szCs w:val="24"/>
        </w:rPr>
      </w:pPr>
      <w:r w:rsidRPr="00250DE8">
        <w:rPr>
          <w:b/>
          <w:bCs/>
          <w:szCs w:val="24"/>
        </w:rPr>
        <w:t>Az Európai Parlament, a Tanács és a Bizottság együttes nyilatkozata az Oroszországból származó acéltermékek behozataláról</w:t>
      </w:r>
    </w:p>
    <w:p w14:paraId="1B746D8D" w14:textId="77777777" w:rsidR="001C25EA" w:rsidRPr="00250DE8" w:rsidRDefault="001C25EA" w:rsidP="006A5C9A">
      <w:pPr>
        <w:widowControl/>
        <w:spacing w:after="240"/>
        <w:rPr>
          <w:szCs w:val="24"/>
        </w:rPr>
      </w:pPr>
      <w:r w:rsidRPr="00250DE8">
        <w:rPr>
          <w:szCs w:val="24"/>
        </w:rPr>
        <w:t>A háború kezdete óta az Unió és tagállamai példa nélküli intézkedéseket hoztak az Oroszországtól való gazdasági függőség csökkentése és annak biztosítása érdekében, hogy az Unió gazdasági tevékenysége ne járuljon hozzá Oroszország háborús erőfeszítéseinek fenntartásához.</w:t>
      </w:r>
    </w:p>
    <w:p w14:paraId="54F1197D" w14:textId="77777777" w:rsidR="001C25EA" w:rsidRPr="00250DE8" w:rsidRDefault="001C25EA" w:rsidP="006A5C9A">
      <w:pPr>
        <w:widowControl/>
        <w:spacing w:after="240"/>
        <w:rPr>
          <w:szCs w:val="24"/>
        </w:rPr>
      </w:pPr>
      <w:r w:rsidRPr="00250DE8">
        <w:rPr>
          <w:szCs w:val="24"/>
        </w:rPr>
        <w:t xml:space="preserve">Ezek az intézkedések számos ágazatban – többek között az acéliparban – jelentősen csökkentették a kereskedelmi forgalmat, felgyorsították a függetlenedést, és hozzájárultak az Unió </w:t>
      </w:r>
      <w:proofErr w:type="spellStart"/>
      <w:r w:rsidRPr="00250DE8">
        <w:rPr>
          <w:szCs w:val="24"/>
        </w:rPr>
        <w:t>rezilienciájához</w:t>
      </w:r>
      <w:proofErr w:type="spellEnd"/>
      <w:r w:rsidRPr="00250DE8">
        <w:rPr>
          <w:szCs w:val="24"/>
        </w:rPr>
        <w:t>, ugyanakkor bizonyították, hogy az Unió képes egységesen és határozottan fellépni, ha értékei és stratégiai érdekei forognak kockán.</w:t>
      </w:r>
    </w:p>
    <w:p w14:paraId="7CEAF0DE" w14:textId="77777777" w:rsidR="001C25EA" w:rsidRPr="00250DE8" w:rsidRDefault="001C25EA" w:rsidP="006A5C9A">
      <w:pPr>
        <w:widowControl/>
        <w:spacing w:after="240"/>
        <w:rPr>
          <w:szCs w:val="24"/>
        </w:rPr>
      </w:pPr>
      <w:r w:rsidRPr="00250DE8">
        <w:rPr>
          <w:szCs w:val="24"/>
        </w:rPr>
        <w:t>Ugyanakkor az Uniónak továbbra is figyelemmel kell kísérnie azokat a területeket, ahol továbbra is függőségek állnak fenn, különösen egyes olyan acéltermékek tekintetében, amelyek behozatala még nem teljesen tiltott.</w:t>
      </w:r>
    </w:p>
    <w:p w14:paraId="70532598" w14:textId="1B4F6A75" w:rsidR="001C25EA" w:rsidRPr="00250DE8" w:rsidRDefault="001C25EA" w:rsidP="006A5C9A">
      <w:pPr>
        <w:widowControl/>
        <w:spacing w:after="240"/>
        <w:rPr>
          <w:szCs w:val="24"/>
        </w:rPr>
      </w:pPr>
      <w:r w:rsidRPr="00250DE8">
        <w:rPr>
          <w:szCs w:val="24"/>
        </w:rPr>
        <w:t>A Tanács által elfogadott vonatkozó korlátozó intézkedésekben</w:t>
      </w:r>
      <w:r w:rsidR="006A5C9A" w:rsidRPr="00250DE8">
        <w:rPr>
          <w:szCs w:val="24"/>
          <w:vertAlign w:val="superscript"/>
        </w:rPr>
        <w:footnoteReference w:id="1"/>
      </w:r>
      <w:r w:rsidRPr="00250DE8">
        <w:rPr>
          <w:szCs w:val="24"/>
        </w:rPr>
        <w:t xml:space="preserve"> megállapított átmeneti rendelkezésekkel összhangban</w:t>
      </w:r>
      <w:r w:rsidR="006A5C9A" w:rsidRPr="00250DE8">
        <w:rPr>
          <w:szCs w:val="24"/>
        </w:rPr>
        <w:t>,</w:t>
      </w:r>
      <w:r w:rsidRPr="00250DE8">
        <w:rPr>
          <w:szCs w:val="24"/>
        </w:rPr>
        <w:t xml:space="preserve"> 2028. szeptember 30-ig továbbra is korlátozott az Oroszországból származó behozatal az acélágazatban. A fokozatos és folyamatos diverzifikáció biztosítása érdekében ezeket a behozatalokat kvóták korlátozzák, amelyek mennyisége évente csökken.</w:t>
      </w:r>
    </w:p>
    <w:p w14:paraId="2D255D1C" w14:textId="04CEE481" w:rsidR="0092103A" w:rsidRPr="00E96A6B" w:rsidRDefault="001C25EA" w:rsidP="006A5C9A">
      <w:pPr>
        <w:widowControl/>
        <w:spacing w:after="240"/>
      </w:pPr>
      <w:r w:rsidRPr="00250DE8">
        <w:rPr>
          <w:szCs w:val="24"/>
        </w:rPr>
        <w:t>Emlékeztetve a korlátozó intézkedésekre alkalmazandó intézményi keretre, az Európai Parlament, a Tanács és a Bizottság kiemeli, hogy a Tanács által elfogadott vonatkozó korlátozó intézkedések alátámasztják az orosz acéltermékek, különösen az acéllemezek fennmaradó behozatalának 2028. szeptember 30-ig történő teljes kivezetésére irányuló célkitűzést.</w:t>
      </w:r>
    </w:p>
    <w:sectPr w:rsidR="0092103A" w:rsidRPr="00E96A6B" w:rsidSect="00E96A6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20F0D" w14:textId="77777777" w:rsidR="003E0805" w:rsidRPr="00E96A6B" w:rsidRDefault="003E0805">
      <w:r w:rsidRPr="00E96A6B">
        <w:separator/>
      </w:r>
    </w:p>
  </w:endnote>
  <w:endnote w:type="continuationSeparator" w:id="0">
    <w:p w14:paraId="0EFB1D7A" w14:textId="77777777" w:rsidR="003E0805" w:rsidRPr="00E96A6B" w:rsidRDefault="003E0805">
      <w:r w:rsidRPr="00E96A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1DE0A" w14:textId="77777777" w:rsidR="00014D5C" w:rsidRPr="003C5056" w:rsidRDefault="00014D5C">
    <w:pPr>
      <w:pStyle w:val="Footer1"/>
    </w:pPr>
    <w:r w:rsidRPr="003C5056">
      <w:rPr>
        <w:rStyle w:val="Footer2"/>
      </w:rPr>
      <w:t>EN</w:t>
    </w:r>
    <w:r w:rsidRPr="003C5056">
      <w:tab/>
    </w:r>
    <w:r w:rsidRPr="003C5056">
      <w:fldChar w:fldCharType="begin"/>
    </w:r>
    <w:r w:rsidRPr="003C5056">
      <w:instrText xml:space="preserve"> PAGE </w:instrText>
    </w:r>
    <w:r w:rsidRPr="003C5056">
      <w:fldChar w:fldCharType="separate"/>
    </w:r>
    <w:r w:rsidRPr="003C5056">
      <w:t>1</w:t>
    </w:r>
    <w:r w:rsidRPr="003C5056">
      <w:fldChar w:fldCharType="end"/>
    </w:r>
    <w:r w:rsidRPr="003C5056">
      <w:tab/>
    </w:r>
    <w:r w:rsidRPr="003C5056">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969F0" w14:textId="774745D2" w:rsidR="00014D5C" w:rsidRPr="00014D5C" w:rsidRDefault="00014D5C" w:rsidP="00014D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02989" w14:textId="77777777" w:rsidR="00014D5C" w:rsidRPr="003C5056" w:rsidRDefault="00014D5C">
    <w:pPr>
      <w:pStyle w:val="Footer1"/>
    </w:pPr>
    <w:r w:rsidRPr="003C5056">
      <w:rPr>
        <w:rStyle w:val="Footer2"/>
      </w:rPr>
      <w:t>EN</w:t>
    </w:r>
    <w:r w:rsidRPr="003C5056">
      <w:tab/>
    </w:r>
    <w:r w:rsidRPr="003C5056">
      <w:fldChar w:fldCharType="begin"/>
    </w:r>
    <w:r w:rsidRPr="003C5056">
      <w:instrText xml:space="preserve"> PAGE </w:instrText>
    </w:r>
    <w:r w:rsidRPr="003C5056">
      <w:fldChar w:fldCharType="separate"/>
    </w:r>
    <w:r w:rsidRPr="003C5056">
      <w:t>1</w:t>
    </w:r>
    <w:r w:rsidRPr="003C5056">
      <w:fldChar w:fldCharType="end"/>
    </w:r>
    <w:r w:rsidRPr="003C5056">
      <w:tab/>
    </w:r>
    <w:r w:rsidRPr="003C5056">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711AC" w14:textId="77777777" w:rsidR="003E0805" w:rsidRPr="00E96A6B" w:rsidRDefault="003E0805">
      <w:r w:rsidRPr="00E96A6B">
        <w:separator/>
      </w:r>
    </w:p>
  </w:footnote>
  <w:footnote w:type="continuationSeparator" w:id="0">
    <w:p w14:paraId="6278D7F6" w14:textId="77777777" w:rsidR="003E0805" w:rsidRPr="00E96A6B" w:rsidRDefault="003E0805">
      <w:r w:rsidRPr="00E96A6B">
        <w:continuationSeparator/>
      </w:r>
    </w:p>
  </w:footnote>
  <w:footnote w:id="1">
    <w:p w14:paraId="375EE187" w14:textId="2843753C" w:rsidR="006A5C9A" w:rsidRPr="00250DE8" w:rsidRDefault="006A5C9A" w:rsidP="006A5C9A">
      <w:pPr>
        <w:pStyle w:val="FootnoteText"/>
        <w:ind w:left="709" w:hanging="709"/>
        <w:rPr>
          <w:sz w:val="24"/>
          <w:szCs w:val="24"/>
          <w:lang w:val="hu-HU"/>
        </w:rPr>
      </w:pPr>
      <w:r w:rsidRPr="00AC3B0D">
        <w:rPr>
          <w:rStyle w:val="FootnoteReference"/>
          <w:sz w:val="24"/>
          <w:szCs w:val="24"/>
        </w:rPr>
        <w:footnoteRef/>
      </w:r>
      <w:r w:rsidRPr="00250DE8">
        <w:rPr>
          <w:sz w:val="24"/>
          <w:szCs w:val="24"/>
          <w:lang w:val="hu-HU"/>
        </w:rPr>
        <w:t xml:space="preserve"> </w:t>
      </w:r>
      <w:r w:rsidRPr="00250DE8">
        <w:rPr>
          <w:sz w:val="24"/>
          <w:szCs w:val="24"/>
          <w:lang w:val="hu-HU"/>
        </w:rPr>
        <w:tab/>
        <w:t xml:space="preserve">A Tanács 2014/512/KKBP határozata (2014. július 31.) az ukrajnai helyzetet destabilizáló orosz intézkedések miatt hozott korlátozó intézkedésekről </w:t>
      </w:r>
      <w:r w:rsidR="00E13929" w:rsidRPr="00E13929">
        <w:rPr>
          <w:sz w:val="24"/>
          <w:szCs w:val="24"/>
          <w:lang w:val="hu-HU"/>
        </w:rPr>
        <w:t>(</w:t>
      </w:r>
      <w:r w:rsidR="00E13929">
        <w:rPr>
          <w:sz w:val="24"/>
          <w:szCs w:val="24"/>
          <w:lang w:val="hu-HU"/>
        </w:rPr>
        <w:t>HL</w:t>
      </w:r>
      <w:r w:rsidR="00E13929" w:rsidRPr="00E13929">
        <w:rPr>
          <w:sz w:val="24"/>
          <w:szCs w:val="24"/>
          <w:lang w:val="hu-HU"/>
        </w:rPr>
        <w:t xml:space="preserve"> L 229</w:t>
      </w:r>
      <w:r w:rsidR="00582B75">
        <w:rPr>
          <w:sz w:val="24"/>
          <w:szCs w:val="24"/>
          <w:lang w:val="hu-HU"/>
        </w:rPr>
        <w:t>.</w:t>
      </w:r>
      <w:r w:rsidR="00E13929" w:rsidRPr="00E13929">
        <w:rPr>
          <w:sz w:val="24"/>
          <w:szCs w:val="24"/>
          <w:lang w:val="hu-HU"/>
        </w:rPr>
        <w:t xml:space="preserve">, </w:t>
      </w:r>
      <w:r w:rsidR="00E13929">
        <w:rPr>
          <w:sz w:val="24"/>
          <w:szCs w:val="24"/>
          <w:lang w:val="hu-HU"/>
        </w:rPr>
        <w:t>2014.7.</w:t>
      </w:r>
      <w:r w:rsidR="00E13929" w:rsidRPr="00E13929">
        <w:rPr>
          <w:sz w:val="24"/>
          <w:szCs w:val="24"/>
          <w:lang w:val="hu-HU"/>
        </w:rPr>
        <w:t>31., 13</w:t>
      </w:r>
      <w:r w:rsidR="00E13929">
        <w:rPr>
          <w:sz w:val="24"/>
          <w:szCs w:val="24"/>
          <w:lang w:val="hu-HU"/>
        </w:rPr>
        <w:t>. o.</w:t>
      </w:r>
      <w:r w:rsidR="00E13929" w:rsidRPr="00E13929">
        <w:rPr>
          <w:sz w:val="24"/>
          <w:szCs w:val="24"/>
          <w:lang w:val="hu-HU"/>
        </w:rPr>
        <w:t xml:space="preserve">, ELI: </w:t>
      </w:r>
      <w:hyperlink r:id="rId1" w:history="1">
        <w:r w:rsidR="00E13929" w:rsidRPr="00E13929">
          <w:rPr>
            <w:rStyle w:val="Hyperlink"/>
            <w:sz w:val="24"/>
            <w:szCs w:val="24"/>
            <w:lang w:val="hu-HU"/>
          </w:rPr>
          <w:t>http://data.europa.eu/eli/dec/2014/512/oj</w:t>
        </w:r>
      </w:hyperlink>
      <w:r w:rsidR="00E13929" w:rsidRPr="00E13929">
        <w:rPr>
          <w:sz w:val="24"/>
          <w:szCs w:val="24"/>
          <w:lang w:val="hu-HU"/>
        </w:rPr>
        <w:t xml:space="preserve">) </w:t>
      </w:r>
      <w:r w:rsidRPr="00250DE8">
        <w:rPr>
          <w:sz w:val="24"/>
          <w:szCs w:val="24"/>
          <w:lang w:val="hu-HU"/>
        </w:rPr>
        <w:t>és a Tanács 833/2014/EU rendelete (2014. július 31.) az ukrajnai helyzetet destabilizáló orosz intézkedések miatt hozott korlátozó intézkedésekrő</w:t>
      </w:r>
      <w:r>
        <w:rPr>
          <w:sz w:val="24"/>
          <w:szCs w:val="24"/>
          <w:lang w:val="hu-HU"/>
        </w:rPr>
        <w:t>l</w:t>
      </w:r>
      <w:r w:rsidR="00E13929">
        <w:rPr>
          <w:sz w:val="24"/>
          <w:szCs w:val="24"/>
          <w:lang w:val="hu-HU"/>
        </w:rPr>
        <w:t xml:space="preserve"> </w:t>
      </w:r>
      <w:r w:rsidR="00E13929" w:rsidRPr="00E13929">
        <w:rPr>
          <w:sz w:val="24"/>
          <w:szCs w:val="24"/>
          <w:lang w:val="hu-HU"/>
        </w:rPr>
        <w:t>(</w:t>
      </w:r>
      <w:r w:rsidR="00E13929">
        <w:rPr>
          <w:sz w:val="24"/>
          <w:szCs w:val="24"/>
          <w:lang w:val="hu-HU"/>
        </w:rPr>
        <w:t>HL</w:t>
      </w:r>
      <w:r w:rsidR="00E13929" w:rsidRPr="00E13929">
        <w:rPr>
          <w:sz w:val="24"/>
          <w:szCs w:val="24"/>
          <w:lang w:val="hu-HU"/>
        </w:rPr>
        <w:t xml:space="preserve"> L 229</w:t>
      </w:r>
      <w:r w:rsidR="00E13929">
        <w:rPr>
          <w:sz w:val="24"/>
          <w:szCs w:val="24"/>
          <w:lang w:val="hu-HU"/>
        </w:rPr>
        <w:t>.</w:t>
      </w:r>
      <w:r w:rsidR="00E13929" w:rsidRPr="00E13929">
        <w:rPr>
          <w:sz w:val="24"/>
          <w:szCs w:val="24"/>
          <w:lang w:val="hu-HU"/>
        </w:rPr>
        <w:t xml:space="preserve">, </w:t>
      </w:r>
      <w:r w:rsidR="00E13929">
        <w:rPr>
          <w:sz w:val="24"/>
          <w:szCs w:val="24"/>
          <w:lang w:val="hu-HU"/>
        </w:rPr>
        <w:t>2014.7.</w:t>
      </w:r>
      <w:r w:rsidR="00E13929" w:rsidRPr="00E13929">
        <w:rPr>
          <w:sz w:val="24"/>
          <w:szCs w:val="24"/>
          <w:lang w:val="hu-HU"/>
        </w:rPr>
        <w:t>31., 1</w:t>
      </w:r>
      <w:r w:rsidR="00E13929">
        <w:rPr>
          <w:sz w:val="24"/>
          <w:szCs w:val="24"/>
          <w:lang w:val="hu-HU"/>
        </w:rPr>
        <w:t>. o.</w:t>
      </w:r>
      <w:r w:rsidR="00E13929" w:rsidRPr="00E13929">
        <w:rPr>
          <w:sz w:val="24"/>
          <w:szCs w:val="24"/>
          <w:lang w:val="hu-HU"/>
        </w:rPr>
        <w:t xml:space="preserve">, ELI: </w:t>
      </w:r>
      <w:hyperlink r:id="rId2" w:history="1">
        <w:r w:rsidR="00E13929" w:rsidRPr="00E13929">
          <w:rPr>
            <w:rStyle w:val="Hyperlink"/>
            <w:sz w:val="24"/>
            <w:szCs w:val="24"/>
            <w:lang w:val="hu-HU"/>
          </w:rPr>
          <w:t>http://data.europa.eu/eli/reg/2014/833/oj</w:t>
        </w:r>
      </w:hyperlink>
      <w:r w:rsidR="00E13929">
        <w:rPr>
          <w:sz w:val="24"/>
          <w:szCs w:val="24"/>
          <w:lang w:val="hu-HU"/>
        </w:rPr>
        <w:t>)</w:t>
      </w:r>
      <w:r w:rsidRPr="00250DE8">
        <w:rPr>
          <w:sz w:val="24"/>
          <w:szCs w:val="24"/>
          <w:lang w:val="hu-H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3C77951"/>
    <w:multiLevelType w:val="hybridMultilevel"/>
    <w:tmpl w:val="CF046FD2"/>
    <w:lvl w:ilvl="0" w:tplc="E07EC6C8">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9222C562">
      <w:start w:val="1"/>
      <w:numFmt w:val="lowerLetter"/>
      <w:lvlText w:val="(%2)"/>
      <w:lvlJc w:val="left"/>
      <w:pPr>
        <w:ind w:left="1532" w:hanging="567"/>
      </w:pPr>
      <w:rPr>
        <w:rFonts w:ascii="Times New Roman" w:eastAsia="Times New Roman" w:hAnsi="Times New Roman" w:cs="Times New Roman" w:hint="default"/>
        <w:b w:val="0"/>
        <w:bCs w:val="0"/>
        <w:i w:val="0"/>
        <w:iCs w:val="0"/>
        <w:spacing w:val="-1"/>
        <w:w w:val="100"/>
        <w:sz w:val="24"/>
        <w:szCs w:val="24"/>
        <w:lang w:val="en-US" w:eastAsia="en-US" w:bidi="ar-SA"/>
      </w:rPr>
    </w:lvl>
    <w:lvl w:ilvl="2" w:tplc="DB1AF1A0">
      <w:numFmt w:val="bullet"/>
      <w:lvlText w:val="•"/>
      <w:lvlJc w:val="left"/>
      <w:pPr>
        <w:ind w:left="2402" w:hanging="567"/>
      </w:pPr>
      <w:rPr>
        <w:lang w:val="en-US" w:eastAsia="en-US" w:bidi="ar-SA"/>
      </w:rPr>
    </w:lvl>
    <w:lvl w:ilvl="3" w:tplc="30269510">
      <w:numFmt w:val="bullet"/>
      <w:lvlText w:val="•"/>
      <w:lvlJc w:val="left"/>
      <w:pPr>
        <w:ind w:left="3265" w:hanging="567"/>
      </w:pPr>
      <w:rPr>
        <w:lang w:val="en-US" w:eastAsia="en-US" w:bidi="ar-SA"/>
      </w:rPr>
    </w:lvl>
    <w:lvl w:ilvl="4" w:tplc="FDD45BE2">
      <w:numFmt w:val="bullet"/>
      <w:lvlText w:val="•"/>
      <w:lvlJc w:val="left"/>
      <w:pPr>
        <w:ind w:left="4128" w:hanging="567"/>
      </w:pPr>
      <w:rPr>
        <w:lang w:val="en-US" w:eastAsia="en-US" w:bidi="ar-SA"/>
      </w:rPr>
    </w:lvl>
    <w:lvl w:ilvl="5" w:tplc="5CA0EDC8">
      <w:numFmt w:val="bullet"/>
      <w:lvlText w:val="•"/>
      <w:lvlJc w:val="left"/>
      <w:pPr>
        <w:ind w:left="4991" w:hanging="567"/>
      </w:pPr>
      <w:rPr>
        <w:lang w:val="en-US" w:eastAsia="en-US" w:bidi="ar-SA"/>
      </w:rPr>
    </w:lvl>
    <w:lvl w:ilvl="6" w:tplc="B7F6CBBC">
      <w:numFmt w:val="bullet"/>
      <w:lvlText w:val="•"/>
      <w:lvlJc w:val="left"/>
      <w:pPr>
        <w:ind w:left="5854" w:hanging="567"/>
      </w:pPr>
      <w:rPr>
        <w:lang w:val="en-US" w:eastAsia="en-US" w:bidi="ar-SA"/>
      </w:rPr>
    </w:lvl>
    <w:lvl w:ilvl="7" w:tplc="6D5CCA4A">
      <w:numFmt w:val="bullet"/>
      <w:lvlText w:val="•"/>
      <w:lvlJc w:val="left"/>
      <w:pPr>
        <w:ind w:left="6717" w:hanging="567"/>
      </w:pPr>
      <w:rPr>
        <w:lang w:val="en-US" w:eastAsia="en-US" w:bidi="ar-SA"/>
      </w:rPr>
    </w:lvl>
    <w:lvl w:ilvl="8" w:tplc="1018CBF0">
      <w:numFmt w:val="bullet"/>
      <w:lvlText w:val="•"/>
      <w:lvlJc w:val="left"/>
      <w:pPr>
        <w:ind w:left="7580" w:hanging="567"/>
      </w:pPr>
      <w:rPr>
        <w:lang w:val="en-US" w:eastAsia="en-US" w:bidi="ar-SA"/>
      </w:rPr>
    </w:lvl>
  </w:abstractNum>
  <w:abstractNum w:abstractNumId="13" w15:restartNumberingAfterBreak="0">
    <w:nsid w:val="4D3C337A"/>
    <w:multiLevelType w:val="hybridMultilevel"/>
    <w:tmpl w:val="F398A9F8"/>
    <w:lvl w:ilvl="0" w:tplc="F488AAF8">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9F9E1AD6">
      <w:numFmt w:val="bullet"/>
      <w:lvlText w:val="•"/>
      <w:lvlJc w:val="left"/>
      <w:pPr>
        <w:ind w:left="1794" w:hanging="850"/>
      </w:pPr>
      <w:rPr>
        <w:lang w:val="en-US" w:eastAsia="en-US" w:bidi="ar-SA"/>
      </w:rPr>
    </w:lvl>
    <w:lvl w:ilvl="2" w:tplc="FC588752">
      <w:numFmt w:val="bullet"/>
      <w:lvlText w:val="•"/>
      <w:lvlJc w:val="left"/>
      <w:pPr>
        <w:ind w:left="2629" w:hanging="850"/>
      </w:pPr>
      <w:rPr>
        <w:lang w:val="en-US" w:eastAsia="en-US" w:bidi="ar-SA"/>
      </w:rPr>
    </w:lvl>
    <w:lvl w:ilvl="3" w:tplc="F12A6FFC">
      <w:numFmt w:val="bullet"/>
      <w:lvlText w:val="•"/>
      <w:lvlJc w:val="left"/>
      <w:pPr>
        <w:ind w:left="3463" w:hanging="850"/>
      </w:pPr>
      <w:rPr>
        <w:lang w:val="en-US" w:eastAsia="en-US" w:bidi="ar-SA"/>
      </w:rPr>
    </w:lvl>
    <w:lvl w:ilvl="4" w:tplc="929CF73C">
      <w:numFmt w:val="bullet"/>
      <w:lvlText w:val="•"/>
      <w:lvlJc w:val="left"/>
      <w:pPr>
        <w:ind w:left="4298" w:hanging="850"/>
      </w:pPr>
      <w:rPr>
        <w:lang w:val="en-US" w:eastAsia="en-US" w:bidi="ar-SA"/>
      </w:rPr>
    </w:lvl>
    <w:lvl w:ilvl="5" w:tplc="58BE084C">
      <w:numFmt w:val="bullet"/>
      <w:lvlText w:val="•"/>
      <w:lvlJc w:val="left"/>
      <w:pPr>
        <w:ind w:left="5133" w:hanging="850"/>
      </w:pPr>
      <w:rPr>
        <w:lang w:val="en-US" w:eastAsia="en-US" w:bidi="ar-SA"/>
      </w:rPr>
    </w:lvl>
    <w:lvl w:ilvl="6" w:tplc="9FD41E70">
      <w:numFmt w:val="bullet"/>
      <w:lvlText w:val="•"/>
      <w:lvlJc w:val="left"/>
      <w:pPr>
        <w:ind w:left="5967" w:hanging="850"/>
      </w:pPr>
      <w:rPr>
        <w:lang w:val="en-US" w:eastAsia="en-US" w:bidi="ar-SA"/>
      </w:rPr>
    </w:lvl>
    <w:lvl w:ilvl="7" w:tplc="13841FC6">
      <w:numFmt w:val="bullet"/>
      <w:lvlText w:val="•"/>
      <w:lvlJc w:val="left"/>
      <w:pPr>
        <w:ind w:left="6802" w:hanging="850"/>
      </w:pPr>
      <w:rPr>
        <w:lang w:val="en-US" w:eastAsia="en-US" w:bidi="ar-SA"/>
      </w:rPr>
    </w:lvl>
    <w:lvl w:ilvl="8" w:tplc="5DB8B8D2">
      <w:numFmt w:val="bullet"/>
      <w:lvlText w:val="•"/>
      <w:lvlJc w:val="left"/>
      <w:pPr>
        <w:ind w:left="7637" w:hanging="850"/>
      </w:pPr>
      <w:rPr>
        <w:lang w:val="en-US" w:eastAsia="en-US" w:bidi="ar-SA"/>
      </w:rPr>
    </w:lvl>
  </w:abstractNum>
  <w:abstractNum w:abstractNumId="14" w15:restartNumberingAfterBreak="0">
    <w:nsid w:val="60B67A4F"/>
    <w:multiLevelType w:val="hybridMultilevel"/>
    <w:tmpl w:val="F996A700"/>
    <w:lvl w:ilvl="0" w:tplc="51023E1A">
      <w:start w:val="1"/>
      <w:numFmt w:val="decimal"/>
      <w:lvlText w:val="(%1)"/>
      <w:lvlJc w:val="left"/>
      <w:pPr>
        <w:ind w:left="824" w:hanging="708"/>
      </w:pPr>
      <w:rPr>
        <w:rFonts w:ascii="Times New Roman" w:eastAsia="Times New Roman" w:hAnsi="Times New Roman" w:cs="Times New Roman" w:hint="default"/>
        <w:b w:val="0"/>
        <w:bCs w:val="0"/>
        <w:i w:val="0"/>
        <w:iCs w:val="0"/>
        <w:spacing w:val="0"/>
        <w:w w:val="100"/>
        <w:sz w:val="24"/>
        <w:szCs w:val="24"/>
        <w:lang w:val="en-US" w:eastAsia="en-US" w:bidi="ar-SA"/>
      </w:rPr>
    </w:lvl>
    <w:lvl w:ilvl="1" w:tplc="DEAE6B3E">
      <w:numFmt w:val="bullet"/>
      <w:lvlText w:val="•"/>
      <w:lvlJc w:val="left"/>
      <w:pPr>
        <w:ind w:left="1668" w:hanging="708"/>
      </w:pPr>
      <w:rPr>
        <w:lang w:val="en-US" w:eastAsia="en-US" w:bidi="ar-SA"/>
      </w:rPr>
    </w:lvl>
    <w:lvl w:ilvl="2" w:tplc="B8BC889C">
      <w:numFmt w:val="bullet"/>
      <w:lvlText w:val="•"/>
      <w:lvlJc w:val="left"/>
      <w:pPr>
        <w:ind w:left="2517" w:hanging="708"/>
      </w:pPr>
      <w:rPr>
        <w:lang w:val="en-US" w:eastAsia="en-US" w:bidi="ar-SA"/>
      </w:rPr>
    </w:lvl>
    <w:lvl w:ilvl="3" w:tplc="570E4EE6">
      <w:numFmt w:val="bullet"/>
      <w:lvlText w:val="•"/>
      <w:lvlJc w:val="left"/>
      <w:pPr>
        <w:ind w:left="3365" w:hanging="708"/>
      </w:pPr>
      <w:rPr>
        <w:lang w:val="en-US" w:eastAsia="en-US" w:bidi="ar-SA"/>
      </w:rPr>
    </w:lvl>
    <w:lvl w:ilvl="4" w:tplc="1E865D1C">
      <w:numFmt w:val="bullet"/>
      <w:lvlText w:val="•"/>
      <w:lvlJc w:val="left"/>
      <w:pPr>
        <w:ind w:left="4214" w:hanging="708"/>
      </w:pPr>
      <w:rPr>
        <w:lang w:val="en-US" w:eastAsia="en-US" w:bidi="ar-SA"/>
      </w:rPr>
    </w:lvl>
    <w:lvl w:ilvl="5" w:tplc="51522416">
      <w:numFmt w:val="bullet"/>
      <w:lvlText w:val="•"/>
      <w:lvlJc w:val="left"/>
      <w:pPr>
        <w:ind w:left="5063" w:hanging="708"/>
      </w:pPr>
      <w:rPr>
        <w:lang w:val="en-US" w:eastAsia="en-US" w:bidi="ar-SA"/>
      </w:rPr>
    </w:lvl>
    <w:lvl w:ilvl="6" w:tplc="C33A231A">
      <w:numFmt w:val="bullet"/>
      <w:lvlText w:val="•"/>
      <w:lvlJc w:val="left"/>
      <w:pPr>
        <w:ind w:left="5911" w:hanging="708"/>
      </w:pPr>
      <w:rPr>
        <w:lang w:val="en-US" w:eastAsia="en-US" w:bidi="ar-SA"/>
      </w:rPr>
    </w:lvl>
    <w:lvl w:ilvl="7" w:tplc="E70EB83A">
      <w:numFmt w:val="bullet"/>
      <w:lvlText w:val="•"/>
      <w:lvlJc w:val="left"/>
      <w:pPr>
        <w:ind w:left="6760" w:hanging="708"/>
      </w:pPr>
      <w:rPr>
        <w:lang w:val="en-US" w:eastAsia="en-US" w:bidi="ar-SA"/>
      </w:rPr>
    </w:lvl>
    <w:lvl w:ilvl="8" w:tplc="FBC2CF38">
      <w:numFmt w:val="bullet"/>
      <w:lvlText w:val="•"/>
      <w:lvlJc w:val="left"/>
      <w:pPr>
        <w:ind w:left="7609" w:hanging="708"/>
      </w:pPr>
      <w:rPr>
        <w:lang w:val="en-US" w:eastAsia="en-US" w:bidi="ar-SA"/>
      </w:rPr>
    </w:lvl>
  </w:abstractNum>
  <w:abstractNum w:abstractNumId="15" w15:restartNumberingAfterBreak="0">
    <w:nsid w:val="66D377C0"/>
    <w:multiLevelType w:val="hybridMultilevel"/>
    <w:tmpl w:val="898671CA"/>
    <w:lvl w:ilvl="0" w:tplc="08284206">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6388F8DC">
      <w:start w:val="1"/>
      <w:numFmt w:val="lowerLetter"/>
      <w:lvlText w:val="(%2)"/>
      <w:lvlJc w:val="left"/>
      <w:pPr>
        <w:ind w:left="1532" w:hanging="567"/>
      </w:pPr>
      <w:rPr>
        <w:rFonts w:ascii="Times New Roman" w:eastAsia="Times New Roman" w:hAnsi="Times New Roman" w:cs="Times New Roman" w:hint="default"/>
        <w:b w:val="0"/>
        <w:bCs w:val="0"/>
        <w:i w:val="0"/>
        <w:iCs w:val="0"/>
        <w:spacing w:val="-1"/>
        <w:w w:val="100"/>
        <w:sz w:val="24"/>
        <w:szCs w:val="24"/>
        <w:lang w:val="en-US" w:eastAsia="en-US" w:bidi="ar-SA"/>
      </w:rPr>
    </w:lvl>
    <w:lvl w:ilvl="2" w:tplc="D24E989A">
      <w:numFmt w:val="bullet"/>
      <w:lvlText w:val="•"/>
      <w:lvlJc w:val="left"/>
      <w:pPr>
        <w:ind w:left="2402" w:hanging="567"/>
      </w:pPr>
      <w:rPr>
        <w:lang w:val="en-US" w:eastAsia="en-US" w:bidi="ar-SA"/>
      </w:rPr>
    </w:lvl>
    <w:lvl w:ilvl="3" w:tplc="E59E6ED2">
      <w:numFmt w:val="bullet"/>
      <w:lvlText w:val="•"/>
      <w:lvlJc w:val="left"/>
      <w:pPr>
        <w:ind w:left="3265" w:hanging="567"/>
      </w:pPr>
      <w:rPr>
        <w:lang w:val="en-US" w:eastAsia="en-US" w:bidi="ar-SA"/>
      </w:rPr>
    </w:lvl>
    <w:lvl w:ilvl="4" w:tplc="E91A13D4">
      <w:numFmt w:val="bullet"/>
      <w:lvlText w:val="•"/>
      <w:lvlJc w:val="left"/>
      <w:pPr>
        <w:ind w:left="4128" w:hanging="567"/>
      </w:pPr>
      <w:rPr>
        <w:lang w:val="en-US" w:eastAsia="en-US" w:bidi="ar-SA"/>
      </w:rPr>
    </w:lvl>
    <w:lvl w:ilvl="5" w:tplc="FDC62B5A">
      <w:numFmt w:val="bullet"/>
      <w:lvlText w:val="•"/>
      <w:lvlJc w:val="left"/>
      <w:pPr>
        <w:ind w:left="4991" w:hanging="567"/>
      </w:pPr>
      <w:rPr>
        <w:lang w:val="en-US" w:eastAsia="en-US" w:bidi="ar-SA"/>
      </w:rPr>
    </w:lvl>
    <w:lvl w:ilvl="6" w:tplc="9892B6B4">
      <w:numFmt w:val="bullet"/>
      <w:lvlText w:val="•"/>
      <w:lvlJc w:val="left"/>
      <w:pPr>
        <w:ind w:left="5854" w:hanging="567"/>
      </w:pPr>
      <w:rPr>
        <w:lang w:val="en-US" w:eastAsia="en-US" w:bidi="ar-SA"/>
      </w:rPr>
    </w:lvl>
    <w:lvl w:ilvl="7" w:tplc="BFEAECD8">
      <w:numFmt w:val="bullet"/>
      <w:lvlText w:val="•"/>
      <w:lvlJc w:val="left"/>
      <w:pPr>
        <w:ind w:left="6717" w:hanging="567"/>
      </w:pPr>
      <w:rPr>
        <w:lang w:val="en-US" w:eastAsia="en-US" w:bidi="ar-SA"/>
      </w:rPr>
    </w:lvl>
    <w:lvl w:ilvl="8" w:tplc="983CB2C2">
      <w:numFmt w:val="bullet"/>
      <w:lvlText w:val="•"/>
      <w:lvlJc w:val="left"/>
      <w:pPr>
        <w:ind w:left="7580" w:hanging="567"/>
      </w:pPr>
      <w:rPr>
        <w:lang w:val="en-US" w:eastAsia="en-US" w:bidi="ar-SA"/>
      </w:rPr>
    </w:lvl>
  </w:abstractNum>
  <w:num w:numId="1" w16cid:durableId="632029847">
    <w:abstractNumId w:val="9"/>
  </w:num>
  <w:num w:numId="2" w16cid:durableId="1658261412">
    <w:abstractNumId w:val="9"/>
  </w:num>
  <w:num w:numId="3" w16cid:durableId="1123766363">
    <w:abstractNumId w:val="7"/>
  </w:num>
  <w:num w:numId="4" w16cid:durableId="1404791780">
    <w:abstractNumId w:val="7"/>
  </w:num>
  <w:num w:numId="5" w16cid:durableId="662975074">
    <w:abstractNumId w:val="6"/>
  </w:num>
  <w:num w:numId="6" w16cid:durableId="1668243846">
    <w:abstractNumId w:val="6"/>
  </w:num>
  <w:num w:numId="7" w16cid:durableId="2065370790">
    <w:abstractNumId w:val="5"/>
  </w:num>
  <w:num w:numId="8" w16cid:durableId="1834640243">
    <w:abstractNumId w:val="5"/>
  </w:num>
  <w:num w:numId="9" w16cid:durableId="42562482">
    <w:abstractNumId w:val="4"/>
  </w:num>
  <w:num w:numId="10" w16cid:durableId="794253141">
    <w:abstractNumId w:val="4"/>
  </w:num>
  <w:num w:numId="11" w16cid:durableId="1457869884">
    <w:abstractNumId w:val="8"/>
  </w:num>
  <w:num w:numId="12" w16cid:durableId="644357143">
    <w:abstractNumId w:val="8"/>
  </w:num>
  <w:num w:numId="13" w16cid:durableId="1808859523">
    <w:abstractNumId w:val="3"/>
  </w:num>
  <w:num w:numId="14" w16cid:durableId="66459179">
    <w:abstractNumId w:val="3"/>
  </w:num>
  <w:num w:numId="15" w16cid:durableId="311301733">
    <w:abstractNumId w:val="2"/>
  </w:num>
  <w:num w:numId="16" w16cid:durableId="1366830364">
    <w:abstractNumId w:val="2"/>
  </w:num>
  <w:num w:numId="17" w16cid:durableId="533883073">
    <w:abstractNumId w:val="1"/>
  </w:num>
  <w:num w:numId="18" w16cid:durableId="1481192156">
    <w:abstractNumId w:val="1"/>
  </w:num>
  <w:num w:numId="19" w16cid:durableId="175341328">
    <w:abstractNumId w:val="0"/>
  </w:num>
  <w:num w:numId="20" w16cid:durableId="122698304">
    <w:abstractNumId w:val="0"/>
  </w:num>
  <w:num w:numId="21" w16cid:durableId="823276740">
    <w:abstractNumId w:val="9"/>
  </w:num>
  <w:num w:numId="22" w16cid:durableId="814492054">
    <w:abstractNumId w:val="7"/>
  </w:num>
  <w:num w:numId="23" w16cid:durableId="650519322">
    <w:abstractNumId w:val="6"/>
  </w:num>
  <w:num w:numId="24" w16cid:durableId="925771137">
    <w:abstractNumId w:val="5"/>
  </w:num>
  <w:num w:numId="25" w16cid:durableId="1878203690">
    <w:abstractNumId w:val="4"/>
  </w:num>
  <w:num w:numId="26" w16cid:durableId="363530325">
    <w:abstractNumId w:val="8"/>
  </w:num>
  <w:num w:numId="27" w16cid:durableId="1721398811">
    <w:abstractNumId w:val="3"/>
  </w:num>
  <w:num w:numId="28" w16cid:durableId="99296804">
    <w:abstractNumId w:val="2"/>
  </w:num>
  <w:num w:numId="29" w16cid:durableId="1936205050">
    <w:abstractNumId w:val="1"/>
  </w:num>
  <w:num w:numId="30" w16cid:durableId="1306810178">
    <w:abstractNumId w:val="0"/>
  </w:num>
  <w:num w:numId="31" w16cid:durableId="703403942">
    <w:abstractNumId w:val="9"/>
  </w:num>
  <w:num w:numId="32" w16cid:durableId="873880942">
    <w:abstractNumId w:val="7"/>
  </w:num>
  <w:num w:numId="33" w16cid:durableId="26686804">
    <w:abstractNumId w:val="6"/>
  </w:num>
  <w:num w:numId="34" w16cid:durableId="1913932209">
    <w:abstractNumId w:val="5"/>
  </w:num>
  <w:num w:numId="35" w16cid:durableId="306865352">
    <w:abstractNumId w:val="4"/>
  </w:num>
  <w:num w:numId="36" w16cid:durableId="1241794345">
    <w:abstractNumId w:val="8"/>
  </w:num>
  <w:num w:numId="37" w16cid:durableId="298926439">
    <w:abstractNumId w:val="3"/>
  </w:num>
  <w:num w:numId="38" w16cid:durableId="187138031">
    <w:abstractNumId w:val="2"/>
  </w:num>
  <w:num w:numId="39" w16cid:durableId="314532208">
    <w:abstractNumId w:val="1"/>
  </w:num>
  <w:num w:numId="40" w16cid:durableId="646014227">
    <w:abstractNumId w:val="0"/>
  </w:num>
  <w:num w:numId="41" w16cid:durableId="382558836">
    <w:abstractNumId w:val="10"/>
  </w:num>
  <w:num w:numId="42" w16cid:durableId="172719571">
    <w:abstractNumId w:val="10"/>
  </w:num>
  <w:num w:numId="43" w16cid:durableId="80101589">
    <w:abstractNumId w:val="10"/>
  </w:num>
  <w:num w:numId="44" w16cid:durableId="1036735623">
    <w:abstractNumId w:val="11"/>
  </w:num>
  <w:num w:numId="45" w16cid:durableId="177623198">
    <w:abstractNumId w:val="15"/>
    <w:lvlOverride w:ilvl="0">
      <w:startOverride w:val="1"/>
    </w:lvlOverride>
    <w:lvlOverride w:ilvl="1">
      <w:startOverride w:val="1"/>
    </w:lvlOverride>
    <w:lvlOverride w:ilvl="2"/>
    <w:lvlOverride w:ilvl="3"/>
    <w:lvlOverride w:ilvl="4"/>
    <w:lvlOverride w:ilvl="5"/>
    <w:lvlOverride w:ilvl="6"/>
    <w:lvlOverride w:ilvl="7"/>
    <w:lvlOverride w:ilvl="8"/>
  </w:num>
  <w:num w:numId="46" w16cid:durableId="822936252">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47" w16cid:durableId="759564492">
    <w:abstractNumId w:val="13"/>
    <w:lvlOverride w:ilvl="0">
      <w:startOverride w:val="1"/>
    </w:lvlOverride>
    <w:lvlOverride w:ilvl="1"/>
    <w:lvlOverride w:ilvl="2"/>
    <w:lvlOverride w:ilvl="3"/>
    <w:lvlOverride w:ilvl="4"/>
    <w:lvlOverride w:ilvl="5"/>
    <w:lvlOverride w:ilvl="6"/>
    <w:lvlOverride w:ilvl="7"/>
    <w:lvlOverride w:ilvl="8"/>
  </w:num>
  <w:num w:numId="48" w16cid:durableId="1725374262">
    <w:abstractNumId w:val="1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2/2026"/>
    <w:docVar w:name="dvlangue" w:val="HU"/>
    <w:docVar w:name="dvnumam" w:val="88"/>
    <w:docVar w:name="dvpe" w:val="779.727"/>
    <w:docVar w:name="dvrapporteur" w:val="Előadó: "/>
    <w:docVar w:name="dvtitre" w:val="Az Európai Parlament 2026.  ...-i jogalkotási állásfoglalása a globális kapacitásfelesleg uniós acélpiacra gyakorolt negatív kereskedelmi hatásainak kezeléséről szóló európai parlamenti és tanácsi rendeletre irányuló javaslatról(COM(2025)0726 – C10-0245/2025 – 2025/0726(COD))"/>
  </w:docVars>
  <w:rsids>
    <w:rsidRoot w:val="003E0805"/>
    <w:rsid w:val="00002272"/>
    <w:rsid w:val="00005CC4"/>
    <w:rsid w:val="00014D5C"/>
    <w:rsid w:val="00064002"/>
    <w:rsid w:val="000677B9"/>
    <w:rsid w:val="000831BA"/>
    <w:rsid w:val="000A42CC"/>
    <w:rsid w:val="000C21AD"/>
    <w:rsid w:val="000D2D08"/>
    <w:rsid w:val="000D471D"/>
    <w:rsid w:val="000E7DD9"/>
    <w:rsid w:val="0010095E"/>
    <w:rsid w:val="00125B37"/>
    <w:rsid w:val="001324D4"/>
    <w:rsid w:val="00187494"/>
    <w:rsid w:val="001C25EA"/>
    <w:rsid w:val="001F32AE"/>
    <w:rsid w:val="00210990"/>
    <w:rsid w:val="00246BED"/>
    <w:rsid w:val="00250DE8"/>
    <w:rsid w:val="002767FF"/>
    <w:rsid w:val="002B18FE"/>
    <w:rsid w:val="002B5493"/>
    <w:rsid w:val="00343214"/>
    <w:rsid w:val="00361C00"/>
    <w:rsid w:val="00367B62"/>
    <w:rsid w:val="00395FA1"/>
    <w:rsid w:val="003E0805"/>
    <w:rsid w:val="003E15D4"/>
    <w:rsid w:val="00411CCE"/>
    <w:rsid w:val="0041666E"/>
    <w:rsid w:val="00421060"/>
    <w:rsid w:val="00471C19"/>
    <w:rsid w:val="004867E3"/>
    <w:rsid w:val="00494A28"/>
    <w:rsid w:val="004C0004"/>
    <w:rsid w:val="004C5D52"/>
    <w:rsid w:val="0050519A"/>
    <w:rsid w:val="005072A1"/>
    <w:rsid w:val="00514517"/>
    <w:rsid w:val="00533441"/>
    <w:rsid w:val="00545827"/>
    <w:rsid w:val="00560270"/>
    <w:rsid w:val="00582B75"/>
    <w:rsid w:val="005C2568"/>
    <w:rsid w:val="005C4FE0"/>
    <w:rsid w:val="005F1B17"/>
    <w:rsid w:val="006037C0"/>
    <w:rsid w:val="006631B6"/>
    <w:rsid w:val="00680577"/>
    <w:rsid w:val="006A5C9A"/>
    <w:rsid w:val="006B6C85"/>
    <w:rsid w:val="006F74FA"/>
    <w:rsid w:val="00731ADD"/>
    <w:rsid w:val="00734777"/>
    <w:rsid w:val="00737929"/>
    <w:rsid w:val="00747932"/>
    <w:rsid w:val="00751A4A"/>
    <w:rsid w:val="00756632"/>
    <w:rsid w:val="00762C74"/>
    <w:rsid w:val="00786EC0"/>
    <w:rsid w:val="007C3058"/>
    <w:rsid w:val="007D1690"/>
    <w:rsid w:val="007E22AD"/>
    <w:rsid w:val="00817416"/>
    <w:rsid w:val="00842779"/>
    <w:rsid w:val="00865F67"/>
    <w:rsid w:val="00881A7B"/>
    <w:rsid w:val="008840E5"/>
    <w:rsid w:val="00887B3E"/>
    <w:rsid w:val="008C2AC6"/>
    <w:rsid w:val="008E4884"/>
    <w:rsid w:val="0092103A"/>
    <w:rsid w:val="00930C23"/>
    <w:rsid w:val="0093193B"/>
    <w:rsid w:val="009509D8"/>
    <w:rsid w:val="00950B64"/>
    <w:rsid w:val="00966FFD"/>
    <w:rsid w:val="00981893"/>
    <w:rsid w:val="009B52D4"/>
    <w:rsid w:val="00A1687D"/>
    <w:rsid w:val="00A43E52"/>
    <w:rsid w:val="00A4678D"/>
    <w:rsid w:val="00A778C7"/>
    <w:rsid w:val="00AA2864"/>
    <w:rsid w:val="00AB441E"/>
    <w:rsid w:val="00AB6293"/>
    <w:rsid w:val="00AE0928"/>
    <w:rsid w:val="00AF3B82"/>
    <w:rsid w:val="00B12E95"/>
    <w:rsid w:val="00B22876"/>
    <w:rsid w:val="00B558F0"/>
    <w:rsid w:val="00BD48FE"/>
    <w:rsid w:val="00BD7BD8"/>
    <w:rsid w:val="00BE6ADC"/>
    <w:rsid w:val="00C05BFE"/>
    <w:rsid w:val="00C23CD4"/>
    <w:rsid w:val="00C61C0C"/>
    <w:rsid w:val="00C64A2B"/>
    <w:rsid w:val="00C92DA7"/>
    <w:rsid w:val="00C941CB"/>
    <w:rsid w:val="00CC2357"/>
    <w:rsid w:val="00CC3097"/>
    <w:rsid w:val="00CF071A"/>
    <w:rsid w:val="00CF12F8"/>
    <w:rsid w:val="00D058B8"/>
    <w:rsid w:val="00D406DF"/>
    <w:rsid w:val="00D56C11"/>
    <w:rsid w:val="00D834A0"/>
    <w:rsid w:val="00D872DF"/>
    <w:rsid w:val="00D87D4F"/>
    <w:rsid w:val="00D91E21"/>
    <w:rsid w:val="00DA7FCD"/>
    <w:rsid w:val="00DD6B22"/>
    <w:rsid w:val="00E13929"/>
    <w:rsid w:val="00E365E1"/>
    <w:rsid w:val="00E820A4"/>
    <w:rsid w:val="00E86668"/>
    <w:rsid w:val="00E96A6B"/>
    <w:rsid w:val="00EB006A"/>
    <w:rsid w:val="00EB4772"/>
    <w:rsid w:val="00ED169E"/>
    <w:rsid w:val="00ED4235"/>
    <w:rsid w:val="00F04346"/>
    <w:rsid w:val="00F075DC"/>
    <w:rsid w:val="00F149E9"/>
    <w:rsid w:val="00F5134D"/>
    <w:rsid w:val="00F74202"/>
    <w:rsid w:val="00F87713"/>
    <w:rsid w:val="00FB4360"/>
    <w:rsid w:val="00FC5421"/>
    <w:rsid w:val="00FD0C70"/>
    <w:rsid w:val="00FD6883"/>
    <w:rsid w:val="00FE3715"/>
    <w:rsid w:val="00FF3A5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8E59A7"/>
  <w15:chartTrackingRefBased/>
  <w15:docId w15:val="{31574555-63D9-4B43-827F-036201209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Body Text" w:uiPriority="1" w:qFormat="1"/>
    <w:lsdException w:name="Subtitle" w:qFormat="1"/>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66FFD"/>
    <w:rPr>
      <w:b/>
      <w:kern w:val="28"/>
      <w:sz w:val="28"/>
      <w:lang w:val="fr-FR" w:eastAsia="fr-FR"/>
    </w:rPr>
  </w:style>
  <w:style w:type="character" w:customStyle="1" w:styleId="Heading2Char">
    <w:name w:val="Heading 2 Char"/>
    <w:basedOn w:val="DefaultParagraphFont"/>
    <w:link w:val="Heading2"/>
    <w:semiHidden/>
    <w:rsid w:val="00966FFD"/>
    <w:rPr>
      <w:sz w:val="24"/>
      <w:lang w:val="fr-FR" w:eastAsia="fr-FR"/>
    </w:rPr>
  </w:style>
  <w:style w:type="character" w:customStyle="1" w:styleId="Heading3Char">
    <w:name w:val="Heading 3 Char"/>
    <w:basedOn w:val="DefaultParagraphFont"/>
    <w:link w:val="Heading3"/>
    <w:semiHidden/>
    <w:rsid w:val="00966FFD"/>
    <w:rPr>
      <w:rFonts w:ascii="Arial" w:hAnsi="Arial"/>
      <w:sz w:val="24"/>
      <w:lang w:val="fr-FR" w:eastAsia="fr-FR"/>
    </w:rPr>
  </w:style>
  <w:style w:type="character" w:customStyle="1" w:styleId="Heading4Char">
    <w:name w:val="Heading 4 Char"/>
    <w:basedOn w:val="DefaultParagraphFont"/>
    <w:link w:val="Heading4"/>
    <w:semiHidden/>
    <w:rsid w:val="00966FFD"/>
    <w:rPr>
      <w:sz w:val="24"/>
      <w:lang w:val="en-US" w:eastAsia="fr-FR"/>
    </w:rPr>
  </w:style>
  <w:style w:type="character" w:customStyle="1" w:styleId="Heading5Char">
    <w:name w:val="Heading 5 Char"/>
    <w:basedOn w:val="DefaultParagraphFont"/>
    <w:link w:val="Heading5"/>
    <w:semiHidden/>
    <w:rsid w:val="00966FFD"/>
    <w:rPr>
      <w:sz w:val="24"/>
      <w:lang w:val="en-US" w:eastAsia="fr-FR"/>
    </w:rPr>
  </w:style>
  <w:style w:type="character" w:customStyle="1" w:styleId="Heading6Char">
    <w:name w:val="Heading 6 Char"/>
    <w:basedOn w:val="DefaultParagraphFont"/>
    <w:link w:val="Heading6"/>
    <w:semiHidden/>
    <w:rsid w:val="00966FFD"/>
    <w:rPr>
      <w:i/>
      <w:sz w:val="22"/>
      <w:lang w:val="hu-HU"/>
    </w:rPr>
  </w:style>
  <w:style w:type="character" w:customStyle="1" w:styleId="Heading7Char">
    <w:name w:val="Heading 7 Char"/>
    <w:basedOn w:val="DefaultParagraphFont"/>
    <w:link w:val="Heading7"/>
    <w:semiHidden/>
    <w:rsid w:val="00966FFD"/>
    <w:rPr>
      <w:rFonts w:ascii="Arial" w:hAnsi="Arial"/>
      <w:sz w:val="24"/>
      <w:lang w:val="hu-HU"/>
    </w:rPr>
  </w:style>
  <w:style w:type="character" w:customStyle="1" w:styleId="Heading8Char">
    <w:name w:val="Heading 8 Char"/>
    <w:basedOn w:val="DefaultParagraphFont"/>
    <w:link w:val="Heading8"/>
    <w:semiHidden/>
    <w:rsid w:val="00966FFD"/>
    <w:rPr>
      <w:rFonts w:ascii="Arial" w:hAnsi="Arial"/>
      <w:i/>
      <w:sz w:val="24"/>
      <w:lang w:val="hu-HU"/>
    </w:rPr>
  </w:style>
  <w:style w:type="character" w:customStyle="1" w:styleId="Heading9Char">
    <w:name w:val="Heading 9 Char"/>
    <w:basedOn w:val="DefaultParagraphFont"/>
    <w:link w:val="Heading9"/>
    <w:semiHidden/>
    <w:rsid w:val="00966FFD"/>
    <w:rPr>
      <w:rFonts w:ascii="Arial" w:hAnsi="Arial"/>
      <w:b/>
      <w:i/>
      <w:sz w:val="18"/>
      <w:lang w:val="hu-HU"/>
    </w:rPr>
  </w:style>
  <w:style w:type="paragraph" w:styleId="TOCHeading">
    <w:name w:val="TOC Heading"/>
    <w:basedOn w:val="Normal"/>
    <w:next w:val="Normal"/>
    <w:unhideWhenUsed/>
    <w:qFormat/>
    <w:rsid w:val="00966FFD"/>
    <w:pPr>
      <w:widowControl/>
      <w:spacing w:after="240"/>
    </w:pPr>
    <w:rPr>
      <w:lang w:val="en-GB"/>
    </w:rPr>
  </w:style>
  <w:style w:type="paragraph" w:customStyle="1" w:styleId="EPFooter2">
    <w:name w:val="EPFooter2"/>
    <w:basedOn w:val="Normal"/>
    <w:next w:val="Normal"/>
    <w:rsid w:val="00966FF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66FFD"/>
    <w:pPr>
      <w:keepNext/>
      <w:spacing w:after="240"/>
      <w:jc w:val="right"/>
    </w:pPr>
    <w:rPr>
      <w:rFonts w:ascii="Arial" w:hAnsi="Arial"/>
      <w:b/>
    </w:rPr>
  </w:style>
  <w:style w:type="paragraph" w:customStyle="1" w:styleId="Normal6a">
    <w:name w:val="Normal6a"/>
    <w:basedOn w:val="Normal"/>
    <w:rsid w:val="00966FFD"/>
    <w:pPr>
      <w:spacing w:after="120"/>
    </w:pPr>
  </w:style>
  <w:style w:type="paragraph" w:customStyle="1" w:styleId="PageHeading">
    <w:name w:val="PageHeading"/>
    <w:basedOn w:val="Normal"/>
    <w:qFormat/>
    <w:rsid w:val="00966FFD"/>
    <w:pPr>
      <w:keepNext/>
      <w:spacing w:after="480"/>
      <w:jc w:val="center"/>
    </w:pPr>
    <w:rPr>
      <w:rFonts w:ascii="Arial" w:hAnsi="Arial" w:cs="Arial"/>
      <w:b/>
    </w:rPr>
  </w:style>
  <w:style w:type="paragraph" w:customStyle="1" w:styleId="NormalBold">
    <w:name w:val="NormalBold"/>
    <w:basedOn w:val="Normal"/>
    <w:link w:val="NormalBoldChar"/>
    <w:rsid w:val="00966FFD"/>
    <w:rPr>
      <w:b/>
    </w:rPr>
  </w:style>
  <w:style w:type="paragraph" w:customStyle="1" w:styleId="NormalBold12a">
    <w:name w:val="NormalBold12a"/>
    <w:basedOn w:val="Normal"/>
    <w:rsid w:val="00966FFD"/>
    <w:pPr>
      <w:spacing w:after="240"/>
    </w:pPr>
    <w:rPr>
      <w:b/>
    </w:rPr>
  </w:style>
  <w:style w:type="paragraph" w:customStyle="1" w:styleId="AmJustText">
    <w:name w:val="AmJustText"/>
    <w:basedOn w:val="Normal"/>
    <w:rsid w:val="00966FFD"/>
    <w:pPr>
      <w:spacing w:after="240"/>
    </w:pPr>
    <w:rPr>
      <w:i/>
    </w:rPr>
  </w:style>
  <w:style w:type="paragraph" w:customStyle="1" w:styleId="NormalHanging12a">
    <w:name w:val="NormalHanging12a"/>
    <w:basedOn w:val="Normal"/>
    <w:rsid w:val="00966FFD"/>
    <w:pPr>
      <w:spacing w:after="240"/>
      <w:ind w:left="567" w:hanging="567"/>
    </w:pPr>
  </w:style>
  <w:style w:type="paragraph" w:customStyle="1" w:styleId="CoverNormal24a">
    <w:name w:val="CoverNormal24a"/>
    <w:basedOn w:val="Normal"/>
    <w:rsid w:val="00966FFD"/>
    <w:pPr>
      <w:spacing w:after="480"/>
      <w:ind w:left="1417"/>
    </w:pPr>
  </w:style>
  <w:style w:type="paragraph" w:customStyle="1" w:styleId="CoverNormal">
    <w:name w:val="CoverNormal"/>
    <w:basedOn w:val="Normal"/>
    <w:rsid w:val="00966FFD"/>
    <w:pPr>
      <w:ind w:left="1418"/>
    </w:pPr>
  </w:style>
  <w:style w:type="paragraph" w:customStyle="1" w:styleId="AmCrossRef">
    <w:name w:val="AmCrossRef"/>
    <w:basedOn w:val="Normal"/>
    <w:rsid w:val="00966FFD"/>
    <w:pPr>
      <w:spacing w:before="240" w:after="240"/>
      <w:jc w:val="center"/>
    </w:pPr>
    <w:rPr>
      <w:i/>
    </w:rPr>
  </w:style>
  <w:style w:type="paragraph" w:customStyle="1" w:styleId="AmJustTitle">
    <w:name w:val="AmJustTitle"/>
    <w:basedOn w:val="Normal"/>
    <w:next w:val="AmJustText"/>
    <w:rsid w:val="00966FFD"/>
    <w:pPr>
      <w:keepNext/>
      <w:spacing w:before="240" w:after="240"/>
      <w:jc w:val="center"/>
    </w:pPr>
    <w:rPr>
      <w:i/>
    </w:rPr>
  </w:style>
  <w:style w:type="paragraph" w:customStyle="1" w:styleId="CoverReference">
    <w:name w:val="CoverReference"/>
    <w:basedOn w:val="Normal"/>
    <w:rsid w:val="00966FFD"/>
    <w:pPr>
      <w:spacing w:before="1080"/>
      <w:jc w:val="right"/>
    </w:pPr>
    <w:rPr>
      <w:rFonts w:ascii="Arial" w:hAnsi="Arial" w:cs="Arial"/>
      <w:b/>
    </w:rPr>
  </w:style>
  <w:style w:type="paragraph" w:customStyle="1" w:styleId="CoverDocType">
    <w:name w:val="CoverDocType"/>
    <w:basedOn w:val="Normal"/>
    <w:rsid w:val="00966FFD"/>
    <w:pPr>
      <w:ind w:left="1418"/>
    </w:pPr>
    <w:rPr>
      <w:rFonts w:ascii="Arial" w:hAnsi="Arial"/>
      <w:b/>
      <w:sz w:val="48"/>
    </w:rPr>
  </w:style>
  <w:style w:type="paragraph" w:customStyle="1" w:styleId="CoverDocType24a">
    <w:name w:val="CoverDocType24a"/>
    <w:basedOn w:val="Normal"/>
    <w:rsid w:val="00966FFD"/>
    <w:pPr>
      <w:spacing w:after="480"/>
      <w:ind w:left="1418"/>
    </w:pPr>
    <w:rPr>
      <w:rFonts w:ascii="Arial" w:hAnsi="Arial"/>
      <w:b/>
      <w:sz w:val="48"/>
    </w:rPr>
  </w:style>
  <w:style w:type="paragraph" w:customStyle="1" w:styleId="CoverDate">
    <w:name w:val="CoverDate"/>
    <w:basedOn w:val="Normal"/>
    <w:rsid w:val="00966FFD"/>
    <w:pPr>
      <w:spacing w:before="240" w:after="1200"/>
    </w:pPr>
  </w:style>
  <w:style w:type="paragraph" w:styleId="Header">
    <w:name w:val="header"/>
    <w:basedOn w:val="Normal"/>
    <w:link w:val="HeaderChar"/>
    <w:rsid w:val="00966FFD"/>
    <w:pPr>
      <w:tabs>
        <w:tab w:val="center" w:pos="4513"/>
        <w:tab w:val="right" w:pos="9026"/>
      </w:tabs>
    </w:pPr>
  </w:style>
  <w:style w:type="character" w:customStyle="1" w:styleId="HeaderChar">
    <w:name w:val="Header Char"/>
    <w:basedOn w:val="DefaultParagraphFont"/>
    <w:link w:val="Header"/>
    <w:rsid w:val="00966FFD"/>
    <w:rPr>
      <w:sz w:val="24"/>
      <w:lang w:val="hu-HU"/>
    </w:rPr>
  </w:style>
  <w:style w:type="paragraph" w:customStyle="1" w:styleId="AmOrLang">
    <w:name w:val="AmOrLang"/>
    <w:basedOn w:val="Normal"/>
    <w:rsid w:val="00966FFD"/>
    <w:pPr>
      <w:spacing w:before="240" w:after="240"/>
      <w:jc w:val="right"/>
    </w:pPr>
  </w:style>
  <w:style w:type="paragraph" w:customStyle="1" w:styleId="AmColumnHeading">
    <w:name w:val="AmColumnHeading"/>
    <w:basedOn w:val="Normal"/>
    <w:rsid w:val="00966FFD"/>
    <w:pPr>
      <w:spacing w:after="240"/>
      <w:jc w:val="center"/>
    </w:pPr>
    <w:rPr>
      <w:i/>
    </w:rPr>
  </w:style>
  <w:style w:type="paragraph" w:customStyle="1" w:styleId="AmNumberTabs">
    <w:name w:val="AmNumberTabs"/>
    <w:basedOn w:val="Normal"/>
    <w:rsid w:val="00966FF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66FFD"/>
    <w:pPr>
      <w:spacing w:before="240"/>
    </w:pPr>
    <w:rPr>
      <w:b/>
    </w:rPr>
  </w:style>
  <w:style w:type="paragraph" w:customStyle="1" w:styleId="EPBody">
    <w:name w:val="EPBody"/>
    <w:basedOn w:val="Normal"/>
    <w:rsid w:val="00966FFD"/>
    <w:pPr>
      <w:jc w:val="center"/>
    </w:pPr>
    <w:rPr>
      <w:rFonts w:ascii="Arial" w:hAnsi="Arial" w:cs="Arial"/>
      <w:i/>
      <w:sz w:val="22"/>
      <w:szCs w:val="22"/>
    </w:rPr>
  </w:style>
  <w:style w:type="paragraph" w:customStyle="1" w:styleId="EPFooter">
    <w:name w:val="EPFooter"/>
    <w:basedOn w:val="Normal"/>
    <w:rsid w:val="00966FFD"/>
    <w:pPr>
      <w:tabs>
        <w:tab w:val="center" w:pos="4535"/>
        <w:tab w:val="right" w:pos="9071"/>
      </w:tabs>
      <w:spacing w:before="240" w:after="240"/>
    </w:pPr>
    <w:rPr>
      <w:color w:val="010000"/>
      <w:sz w:val="22"/>
    </w:rPr>
  </w:style>
  <w:style w:type="paragraph" w:customStyle="1" w:styleId="EPComma">
    <w:name w:val="EPComma"/>
    <w:basedOn w:val="Normal"/>
    <w:rsid w:val="00966FFD"/>
    <w:pPr>
      <w:spacing w:before="480" w:after="240"/>
    </w:pPr>
  </w:style>
  <w:style w:type="paragraph" w:customStyle="1" w:styleId="Lgendesigne">
    <w:name w:val="Légende signe"/>
    <w:basedOn w:val="Normal"/>
    <w:rsid w:val="00966FFD"/>
    <w:pPr>
      <w:tabs>
        <w:tab w:val="right" w:pos="454"/>
        <w:tab w:val="left" w:pos="737"/>
      </w:tabs>
      <w:ind w:left="737" w:hanging="737"/>
    </w:pPr>
    <w:rPr>
      <w:snapToGrid w:val="0"/>
      <w:sz w:val="18"/>
      <w:lang w:eastAsia="en-US"/>
    </w:rPr>
  </w:style>
  <w:style w:type="paragraph" w:customStyle="1" w:styleId="Lgendetitre">
    <w:name w:val="Légende titre"/>
    <w:basedOn w:val="Normal"/>
    <w:rsid w:val="00966FFD"/>
    <w:pPr>
      <w:spacing w:before="240" w:after="240"/>
    </w:pPr>
    <w:rPr>
      <w:b/>
      <w:i/>
      <w:snapToGrid w:val="0"/>
      <w:lang w:eastAsia="en-US"/>
    </w:rPr>
  </w:style>
  <w:style w:type="paragraph" w:customStyle="1" w:styleId="Lgendestandard">
    <w:name w:val="Légende standard"/>
    <w:basedOn w:val="Normal"/>
    <w:rsid w:val="00966FFD"/>
    <w:rPr>
      <w:sz w:val="18"/>
    </w:rPr>
  </w:style>
  <w:style w:type="paragraph" w:customStyle="1" w:styleId="Default">
    <w:name w:val="Default"/>
    <w:rsid w:val="00966FFD"/>
    <w:pPr>
      <w:autoSpaceDE w:val="0"/>
      <w:autoSpaceDN w:val="0"/>
      <w:adjustRightInd w:val="0"/>
    </w:pPr>
    <w:rPr>
      <w:color w:val="000000"/>
      <w:sz w:val="24"/>
      <w:szCs w:val="24"/>
      <w:lang w:val="hu-HU"/>
    </w:rPr>
  </w:style>
  <w:style w:type="character" w:customStyle="1" w:styleId="Normal6Char">
    <w:name w:val="Normal6 Char"/>
    <w:basedOn w:val="DefaultParagraphFont"/>
    <w:link w:val="Normal6"/>
    <w:locked/>
    <w:rsid w:val="00966FFD"/>
    <w:rPr>
      <w:b/>
      <w:bCs/>
      <w:i/>
      <w:iCs/>
      <w:sz w:val="24"/>
      <w:lang w:val="hu-HU"/>
    </w:rPr>
  </w:style>
  <w:style w:type="paragraph" w:customStyle="1" w:styleId="Normal6">
    <w:name w:val="Normal6"/>
    <w:basedOn w:val="Normal"/>
    <w:link w:val="Normal6Char"/>
    <w:rsid w:val="00966FFD"/>
    <w:pPr>
      <w:spacing w:after="120"/>
    </w:pPr>
    <w:rPr>
      <w:b/>
      <w:bCs/>
      <w:i/>
      <w:iCs/>
    </w:rPr>
  </w:style>
  <w:style w:type="character" w:customStyle="1" w:styleId="NormalBoldChar">
    <w:name w:val="NormalBold Char"/>
    <w:basedOn w:val="DefaultParagraphFont"/>
    <w:link w:val="NormalBold"/>
    <w:locked/>
    <w:rsid w:val="00966FFD"/>
    <w:rPr>
      <w:b/>
      <w:sz w:val="24"/>
      <w:lang w:val="hu-HU"/>
    </w:rPr>
  </w:style>
  <w:style w:type="paragraph" w:customStyle="1" w:styleId="ColumnHeading">
    <w:name w:val="ColumnHeading"/>
    <w:basedOn w:val="Normal"/>
    <w:rsid w:val="00966FFD"/>
    <w:pPr>
      <w:spacing w:after="240"/>
      <w:jc w:val="center"/>
    </w:pPr>
    <w:rPr>
      <w:i/>
    </w:rPr>
  </w:style>
  <w:style w:type="paragraph" w:customStyle="1" w:styleId="AMNumberTabs0">
    <w:name w:val="AMNumberTabs"/>
    <w:basedOn w:val="Normal"/>
    <w:rsid w:val="00966FF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66FFD"/>
    <w:pPr>
      <w:jc w:val="right"/>
    </w:pPr>
    <w:rPr>
      <w:lang w:val="hu-HU"/>
    </w:rPr>
  </w:style>
  <w:style w:type="character" w:styleId="Hyperlink">
    <w:name w:val="Hyperlink"/>
    <w:basedOn w:val="DefaultParagraphFont"/>
    <w:unhideWhenUsed/>
    <w:rsid w:val="00966FFD"/>
    <w:rPr>
      <w:color w:val="467886"/>
      <w:u w:val="single"/>
    </w:rPr>
  </w:style>
  <w:style w:type="paragraph" w:styleId="Revision">
    <w:name w:val="Revision"/>
    <w:hidden/>
    <w:uiPriority w:val="99"/>
    <w:semiHidden/>
    <w:rsid w:val="00966FFD"/>
    <w:rPr>
      <w:sz w:val="24"/>
      <w:lang w:val="hu-HU"/>
    </w:rPr>
  </w:style>
  <w:style w:type="character" w:styleId="CommentReference">
    <w:name w:val="annotation reference"/>
    <w:basedOn w:val="DefaultParagraphFont"/>
    <w:rsid w:val="00966FFD"/>
    <w:rPr>
      <w:sz w:val="16"/>
      <w:szCs w:val="16"/>
    </w:rPr>
  </w:style>
  <w:style w:type="paragraph" w:styleId="CommentText">
    <w:name w:val="annotation text"/>
    <w:basedOn w:val="Normal"/>
    <w:link w:val="CommentTextChar"/>
    <w:rsid w:val="00966FFD"/>
    <w:rPr>
      <w:sz w:val="20"/>
    </w:rPr>
  </w:style>
  <w:style w:type="character" w:customStyle="1" w:styleId="CommentTextChar">
    <w:name w:val="Comment Text Char"/>
    <w:basedOn w:val="DefaultParagraphFont"/>
    <w:link w:val="CommentText"/>
    <w:rsid w:val="00966FFD"/>
    <w:rPr>
      <w:lang w:val="hu-HU"/>
    </w:rPr>
  </w:style>
  <w:style w:type="paragraph" w:styleId="CommentSubject">
    <w:name w:val="annotation subject"/>
    <w:basedOn w:val="CommentText"/>
    <w:next w:val="CommentText"/>
    <w:link w:val="CommentSubjectChar"/>
    <w:unhideWhenUsed/>
    <w:rsid w:val="00966FFD"/>
    <w:rPr>
      <w:b/>
      <w:bCs/>
    </w:rPr>
  </w:style>
  <w:style w:type="character" w:customStyle="1" w:styleId="CommentSubjectChar">
    <w:name w:val="Comment Subject Char"/>
    <w:basedOn w:val="CommentTextChar"/>
    <w:link w:val="CommentSubject"/>
    <w:rsid w:val="00966FFD"/>
    <w:rPr>
      <w:b/>
      <w:bCs/>
      <w:lang w:val="hu-HU"/>
    </w:rPr>
  </w:style>
  <w:style w:type="character" w:styleId="UnresolvedMention">
    <w:name w:val="Unresolved Mention"/>
    <w:basedOn w:val="DefaultParagraphFont"/>
    <w:uiPriority w:val="99"/>
    <w:semiHidden/>
    <w:unhideWhenUsed/>
    <w:rsid w:val="00966FFD"/>
    <w:rPr>
      <w:color w:val="605E5C"/>
      <w:shd w:val="clear" w:color="auto" w:fill="E1DFDD"/>
    </w:rPr>
  </w:style>
  <w:style w:type="character" w:styleId="Emphasis">
    <w:name w:val="Emphasis"/>
    <w:basedOn w:val="DefaultParagraphFont"/>
    <w:uiPriority w:val="20"/>
    <w:qFormat/>
    <w:rsid w:val="00966FFD"/>
    <w:rPr>
      <w:i/>
      <w:iCs/>
    </w:rPr>
  </w:style>
  <w:style w:type="paragraph" w:styleId="ListParagraph">
    <w:name w:val="List Paragraph"/>
    <w:basedOn w:val="Normal"/>
    <w:uiPriority w:val="1"/>
    <w:qFormat/>
    <w:rsid w:val="00966FFD"/>
    <w:pPr>
      <w:ind w:left="720"/>
      <w:contextualSpacing/>
    </w:pPr>
  </w:style>
  <w:style w:type="paragraph" w:styleId="BodyText">
    <w:name w:val="Body Text"/>
    <w:basedOn w:val="Normal"/>
    <w:link w:val="BodyTextChar"/>
    <w:uiPriority w:val="1"/>
    <w:unhideWhenUsed/>
    <w:qFormat/>
    <w:rsid w:val="00966FFD"/>
    <w:pPr>
      <w:autoSpaceDE w:val="0"/>
      <w:autoSpaceDN w:val="0"/>
      <w:spacing w:before="120"/>
    </w:pPr>
    <w:rPr>
      <w:szCs w:val="24"/>
      <w:lang w:eastAsia="en-US"/>
    </w:rPr>
  </w:style>
  <w:style w:type="character" w:customStyle="1" w:styleId="BodyTextChar">
    <w:name w:val="Body Text Char"/>
    <w:basedOn w:val="DefaultParagraphFont"/>
    <w:link w:val="BodyText"/>
    <w:uiPriority w:val="1"/>
    <w:rsid w:val="00966FFD"/>
    <w:rPr>
      <w:sz w:val="24"/>
      <w:szCs w:val="24"/>
      <w:lang w:val="hu-HU" w:eastAsia="en-US"/>
    </w:rPr>
  </w:style>
  <w:style w:type="paragraph" w:customStyle="1" w:styleId="Normal12a">
    <w:name w:val="Normal12a"/>
    <w:basedOn w:val="Normal"/>
    <w:rsid w:val="00966FFD"/>
    <w:pPr>
      <w:spacing w:after="240"/>
    </w:pPr>
  </w:style>
  <w:style w:type="paragraph" w:customStyle="1" w:styleId="PageHeadingNotTOC">
    <w:name w:val="PageHeadingNotTOC"/>
    <w:basedOn w:val="Normal"/>
    <w:rsid w:val="00966FFD"/>
    <w:pPr>
      <w:keepNext/>
      <w:spacing w:after="480"/>
      <w:jc w:val="center"/>
    </w:pPr>
    <w:rPr>
      <w:rFonts w:ascii="Arial" w:hAnsi="Arial" w:cs="Arial"/>
      <w:b/>
    </w:rPr>
  </w:style>
  <w:style w:type="paragraph" w:customStyle="1" w:styleId="AmHeadingPA">
    <w:name w:val="AmHeadingPA"/>
    <w:basedOn w:val="Normal"/>
    <w:next w:val="Normal"/>
    <w:rsid w:val="00966FFD"/>
    <w:pPr>
      <w:spacing w:before="480" w:after="240"/>
      <w:jc w:val="center"/>
    </w:pPr>
    <w:rPr>
      <w:rFonts w:ascii="Arial" w:hAnsi="Arial"/>
      <w:b/>
      <w:caps/>
      <w:snapToGrid w:val="0"/>
      <w:szCs w:val="24"/>
      <w:lang w:eastAsia="en-US"/>
    </w:rPr>
  </w:style>
  <w:style w:type="paragraph" w:customStyle="1" w:styleId="Normal24a">
    <w:name w:val="Normal24a"/>
    <w:basedOn w:val="Normal"/>
    <w:rsid w:val="00966FFD"/>
    <w:pPr>
      <w:spacing w:after="480"/>
    </w:pPr>
    <w:rPr>
      <w:szCs w:val="24"/>
    </w:rPr>
  </w:style>
  <w:style w:type="paragraph" w:customStyle="1" w:styleId="NormalBoldCenter">
    <w:name w:val="NormalBoldCenter"/>
    <w:basedOn w:val="Normal"/>
    <w:rsid w:val="00966FFD"/>
    <w:pPr>
      <w:jc w:val="center"/>
    </w:pPr>
    <w:rPr>
      <w:b/>
      <w:szCs w:val="24"/>
    </w:rPr>
  </w:style>
  <w:style w:type="paragraph" w:customStyle="1" w:styleId="Footprint12b">
    <w:name w:val="Footprint12b"/>
    <w:basedOn w:val="Normal"/>
    <w:rsid w:val="00966FFD"/>
    <w:pPr>
      <w:spacing w:before="240"/>
    </w:pPr>
    <w:rPr>
      <w:szCs w:val="24"/>
    </w:rPr>
  </w:style>
  <w:style w:type="paragraph" w:customStyle="1" w:styleId="NormalSingle">
    <w:name w:val="NormalSingle"/>
    <w:basedOn w:val="Normal"/>
    <w:qFormat/>
    <w:rsid w:val="00966FFD"/>
    <w:rPr>
      <w:szCs w:val="24"/>
    </w:rPr>
  </w:style>
  <w:style w:type="paragraph" w:customStyle="1" w:styleId="RollCallSymbols14pt">
    <w:name w:val="RollCallSymbols14pt"/>
    <w:basedOn w:val="Normal"/>
    <w:rsid w:val="00966FF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66FFD"/>
    <w:pPr>
      <w:tabs>
        <w:tab w:val="center" w:pos="284"/>
        <w:tab w:val="left" w:pos="426"/>
      </w:tabs>
    </w:pPr>
    <w:rPr>
      <w:snapToGrid w:val="0"/>
      <w:lang w:eastAsia="en-US"/>
    </w:rPr>
  </w:style>
  <w:style w:type="paragraph" w:customStyle="1" w:styleId="RollCallVotes">
    <w:name w:val="RollCallVotes"/>
    <w:basedOn w:val="Normal"/>
    <w:rsid w:val="00966FFD"/>
    <w:pPr>
      <w:spacing w:before="120" w:after="120"/>
      <w:jc w:val="center"/>
    </w:pPr>
    <w:rPr>
      <w:b/>
      <w:bCs/>
      <w:snapToGrid w:val="0"/>
      <w:sz w:val="16"/>
      <w:lang w:eastAsia="en-US"/>
    </w:rPr>
  </w:style>
  <w:style w:type="paragraph" w:customStyle="1" w:styleId="RollCallTable">
    <w:name w:val="RollCallTable"/>
    <w:basedOn w:val="Normal"/>
    <w:rsid w:val="00966FFD"/>
    <w:pPr>
      <w:spacing w:before="120" w:after="120"/>
    </w:pPr>
    <w:rPr>
      <w:snapToGrid w:val="0"/>
      <w:sz w:val="16"/>
      <w:lang w:eastAsia="en-US"/>
    </w:rPr>
  </w:style>
  <w:style w:type="paragraph" w:styleId="Footer">
    <w:name w:val="footer"/>
    <w:basedOn w:val="Normal"/>
    <w:link w:val="FooterChar"/>
    <w:rsid w:val="00966FFD"/>
    <w:pPr>
      <w:tabs>
        <w:tab w:val="center" w:pos="4513"/>
        <w:tab w:val="right" w:pos="9026"/>
      </w:tabs>
    </w:pPr>
  </w:style>
  <w:style w:type="character" w:customStyle="1" w:styleId="FooterChar">
    <w:name w:val="Footer Char"/>
    <w:basedOn w:val="DefaultParagraphFont"/>
    <w:link w:val="Footer"/>
    <w:rsid w:val="00966FFD"/>
    <w:rPr>
      <w:sz w:val="24"/>
      <w:lang w:val="hu-HU"/>
    </w:rPr>
  </w:style>
  <w:style w:type="paragraph" w:customStyle="1" w:styleId="FootnoteTextForceStyle">
    <w:name w:val="Footnote Text ForceStyle"/>
    <w:rsid w:val="00014D5C"/>
    <w:pPr>
      <w:keepLines/>
      <w:widowControl w:val="0"/>
      <w:spacing w:line="240" w:lineRule="exact"/>
      <w:ind w:left="850" w:hanging="850"/>
    </w:pPr>
    <w:rPr>
      <w:sz w:val="24"/>
      <w:lang w:val="hu-HU" w:eastAsia="en-US"/>
    </w:rPr>
  </w:style>
  <w:style w:type="character" w:customStyle="1" w:styleId="Footer2">
    <w:name w:val="Footer2"/>
    <w:rsid w:val="00014D5C"/>
    <w:rPr>
      <w:rFonts w:ascii="Arial" w:hAnsi="Arial"/>
      <w:b/>
      <w:sz w:val="48"/>
    </w:rPr>
  </w:style>
  <w:style w:type="paragraph" w:customStyle="1" w:styleId="Footer1">
    <w:name w:val="Footer1"/>
    <w:basedOn w:val="Normal"/>
    <w:rsid w:val="00014D5C"/>
    <w:pPr>
      <w:widowControl/>
      <w:tabs>
        <w:tab w:val="center" w:pos="4534"/>
        <w:tab w:val="right" w:pos="9638"/>
        <w:tab w:val="right" w:pos="10772"/>
      </w:tabs>
      <w:spacing w:before="360" w:line="360" w:lineRule="auto"/>
      <w:ind w:left="-840" w:right="-840"/>
    </w:pPr>
    <w:rPr>
      <w:szCs w:val="24"/>
      <w:lang w:eastAsia="en-US"/>
    </w:rPr>
  </w:style>
  <w:style w:type="paragraph" w:styleId="NormalWeb">
    <w:name w:val="Normal (Web)"/>
    <w:basedOn w:val="Normal"/>
    <w:uiPriority w:val="99"/>
    <w:unhideWhenUsed/>
    <w:rsid w:val="00E13929"/>
    <w:pPr>
      <w:widowControl/>
      <w:spacing w:before="100" w:beforeAutospacing="1" w:after="100" w:afterAutospacing="1"/>
    </w:pPr>
    <w:rPr>
      <w:rFonts w:eastAsiaTheme="minorEastAsia"/>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4/833/oj" TargetMode="External"/><Relationship Id="rId1" Type="http://schemas.openxmlformats.org/officeDocument/2006/relationships/hyperlink" Target="http://data.europa.eu/eli/dec/2014/5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492</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BINKEVICIUTE Aurelija</cp:lastModifiedBy>
  <cp:revision>3</cp:revision>
  <cp:lastPrinted>2004-11-19T15:42:00Z</cp:lastPrinted>
  <dcterms:created xsi:type="dcterms:W3CDTF">2026-07-01T13:57:00Z</dcterms:created>
  <dcterms:modified xsi:type="dcterms:W3CDTF">2026-07-23T10:19:00Z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P10_TA(2026)0170_</vt:lpwstr>
  </property>
  <property fmtid="{D5CDD505-2E9C-101B-9397-08002B2CF9AE}" pid="4" name="&lt;Type&gt;">
    <vt:lpwstr>RR</vt:lpwstr>
  </property>
</Properties>
</file>