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53CC" w14:paraId="609554F5" w14:textId="77777777" w:rsidTr="0010095E">
        <w:trPr>
          <w:trHeight w:hRule="exact" w:val="1418"/>
        </w:trPr>
        <w:tc>
          <w:tcPr>
            <w:tcW w:w="6804" w:type="dxa"/>
            <w:shd w:val="clear" w:color="auto" w:fill="auto"/>
            <w:vAlign w:val="center"/>
          </w:tcPr>
          <w:p w14:paraId="2D4EAB25" w14:textId="77777777" w:rsidR="00751A4A" w:rsidRPr="00BD53CC" w:rsidRDefault="00452575" w:rsidP="0010095E">
            <w:pPr>
              <w:pStyle w:val="EPName"/>
            </w:pPr>
            <w:r w:rsidRPr="00BD53CC">
              <w:t>Parlamento europeo</w:t>
            </w:r>
          </w:p>
          <w:p w14:paraId="3E087166" w14:textId="77777777" w:rsidR="00751A4A" w:rsidRPr="00BD53CC" w:rsidRDefault="005F1B17" w:rsidP="005F1B17">
            <w:pPr>
              <w:pStyle w:val="EPTerm"/>
              <w:rPr>
                <w:rStyle w:val="HideTWBExt"/>
                <w:noProof w:val="0"/>
                <w:vanish w:val="0"/>
                <w:color w:val="auto"/>
              </w:rPr>
            </w:pPr>
            <w:r w:rsidRPr="00BD53CC">
              <w:t>2024</w:t>
            </w:r>
            <w:r w:rsidR="00817416" w:rsidRPr="00BD53CC">
              <w:t>-202</w:t>
            </w:r>
            <w:r w:rsidRPr="00BD53CC">
              <w:t>9</w:t>
            </w:r>
          </w:p>
        </w:tc>
        <w:tc>
          <w:tcPr>
            <w:tcW w:w="2268" w:type="dxa"/>
            <w:shd w:val="clear" w:color="auto" w:fill="auto"/>
          </w:tcPr>
          <w:p w14:paraId="64F3306B" w14:textId="77777777" w:rsidR="00751A4A" w:rsidRPr="00BD53CC" w:rsidRDefault="00187494" w:rsidP="0010095E">
            <w:pPr>
              <w:pStyle w:val="EPLogo"/>
            </w:pPr>
            <w:r w:rsidRPr="00BD53CC">
              <w:rPr>
                <w:noProof/>
                <w:lang w:eastAsia="ja-JP"/>
              </w:rPr>
              <w:drawing>
                <wp:inline distT="0" distB="0" distL="0" distR="0" wp14:anchorId="264FB79D" wp14:editId="5B43CB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E91DE8" w14:textId="77777777" w:rsidR="00D058B8" w:rsidRPr="00BD53CC" w:rsidRDefault="00D058B8" w:rsidP="004C5D52">
      <w:pPr>
        <w:pStyle w:val="LineTop"/>
      </w:pPr>
    </w:p>
    <w:p w14:paraId="192D447F" w14:textId="77777777" w:rsidR="00680577" w:rsidRPr="00BD53CC" w:rsidRDefault="00452575" w:rsidP="00680577">
      <w:pPr>
        <w:pStyle w:val="EPBodyTA1"/>
      </w:pPr>
      <w:r w:rsidRPr="00BD53CC">
        <w:t>TESTI APPROVATI</w:t>
      </w:r>
    </w:p>
    <w:p w14:paraId="78A96F3C" w14:textId="77777777" w:rsidR="00D058B8" w:rsidRPr="00BD53CC" w:rsidRDefault="00D058B8" w:rsidP="00D058B8">
      <w:pPr>
        <w:pStyle w:val="LineBottom"/>
      </w:pPr>
    </w:p>
    <w:p w14:paraId="171D4C5B" w14:textId="2EEC7E28" w:rsidR="00452575" w:rsidRPr="00BD53CC" w:rsidRDefault="00452575" w:rsidP="00452575">
      <w:pPr>
        <w:pStyle w:val="ATHeading1"/>
      </w:pPr>
      <w:bookmarkStart w:id="0" w:name="TANumber"/>
      <w:r w:rsidRPr="00BD53CC">
        <w:t>P10_</w:t>
      </w:r>
      <w:proofErr w:type="gramStart"/>
      <w:r w:rsidRPr="00BD53CC">
        <w:t>TA(</w:t>
      </w:r>
      <w:proofErr w:type="gramEnd"/>
      <w:r w:rsidRPr="00BD53CC">
        <w:t>2026)0</w:t>
      </w:r>
      <w:r w:rsidR="000A4990" w:rsidRPr="00BD53CC">
        <w:t>170</w:t>
      </w:r>
      <w:bookmarkEnd w:id="0"/>
    </w:p>
    <w:p w14:paraId="5A0706C4" w14:textId="49B71FA4" w:rsidR="00452575" w:rsidRPr="00BD53CC" w:rsidRDefault="00452575" w:rsidP="00452575">
      <w:pPr>
        <w:pStyle w:val="ATHeading2"/>
      </w:pPr>
      <w:bookmarkStart w:id="1" w:name="title"/>
      <w:r w:rsidRPr="00BD53CC">
        <w:t xml:space="preserve">Effetti negativi sul commercio </w:t>
      </w:r>
      <w:r w:rsidR="002749AD" w:rsidRPr="00BD53CC">
        <w:t xml:space="preserve">derivanti dalla </w:t>
      </w:r>
      <w:r w:rsidRPr="00BD53CC">
        <w:t>sovracapacità globale nel mercato siderurgico dell'Unione</w:t>
      </w:r>
      <w:bookmarkEnd w:id="1"/>
    </w:p>
    <w:p w14:paraId="5A9B6086" w14:textId="77777777" w:rsidR="00452575" w:rsidRPr="00BD53CC" w:rsidRDefault="00452575" w:rsidP="00452575">
      <w:pPr>
        <w:rPr>
          <w:i/>
          <w:vanish/>
        </w:rPr>
      </w:pPr>
      <w:r w:rsidRPr="00BD53CC">
        <w:rPr>
          <w:i/>
        </w:rPr>
        <w:fldChar w:fldCharType="begin"/>
      </w:r>
      <w:r w:rsidRPr="00BD53CC">
        <w:rPr>
          <w:i/>
        </w:rPr>
        <w:instrText xml:space="preserve"> TC"(</w:instrText>
      </w:r>
      <w:bookmarkStart w:id="2" w:name="DocNumber"/>
      <w:r w:rsidRPr="00BD53CC">
        <w:rPr>
          <w:i/>
        </w:rPr>
        <w:instrText>A10-0012/2026</w:instrText>
      </w:r>
      <w:bookmarkEnd w:id="2"/>
      <w:r w:rsidRPr="00BD53CC">
        <w:rPr>
          <w:i/>
        </w:rPr>
        <w:instrText xml:space="preserve"> - Relatrice: Karin </w:instrText>
      </w:r>
      <w:proofErr w:type="spellStart"/>
      <w:r w:rsidRPr="00BD53CC">
        <w:rPr>
          <w:i/>
        </w:rPr>
        <w:instrText>Karlsbro</w:instrText>
      </w:r>
      <w:proofErr w:type="spellEnd"/>
      <w:r w:rsidRPr="00BD53CC">
        <w:rPr>
          <w:i/>
        </w:rPr>
        <w:instrText xml:space="preserve">)"\l3 \n&gt; \* MERGEFORMAT </w:instrText>
      </w:r>
      <w:r w:rsidRPr="00BD53CC">
        <w:rPr>
          <w:i/>
        </w:rPr>
        <w:fldChar w:fldCharType="end"/>
      </w:r>
    </w:p>
    <w:p w14:paraId="15D2CDEC" w14:textId="77777777" w:rsidR="00452575" w:rsidRPr="00BD53CC" w:rsidRDefault="00452575" w:rsidP="00452575">
      <w:pPr>
        <w:rPr>
          <w:vanish/>
        </w:rPr>
      </w:pPr>
      <w:bookmarkStart w:id="3" w:name="Commission"/>
      <w:r w:rsidRPr="00BD53CC">
        <w:rPr>
          <w:vanish/>
        </w:rPr>
        <w:t>Commissione per il commercio internazionale</w:t>
      </w:r>
      <w:bookmarkEnd w:id="3"/>
    </w:p>
    <w:p w14:paraId="53329706" w14:textId="77777777" w:rsidR="00452575" w:rsidRPr="00BD53CC" w:rsidRDefault="00452575" w:rsidP="00452575">
      <w:pPr>
        <w:rPr>
          <w:vanish/>
        </w:rPr>
      </w:pPr>
      <w:bookmarkStart w:id="4" w:name="PE"/>
      <w:r w:rsidRPr="00BD53CC">
        <w:rPr>
          <w:vanish/>
        </w:rPr>
        <w:t>PE779.727</w:t>
      </w:r>
      <w:bookmarkEnd w:id="4"/>
    </w:p>
    <w:p w14:paraId="56D8952C" w14:textId="3D3141F5" w:rsidR="00452575" w:rsidRPr="00BD53CC" w:rsidRDefault="00452575" w:rsidP="00452575">
      <w:pPr>
        <w:pStyle w:val="ATHeading3"/>
      </w:pPr>
      <w:bookmarkStart w:id="5" w:name="Sujet"/>
      <w:r w:rsidRPr="00BD53CC">
        <w:t xml:space="preserve">Risoluzione legislativa del Parlamento europeo del </w:t>
      </w:r>
      <w:r w:rsidR="00FA34A0" w:rsidRPr="00BD53CC">
        <w:t>19</w:t>
      </w:r>
      <w:r w:rsidRPr="00BD53CC">
        <w:t xml:space="preserve"> maggio 2026 sulla proposta di regolamento del Parlamento europeo e del Consiglio che affronta gli effetti negativi sul commercio dovuti alla sovraccapacità globale nel mercato siderurgico dell'Unione</w:t>
      </w:r>
      <w:bookmarkEnd w:id="5"/>
      <w:r w:rsidRPr="00BD53CC">
        <w:t xml:space="preserve"> </w:t>
      </w:r>
      <w:bookmarkStart w:id="6" w:name="References"/>
      <w:r w:rsidRPr="00BD53CC">
        <w:t>(</w:t>
      </w:r>
      <w:proofErr w:type="gramStart"/>
      <w:r w:rsidRPr="00BD53CC">
        <w:t>COM(</w:t>
      </w:r>
      <w:proofErr w:type="gramEnd"/>
      <w:r w:rsidRPr="00BD53CC">
        <w:t>2025)0726 – C10-0245/2025 – 2025/0726(COD))</w:t>
      </w:r>
      <w:bookmarkEnd w:id="6"/>
    </w:p>
    <w:p w14:paraId="4DDFAA93" w14:textId="77777777" w:rsidR="00203680" w:rsidRPr="00BD53CC" w:rsidRDefault="00203680" w:rsidP="00D0179C">
      <w:pPr>
        <w:pStyle w:val="NormalBold"/>
        <w:spacing w:before="240"/>
      </w:pPr>
      <w:r w:rsidRPr="00BD53CC">
        <w:t>(Procedura legislativa ordinaria: prima lettura)</w:t>
      </w:r>
    </w:p>
    <w:p w14:paraId="189FB155" w14:textId="77777777" w:rsidR="00203680" w:rsidRPr="00BD53CC" w:rsidRDefault="00203680" w:rsidP="00203680">
      <w:pPr>
        <w:pStyle w:val="EPComma"/>
      </w:pPr>
      <w:r w:rsidRPr="00BD53CC">
        <w:rPr>
          <w:i/>
        </w:rPr>
        <w:t>Il Parlamento europeo,</w:t>
      </w:r>
    </w:p>
    <w:p w14:paraId="4162BAE2" w14:textId="77777777" w:rsidR="00203680" w:rsidRPr="00BD53CC" w:rsidRDefault="00203680" w:rsidP="00203680">
      <w:pPr>
        <w:pStyle w:val="NormalHanging12a"/>
      </w:pPr>
      <w:r w:rsidRPr="00BD53CC">
        <w:t>–</w:t>
      </w:r>
      <w:r w:rsidRPr="00BD53CC">
        <w:tab/>
        <w:t>vista la proposta della Commissione al Parlamento europeo e al Consiglio (COM(2025)0726),</w:t>
      </w:r>
    </w:p>
    <w:p w14:paraId="03A84201" w14:textId="77777777" w:rsidR="00203680" w:rsidRPr="00BD53CC" w:rsidRDefault="00203680" w:rsidP="00203680">
      <w:pPr>
        <w:pStyle w:val="NormalHanging12a"/>
      </w:pPr>
      <w:r w:rsidRPr="00BD53CC">
        <w:t>–</w:t>
      </w:r>
      <w:r w:rsidRPr="00BD53CC">
        <w:tab/>
        <w:t>visti l'articolo 294, paragrafo 2, e l'articolo 207, paragrafo 2, del trattato sul funzionamento dell'Unione europea, a norma dei quali la proposta gli è stata presentata dalla Commissione (C10</w:t>
      </w:r>
      <w:r w:rsidRPr="00BD53CC">
        <w:noBreakHyphen/>
        <w:t>0245/2025),</w:t>
      </w:r>
    </w:p>
    <w:p w14:paraId="68F8C1EE" w14:textId="77777777" w:rsidR="00203680" w:rsidRPr="00BD53CC" w:rsidRDefault="00203680" w:rsidP="00203680">
      <w:pPr>
        <w:pStyle w:val="NormalHanging12a"/>
      </w:pPr>
      <w:r w:rsidRPr="00BD53CC">
        <w:t>–</w:t>
      </w:r>
      <w:r w:rsidRPr="00BD53CC">
        <w:tab/>
        <w:t>visto l'articolo 294, paragrafo 3, del trattato sul funzionamento dell'Unione europea,</w:t>
      </w:r>
    </w:p>
    <w:p w14:paraId="0C44FF9E" w14:textId="212390C4" w:rsidR="00FA34A0" w:rsidRPr="00BD53CC" w:rsidRDefault="00FA34A0" w:rsidP="000A4990">
      <w:pPr>
        <w:pStyle w:val="Normal12Hanging"/>
        <w:ind w:left="567" w:hanging="567"/>
      </w:pPr>
      <w:r w:rsidRPr="00BD53CC">
        <w:t>–</w:t>
      </w:r>
      <w:r w:rsidRPr="00BD53CC">
        <w:tab/>
        <w:t>visti l'accordo provvisorio approvato dalla commissione competente a norma dell'articolo 75, paragrafo 4, del regolamento e l'impegno assunto dal rappresentante del Consiglio, con lettera del 23 aprile 2026, di approvare la posizione del Parlamento europeo, in conformità dell'articolo 294, paragrafo 4, del trattato sul funzionamento dell'Unione europea,</w:t>
      </w:r>
    </w:p>
    <w:p w14:paraId="2A34AFB0" w14:textId="77777777" w:rsidR="00203680" w:rsidRPr="00BD53CC" w:rsidRDefault="00203680" w:rsidP="00203680">
      <w:pPr>
        <w:pStyle w:val="NormalHanging12a"/>
      </w:pPr>
      <w:r w:rsidRPr="00BD53CC">
        <w:t>–</w:t>
      </w:r>
      <w:r w:rsidRPr="00BD53CC">
        <w:tab/>
        <w:t>visto l'articolo 60 del suo regolamento,</w:t>
      </w:r>
    </w:p>
    <w:p w14:paraId="4244BFD0" w14:textId="77777777" w:rsidR="00203680" w:rsidRPr="00BD53CC" w:rsidRDefault="00203680" w:rsidP="00203680">
      <w:pPr>
        <w:pStyle w:val="NormalHanging12a"/>
      </w:pPr>
      <w:r w:rsidRPr="00BD53CC">
        <w:t>–</w:t>
      </w:r>
      <w:r w:rsidRPr="00BD53CC">
        <w:tab/>
        <w:t>visto il parere della commissione per l'industria, la ricerca e l'energia,</w:t>
      </w:r>
    </w:p>
    <w:p w14:paraId="627F7656" w14:textId="77777777" w:rsidR="00203680" w:rsidRPr="00BD53CC" w:rsidRDefault="00203680" w:rsidP="00203680">
      <w:pPr>
        <w:pStyle w:val="NormalHanging12a"/>
      </w:pPr>
      <w:r w:rsidRPr="00BD53CC">
        <w:t>–</w:t>
      </w:r>
      <w:r w:rsidRPr="00BD53CC">
        <w:tab/>
        <w:t>vista la relazione della commissione per il commercio internazionale (A10-0012/2026),</w:t>
      </w:r>
    </w:p>
    <w:p w14:paraId="4EEBB109" w14:textId="77777777" w:rsidR="00203680" w:rsidRPr="00BD53CC" w:rsidRDefault="00203680" w:rsidP="00203680">
      <w:pPr>
        <w:pStyle w:val="NormalHanging12a"/>
      </w:pPr>
      <w:r w:rsidRPr="00BD53CC">
        <w:t>1.</w:t>
      </w:r>
      <w:r w:rsidRPr="00BD53CC">
        <w:tab/>
        <w:t xml:space="preserve">adotta la posizione in prima lettura figurante </w:t>
      </w:r>
      <w:proofErr w:type="gramStart"/>
      <w:r w:rsidRPr="00BD53CC">
        <w:t>in appresso</w:t>
      </w:r>
      <w:proofErr w:type="gramEnd"/>
      <w:r w:rsidRPr="00BD53CC">
        <w:t>;</w:t>
      </w:r>
    </w:p>
    <w:p w14:paraId="425184FD" w14:textId="078B5DAB" w:rsidR="00205913" w:rsidRPr="00BD53CC" w:rsidRDefault="00205913" w:rsidP="00203680">
      <w:pPr>
        <w:pStyle w:val="NormalHanging12a"/>
      </w:pPr>
      <w:r w:rsidRPr="00BD53CC">
        <w:t>2.</w:t>
      </w:r>
      <w:r w:rsidRPr="00BD53CC">
        <w:tab/>
        <w:t xml:space="preserve">approva la dichiarazione comune del Parlamento europeo, del Consiglio e della Commissione allegata alla presente risoluzione, che sarà pubblicata nella </w:t>
      </w:r>
      <w:r w:rsidRPr="00BD53CC">
        <w:rPr>
          <w:i/>
        </w:rPr>
        <w:t>Gazzetta ufficiale dell'Unione europea</w:t>
      </w:r>
      <w:r w:rsidRPr="00BD53CC">
        <w:t>, serie C;</w:t>
      </w:r>
    </w:p>
    <w:p w14:paraId="42F38069" w14:textId="097070D2" w:rsidR="00203680" w:rsidRPr="00BD53CC" w:rsidRDefault="00205913" w:rsidP="00203680">
      <w:pPr>
        <w:pStyle w:val="NormalHanging12a"/>
      </w:pPr>
      <w:r w:rsidRPr="00BD53CC">
        <w:lastRenderedPageBreak/>
        <w:t>3</w:t>
      </w:r>
      <w:r w:rsidR="00203680" w:rsidRPr="00BD53CC">
        <w:t>.</w:t>
      </w:r>
      <w:r w:rsidR="00203680" w:rsidRPr="00BD53CC">
        <w:tab/>
        <w:t>chiede alla Commissione di presentargli nuovamente la proposta qualora la sostituisca, la modifichi sostanzialmente o intenda modificarla sostanzialmente;</w:t>
      </w:r>
    </w:p>
    <w:p w14:paraId="39BAB710" w14:textId="39A4DBFE" w:rsidR="002749AD" w:rsidRPr="00BD53CC" w:rsidRDefault="00205913" w:rsidP="00205913">
      <w:pPr>
        <w:pStyle w:val="NormalHanging12a"/>
      </w:pPr>
      <w:r w:rsidRPr="00BD53CC">
        <w:t>4</w:t>
      </w:r>
      <w:r w:rsidR="00203680" w:rsidRPr="00BD53CC">
        <w:t>.</w:t>
      </w:r>
      <w:r w:rsidR="00203680" w:rsidRPr="00BD53CC">
        <w:tab/>
        <w:t>incarica la sua Presidente di trasmettere la posizione del Parlamento al Consiglio e alla Commissione nonché ai parlamenti nazionali.</w:t>
      </w:r>
    </w:p>
    <w:p w14:paraId="0E884E5A" w14:textId="47B6BBFB" w:rsidR="00205913" w:rsidRPr="00BD53CC" w:rsidRDefault="00205913" w:rsidP="00205913">
      <w:pPr>
        <w:pStyle w:val="NormalHanging12a"/>
        <w:sectPr w:rsidR="00205913" w:rsidRPr="00BD53CC" w:rsidSect="00A108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A12FEC" w14:textId="6A6B804B" w:rsidR="00E365E1" w:rsidRPr="00BD53CC" w:rsidRDefault="00205913" w:rsidP="00205913">
      <w:pPr>
        <w:pStyle w:val="AmNumberTabs"/>
      </w:pPr>
      <w:r w:rsidRPr="00BD53CC">
        <w:lastRenderedPageBreak/>
        <w:t>P10_TC1-</w:t>
      </w:r>
      <w:proofErr w:type="gramStart"/>
      <w:r w:rsidRPr="00BD53CC">
        <w:t>COD(</w:t>
      </w:r>
      <w:proofErr w:type="gramEnd"/>
      <w:r w:rsidRPr="00BD53CC">
        <w:t>2025)0726</w:t>
      </w:r>
    </w:p>
    <w:p w14:paraId="4432B078" w14:textId="77777777" w:rsidR="00205913" w:rsidRPr="00BD53CC" w:rsidRDefault="00205913" w:rsidP="00205913">
      <w:pPr>
        <w:spacing w:before="120" w:after="360"/>
        <w:rPr>
          <w:b/>
          <w:iCs/>
        </w:rPr>
      </w:pPr>
      <w:r w:rsidRPr="00BD53CC">
        <w:rPr>
          <w:b/>
        </w:rPr>
        <w:t xml:space="preserve">Posizione del Parlamento europeo definita in prima lettura il 19 maggio 2026 in vista dell'adozione del regolamento (UE) 2026/... del Parlamento europeo e del Consiglio che affronta gli effetti negativi sul commercio derivanti dalla sovracapacità globale nel mercato siderurgico dell'Unione </w:t>
      </w:r>
      <w:r w:rsidRPr="00BD53CC">
        <w:rPr>
          <w:b/>
          <w:iCs/>
        </w:rPr>
        <w:t>e modifica il regolamento (UE) 2020/2170</w:t>
      </w:r>
    </w:p>
    <w:p w14:paraId="41BAEC83" w14:textId="41948C41" w:rsidR="003B67D4" w:rsidRPr="00BD53CC" w:rsidRDefault="003B67D4" w:rsidP="003B67D4">
      <w:r w:rsidRPr="00BD53CC">
        <w:rPr>
          <w:i/>
        </w:rPr>
        <w:t>(Dato l'accordo tra il Parlamento e il Consiglio, la posizione del Parlamento corrisponde all'atto legislativo finale, il regolamento (UE) 2026/1384.)</w:t>
      </w:r>
    </w:p>
    <w:p w14:paraId="79D1D59E" w14:textId="77777777" w:rsidR="003B67D4" w:rsidRPr="00BD53CC" w:rsidRDefault="003B67D4" w:rsidP="00205913">
      <w:pPr>
        <w:spacing w:before="120" w:after="360"/>
        <w:rPr>
          <w:b/>
          <w:bCs/>
        </w:rPr>
      </w:pPr>
    </w:p>
    <w:p w14:paraId="3CAB2B76" w14:textId="77777777" w:rsidR="003B67D4" w:rsidRPr="00BD53CC" w:rsidRDefault="003B67D4" w:rsidP="00205913">
      <w:pPr>
        <w:spacing w:before="120" w:after="360"/>
        <w:rPr>
          <w:b/>
          <w:bCs/>
        </w:rPr>
        <w:sectPr w:rsidR="003B67D4" w:rsidRPr="00BD53CC" w:rsidSect="00A10810">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DFEA22" w14:textId="6FFF64EC" w:rsidR="00205913" w:rsidRPr="00BD53CC" w:rsidRDefault="007C23A1" w:rsidP="009D0DE5">
      <w:pPr>
        <w:pStyle w:val="AmNumberTabs"/>
        <w:spacing w:before="120" w:after="240"/>
        <w:jc w:val="right"/>
        <w:rPr>
          <w:b w:val="0"/>
          <w:bCs/>
        </w:rPr>
      </w:pPr>
      <w:r w:rsidRPr="00BD53CC">
        <w:rPr>
          <w:b w:val="0"/>
          <w:bCs/>
        </w:rPr>
        <w:lastRenderedPageBreak/>
        <w:t>ALLEGATO ALLA RISOLUZIONE LEGISLATIVA</w:t>
      </w:r>
    </w:p>
    <w:p w14:paraId="4120AE4A" w14:textId="77777777" w:rsidR="007C23A1" w:rsidRPr="00BD53CC" w:rsidRDefault="007C23A1" w:rsidP="007C23A1">
      <w:pPr>
        <w:spacing w:before="120" w:after="120"/>
        <w:rPr>
          <w:b/>
          <w:bCs/>
        </w:rPr>
      </w:pPr>
      <w:r w:rsidRPr="00BD53CC">
        <w:rPr>
          <w:b/>
        </w:rPr>
        <w:t xml:space="preserve">Dichiarazione comune del Parlamento europeo, del Consiglio e della Commissione sulle importazioni di prodotti siderurgici dalla Russia </w:t>
      </w:r>
    </w:p>
    <w:p w14:paraId="1DCB24A0" w14:textId="77777777" w:rsidR="007C23A1" w:rsidRPr="00BD53CC" w:rsidRDefault="007C23A1" w:rsidP="009D0DE5">
      <w:pPr>
        <w:spacing w:before="240" w:after="240"/>
      </w:pPr>
      <w:r w:rsidRPr="00BD53CC">
        <w:t>Dall'inizio della guerra, l'Unione e i suoi Stati membri hanno adottato misure senza precedenti allo scopo di ridurre la loro dipendenza economica dalla Russia e garantire che l'attività economica dell'Unione non contribuisca a sostenere lo sforzo bellico del paese.</w:t>
      </w:r>
    </w:p>
    <w:p w14:paraId="1548DC81" w14:textId="77777777" w:rsidR="007C23A1" w:rsidRPr="00BD53CC" w:rsidRDefault="007C23A1" w:rsidP="009D0DE5">
      <w:pPr>
        <w:spacing w:before="120" w:after="240"/>
      </w:pPr>
      <w:r w:rsidRPr="00BD53CC">
        <w:t>Le misure intraprese hanno considerevolmente ridotto i flussi commerciali in numerosi settori, tra cui l'acciaio, accelerato il disaccoppiamento e contribuito alla resilienza dell'Unione, dimostrando la capacità di quest'ultima di agire in modo unito e deciso quando sono in gioco i suoi valori e interessi strategici.</w:t>
      </w:r>
    </w:p>
    <w:p w14:paraId="273FF431" w14:textId="77777777" w:rsidR="007C23A1" w:rsidRPr="00BD53CC" w:rsidRDefault="007C23A1" w:rsidP="009D0DE5">
      <w:pPr>
        <w:spacing w:before="120" w:after="240"/>
      </w:pPr>
      <w:r w:rsidRPr="00BD53CC">
        <w:t>Allo stesso tempo, l'Unione deve continuare a prestare attenzione ai settori in cui persistono dipendenze, in special modo per quanto riguarda determinati prodotti siderurgici la cui importazione non è ancora completamente vietata.</w:t>
      </w:r>
    </w:p>
    <w:p w14:paraId="5B87BF89" w14:textId="77777777" w:rsidR="007C23A1" w:rsidRPr="00BD53CC" w:rsidRDefault="007C23A1" w:rsidP="009D0DE5">
      <w:pPr>
        <w:spacing w:before="120" w:after="240"/>
      </w:pPr>
      <w:r w:rsidRPr="00BD53CC">
        <w:t>In particolare, nel settore siderurgico alcune importazioni limitate provenienti dalla Russia proseguiranno fino al 30 settembre 2028, conformemente alle disposizioni transitorie previste nelle pertinenti misure restrittive adottate dal Consiglio</w:t>
      </w:r>
      <w:r w:rsidRPr="00BD53CC">
        <w:rPr>
          <w:rStyle w:val="FootnoteReference"/>
        </w:rPr>
        <w:footnoteReference w:id="1"/>
      </w:r>
      <w:r w:rsidRPr="00BD53CC">
        <w:t>. Per garantire una diversificazione progressiva e costante, tali importazioni sono limitate da contingenti i cui volumi diminuiscono di anno in anno.</w:t>
      </w:r>
    </w:p>
    <w:p w14:paraId="2CC0AF7B" w14:textId="26944301" w:rsidR="007C23A1" w:rsidRPr="00BD53CC" w:rsidRDefault="007C23A1" w:rsidP="007C23A1">
      <w:pPr>
        <w:spacing w:before="120" w:after="120"/>
      </w:pPr>
      <w:r w:rsidRPr="00BD53CC">
        <w:t>Nel ricordare il quadro istituzionale applicabile alle misure restrittive, il Parlamento europeo, il Consiglio e la Commissione sottolineano che le misure restrittive adottate dal Consiglio in questo ambito pongono le basi per una progressiva eliminazione completa delle restanti importazioni di prodotti siderurgici russi, in particolare le bramme di acciaio, entro il 30 settembre 2028.</w:t>
      </w:r>
    </w:p>
    <w:sectPr w:rsidR="007C23A1" w:rsidRPr="00BD53CC" w:rsidSect="00A108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84CAF" w14:textId="77777777" w:rsidR="00452575" w:rsidRPr="00A10810" w:rsidRDefault="00452575">
      <w:r w:rsidRPr="00A10810">
        <w:separator/>
      </w:r>
    </w:p>
  </w:endnote>
  <w:endnote w:type="continuationSeparator" w:id="0">
    <w:p w14:paraId="7711C277" w14:textId="77777777" w:rsidR="00452575" w:rsidRPr="00A10810" w:rsidRDefault="00452575">
      <w:r w:rsidRPr="00A108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7F29" w14:textId="77777777" w:rsidR="00205913" w:rsidRPr="00A73A9A" w:rsidRDefault="00205913">
    <w:pPr>
      <w:pStyle w:val="Footer1"/>
    </w:pPr>
    <w:r w:rsidRPr="00A73A9A">
      <w:rPr>
        <w:rStyle w:val="Footer2"/>
      </w:rPr>
      <w:t>IT</w:t>
    </w:r>
    <w:r w:rsidRPr="00A73A9A">
      <w:tab/>
    </w:r>
    <w:r w:rsidRPr="00A73A9A">
      <w:fldChar w:fldCharType="begin"/>
    </w:r>
    <w:r w:rsidRPr="00A73A9A">
      <w:instrText xml:space="preserve"> PAGE </w:instrText>
    </w:r>
    <w:r w:rsidRPr="00A73A9A">
      <w:fldChar w:fldCharType="separate"/>
    </w:r>
    <w:r w:rsidRPr="00A73A9A">
      <w:t>1</w:t>
    </w:r>
    <w:r w:rsidRPr="00A73A9A">
      <w:fldChar w:fldCharType="end"/>
    </w:r>
    <w:r w:rsidRPr="00A73A9A">
      <w:tab/>
    </w:r>
    <w:r w:rsidRPr="00A73A9A">
      <w:rPr>
        <w:rStyle w:val="Footer2"/>
      </w:rP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E4BC" w14:textId="77777777" w:rsidR="00205913" w:rsidRPr="00205913" w:rsidRDefault="00205913" w:rsidP="002059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81EA" w14:textId="77777777" w:rsidR="00205913" w:rsidRPr="00A73A9A" w:rsidRDefault="00205913">
    <w:pPr>
      <w:pStyle w:val="Footer1"/>
    </w:pPr>
    <w:r w:rsidRPr="00A73A9A">
      <w:rPr>
        <w:rStyle w:val="Footer2"/>
      </w:rPr>
      <w:t>IT</w:t>
    </w:r>
    <w:r w:rsidRPr="00A73A9A">
      <w:tab/>
    </w:r>
    <w:r w:rsidRPr="00A73A9A">
      <w:fldChar w:fldCharType="begin"/>
    </w:r>
    <w:r w:rsidRPr="00A73A9A">
      <w:instrText xml:space="preserve"> PAGE </w:instrText>
    </w:r>
    <w:r w:rsidRPr="00A73A9A">
      <w:fldChar w:fldCharType="separate"/>
    </w:r>
    <w:r w:rsidRPr="00A73A9A">
      <w:t>1</w:t>
    </w:r>
    <w:r w:rsidRPr="00A73A9A">
      <w:fldChar w:fldCharType="end"/>
    </w:r>
    <w:r w:rsidRPr="00A73A9A">
      <w:tab/>
    </w:r>
    <w:r w:rsidRPr="00A73A9A">
      <w:rPr>
        <w:rStyle w:val="Footer2"/>
      </w:rPr>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72E1C" w14:textId="77777777" w:rsidR="00452575" w:rsidRPr="00A10810" w:rsidRDefault="00452575">
      <w:r w:rsidRPr="00A10810">
        <w:separator/>
      </w:r>
    </w:p>
  </w:footnote>
  <w:footnote w:type="continuationSeparator" w:id="0">
    <w:p w14:paraId="10378AFA" w14:textId="77777777" w:rsidR="00452575" w:rsidRPr="00A10810" w:rsidRDefault="00452575">
      <w:r w:rsidRPr="00A10810">
        <w:continuationSeparator/>
      </w:r>
    </w:p>
  </w:footnote>
  <w:footnote w:id="1">
    <w:p w14:paraId="026D58E6" w14:textId="132BC4BF" w:rsidR="007C23A1" w:rsidRPr="003B67D4" w:rsidRDefault="007C23A1" w:rsidP="007C23A1">
      <w:pPr>
        <w:pStyle w:val="FootnoteText"/>
        <w:ind w:left="851" w:hanging="851"/>
        <w:rPr>
          <w:sz w:val="24"/>
          <w:szCs w:val="24"/>
          <w:lang w:val="it-IT"/>
        </w:rPr>
      </w:pPr>
      <w:r w:rsidRPr="004637CC">
        <w:rPr>
          <w:rStyle w:val="FootnoteReference"/>
          <w:sz w:val="24"/>
          <w:szCs w:val="24"/>
        </w:rPr>
        <w:footnoteRef/>
      </w:r>
      <w:r w:rsidRPr="007C23A1">
        <w:rPr>
          <w:sz w:val="24"/>
          <w:szCs w:val="24"/>
          <w:lang w:val="it-IT"/>
        </w:rPr>
        <w:tab/>
        <w:t xml:space="preserve">Decisione 2014/512/PESC del Consiglio, del 31 luglio 2014, concernente misure restrittive in considerazione delle azioni della Russia che destabilizzano la situazione in Ucraina </w:t>
      </w:r>
      <w:r w:rsidR="003B67D4">
        <w:rPr>
          <w:sz w:val="24"/>
          <w:szCs w:val="24"/>
          <w:lang w:val="it-IT"/>
        </w:rPr>
        <w:t>(GU L 229 del 31.7.2014, pag. 13</w:t>
      </w:r>
      <w:r w:rsidR="00F51D75">
        <w:rPr>
          <w:sz w:val="24"/>
          <w:szCs w:val="24"/>
          <w:lang w:val="it-IT"/>
        </w:rPr>
        <w:t>,</w:t>
      </w:r>
      <w:r w:rsidR="003B67D4">
        <w:rPr>
          <w:sz w:val="24"/>
          <w:szCs w:val="24"/>
          <w:lang w:val="it-IT"/>
        </w:rPr>
        <w:t xml:space="preserve"> </w:t>
      </w:r>
      <w:r w:rsidR="003B67D4" w:rsidRPr="003B67D4">
        <w:rPr>
          <w:sz w:val="24"/>
          <w:szCs w:val="24"/>
          <w:lang w:val="it-IT"/>
        </w:rPr>
        <w:t>ELI: </w:t>
      </w:r>
      <w:hyperlink r:id="rId1" w:tooltip="Dà accesso al documento attraverso il suo URI dell'ELI." w:history="1">
        <w:r w:rsidR="003B67D4" w:rsidRPr="003B67D4">
          <w:rPr>
            <w:color w:val="0E47CB"/>
            <w:sz w:val="24"/>
            <w:szCs w:val="24"/>
            <w:u w:val="single"/>
            <w:shd w:val="clear" w:color="auto" w:fill="FFFFFF"/>
            <w:lang w:val="it-IT" w:eastAsia="en-GB"/>
          </w:rPr>
          <w:t>http://data.europa.eu/eli/</w:t>
        </w:r>
        <w:proofErr w:type="spellStart"/>
        <w:r w:rsidR="003B67D4" w:rsidRPr="003B67D4">
          <w:rPr>
            <w:color w:val="0E47CB"/>
            <w:sz w:val="24"/>
            <w:szCs w:val="24"/>
            <w:u w:val="single"/>
            <w:shd w:val="clear" w:color="auto" w:fill="FFFFFF"/>
            <w:lang w:val="it-IT" w:eastAsia="en-GB"/>
          </w:rPr>
          <w:t>dec</w:t>
        </w:r>
        <w:proofErr w:type="spellEnd"/>
        <w:r w:rsidR="003B67D4" w:rsidRPr="003B67D4">
          <w:rPr>
            <w:color w:val="0E47CB"/>
            <w:sz w:val="24"/>
            <w:szCs w:val="24"/>
            <w:u w:val="single"/>
            <w:shd w:val="clear" w:color="auto" w:fill="FFFFFF"/>
            <w:lang w:val="it-IT" w:eastAsia="en-GB"/>
          </w:rPr>
          <w:t>/2014/512/oj</w:t>
        </w:r>
      </w:hyperlink>
      <w:r w:rsidR="003B67D4" w:rsidRPr="003B67D4">
        <w:rPr>
          <w:sz w:val="24"/>
          <w:szCs w:val="24"/>
          <w:lang w:val="it-IT" w:eastAsia="en-GB"/>
        </w:rPr>
        <w:t>)</w:t>
      </w:r>
      <w:r w:rsidR="003B67D4">
        <w:rPr>
          <w:sz w:val="24"/>
          <w:szCs w:val="24"/>
          <w:lang w:val="it-IT" w:eastAsia="en-GB"/>
        </w:rPr>
        <w:t xml:space="preserve"> </w:t>
      </w:r>
      <w:r w:rsidRPr="003B67D4">
        <w:rPr>
          <w:sz w:val="24"/>
          <w:szCs w:val="24"/>
          <w:lang w:val="it-IT"/>
        </w:rPr>
        <w:t>e il regolamento (UE) n. 833/2014 del Consiglio, del 31 luglio 2014, concernente</w:t>
      </w:r>
      <w:r w:rsidRPr="007C23A1">
        <w:rPr>
          <w:sz w:val="24"/>
          <w:szCs w:val="24"/>
          <w:lang w:val="it-IT"/>
        </w:rPr>
        <w:t xml:space="preserve"> misure restrittive in considerazione delle azioni della Russia che destabilizzano la situazione in Ucraina</w:t>
      </w:r>
      <w:r w:rsidR="003B67D4">
        <w:rPr>
          <w:sz w:val="24"/>
          <w:szCs w:val="24"/>
          <w:lang w:val="it-IT"/>
        </w:rPr>
        <w:t xml:space="preserve"> (GU L 229 del 31.7.20</w:t>
      </w:r>
      <w:r w:rsidR="009438EA">
        <w:rPr>
          <w:sz w:val="24"/>
          <w:szCs w:val="24"/>
          <w:lang w:val="it-IT"/>
        </w:rPr>
        <w:t>1</w:t>
      </w:r>
      <w:r w:rsidR="003B67D4">
        <w:rPr>
          <w:sz w:val="24"/>
          <w:szCs w:val="24"/>
          <w:lang w:val="it-IT"/>
        </w:rPr>
        <w:t>4, pag. 1</w:t>
      </w:r>
      <w:r w:rsidR="003B67D4" w:rsidRPr="003B67D4">
        <w:rPr>
          <w:sz w:val="24"/>
          <w:szCs w:val="24"/>
          <w:lang w:val="it-IT"/>
        </w:rPr>
        <w:t>, ELI</w:t>
      </w:r>
      <w:r w:rsidR="00D429E4">
        <w:rPr>
          <w:sz w:val="24"/>
          <w:szCs w:val="24"/>
          <w:lang w:val="it-IT"/>
        </w:rPr>
        <w:t>:</w:t>
      </w:r>
      <w:r w:rsidR="003B67D4" w:rsidRPr="003B67D4">
        <w:rPr>
          <w:color w:val="333333"/>
          <w:sz w:val="24"/>
          <w:szCs w:val="24"/>
          <w:shd w:val="clear" w:color="auto" w:fill="FFFFFF"/>
          <w:lang w:val="it-IT" w:eastAsia="en-GB"/>
        </w:rPr>
        <w:t> </w:t>
      </w:r>
      <w:hyperlink r:id="rId2" w:tooltip="Dà accesso al documento attraverso il suo URI dell'ELI." w:history="1">
        <w:r w:rsidR="003B67D4" w:rsidRPr="003B67D4">
          <w:rPr>
            <w:color w:val="0E47CB"/>
            <w:sz w:val="24"/>
            <w:szCs w:val="24"/>
            <w:u w:val="single"/>
            <w:shd w:val="clear" w:color="auto" w:fill="FFFFFF"/>
            <w:lang w:val="it-IT" w:eastAsia="en-GB"/>
          </w:rPr>
          <w:t>http://data.europa.eu/eli/</w:t>
        </w:r>
        <w:r w:rsidR="003B67D4" w:rsidRPr="003B67D4">
          <w:rPr>
            <w:color w:val="0E47CB"/>
            <w:sz w:val="24"/>
            <w:szCs w:val="24"/>
            <w:u w:val="single"/>
            <w:shd w:val="clear" w:color="auto" w:fill="FFFFFF"/>
            <w:lang w:val="it-IT" w:eastAsia="en-GB"/>
          </w:rPr>
          <w:t>r</w:t>
        </w:r>
        <w:r w:rsidR="003B67D4" w:rsidRPr="003B67D4">
          <w:rPr>
            <w:color w:val="0E47CB"/>
            <w:sz w:val="24"/>
            <w:szCs w:val="24"/>
            <w:u w:val="single"/>
            <w:shd w:val="clear" w:color="auto" w:fill="FFFFFF"/>
            <w:lang w:val="it-IT" w:eastAsia="en-GB"/>
          </w:rPr>
          <w:t>eg/2014/833/oj</w:t>
        </w:r>
      </w:hyperlink>
      <w:r w:rsidR="003B67D4">
        <w:rPr>
          <w:sz w:val="24"/>
          <w:szCs w:val="24"/>
          <w:lang w:val="it-IT" w:eastAsia="en-GB"/>
        </w:rPr>
        <w:t>)</w:t>
      </w:r>
      <w:r w:rsidRPr="003B67D4">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7ABCFE6A">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102E84A">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20C23DE2">
      <w:numFmt w:val="bullet"/>
      <w:lvlText w:val="•"/>
      <w:lvlJc w:val="left"/>
      <w:pPr>
        <w:ind w:left="2402" w:hanging="567"/>
      </w:pPr>
      <w:rPr>
        <w:lang w:val="en-US" w:eastAsia="en-US" w:bidi="ar-SA"/>
      </w:rPr>
    </w:lvl>
    <w:lvl w:ilvl="3" w:tplc="798C7B4E">
      <w:numFmt w:val="bullet"/>
      <w:lvlText w:val="•"/>
      <w:lvlJc w:val="left"/>
      <w:pPr>
        <w:ind w:left="3265" w:hanging="567"/>
      </w:pPr>
      <w:rPr>
        <w:lang w:val="en-US" w:eastAsia="en-US" w:bidi="ar-SA"/>
      </w:rPr>
    </w:lvl>
    <w:lvl w:ilvl="4" w:tplc="CD722A8C">
      <w:numFmt w:val="bullet"/>
      <w:lvlText w:val="•"/>
      <w:lvlJc w:val="left"/>
      <w:pPr>
        <w:ind w:left="4128" w:hanging="567"/>
      </w:pPr>
      <w:rPr>
        <w:lang w:val="en-US" w:eastAsia="en-US" w:bidi="ar-SA"/>
      </w:rPr>
    </w:lvl>
    <w:lvl w:ilvl="5" w:tplc="C2245512">
      <w:numFmt w:val="bullet"/>
      <w:lvlText w:val="•"/>
      <w:lvlJc w:val="left"/>
      <w:pPr>
        <w:ind w:left="4991" w:hanging="567"/>
      </w:pPr>
      <w:rPr>
        <w:lang w:val="en-US" w:eastAsia="en-US" w:bidi="ar-SA"/>
      </w:rPr>
    </w:lvl>
    <w:lvl w:ilvl="6" w:tplc="E392E1BE">
      <w:numFmt w:val="bullet"/>
      <w:lvlText w:val="•"/>
      <w:lvlJc w:val="left"/>
      <w:pPr>
        <w:ind w:left="5854" w:hanging="567"/>
      </w:pPr>
      <w:rPr>
        <w:lang w:val="en-US" w:eastAsia="en-US" w:bidi="ar-SA"/>
      </w:rPr>
    </w:lvl>
    <w:lvl w:ilvl="7" w:tplc="BB0AEE88">
      <w:numFmt w:val="bullet"/>
      <w:lvlText w:val="•"/>
      <w:lvlJc w:val="left"/>
      <w:pPr>
        <w:ind w:left="6717" w:hanging="567"/>
      </w:pPr>
      <w:rPr>
        <w:lang w:val="en-US" w:eastAsia="en-US" w:bidi="ar-SA"/>
      </w:rPr>
    </w:lvl>
    <w:lvl w:ilvl="8" w:tplc="6798A856">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2C68042A">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31C9444">
      <w:numFmt w:val="bullet"/>
      <w:lvlText w:val="•"/>
      <w:lvlJc w:val="left"/>
      <w:pPr>
        <w:ind w:left="1794" w:hanging="850"/>
      </w:pPr>
      <w:rPr>
        <w:lang w:val="en-US" w:eastAsia="en-US" w:bidi="ar-SA"/>
      </w:rPr>
    </w:lvl>
    <w:lvl w:ilvl="2" w:tplc="6566873C">
      <w:numFmt w:val="bullet"/>
      <w:lvlText w:val="•"/>
      <w:lvlJc w:val="left"/>
      <w:pPr>
        <w:ind w:left="2629" w:hanging="850"/>
      </w:pPr>
      <w:rPr>
        <w:lang w:val="en-US" w:eastAsia="en-US" w:bidi="ar-SA"/>
      </w:rPr>
    </w:lvl>
    <w:lvl w:ilvl="3" w:tplc="9C12D3C8">
      <w:numFmt w:val="bullet"/>
      <w:lvlText w:val="•"/>
      <w:lvlJc w:val="left"/>
      <w:pPr>
        <w:ind w:left="3463" w:hanging="850"/>
      </w:pPr>
      <w:rPr>
        <w:lang w:val="en-US" w:eastAsia="en-US" w:bidi="ar-SA"/>
      </w:rPr>
    </w:lvl>
    <w:lvl w:ilvl="4" w:tplc="16C278F0">
      <w:numFmt w:val="bullet"/>
      <w:lvlText w:val="•"/>
      <w:lvlJc w:val="left"/>
      <w:pPr>
        <w:ind w:left="4298" w:hanging="850"/>
      </w:pPr>
      <w:rPr>
        <w:lang w:val="en-US" w:eastAsia="en-US" w:bidi="ar-SA"/>
      </w:rPr>
    </w:lvl>
    <w:lvl w:ilvl="5" w:tplc="0480E606">
      <w:numFmt w:val="bullet"/>
      <w:lvlText w:val="•"/>
      <w:lvlJc w:val="left"/>
      <w:pPr>
        <w:ind w:left="5133" w:hanging="850"/>
      </w:pPr>
      <w:rPr>
        <w:lang w:val="en-US" w:eastAsia="en-US" w:bidi="ar-SA"/>
      </w:rPr>
    </w:lvl>
    <w:lvl w:ilvl="6" w:tplc="2974C958">
      <w:numFmt w:val="bullet"/>
      <w:lvlText w:val="•"/>
      <w:lvlJc w:val="left"/>
      <w:pPr>
        <w:ind w:left="5967" w:hanging="850"/>
      </w:pPr>
      <w:rPr>
        <w:lang w:val="en-US" w:eastAsia="en-US" w:bidi="ar-SA"/>
      </w:rPr>
    </w:lvl>
    <w:lvl w:ilvl="7" w:tplc="D3BA1026">
      <w:numFmt w:val="bullet"/>
      <w:lvlText w:val="•"/>
      <w:lvlJc w:val="left"/>
      <w:pPr>
        <w:ind w:left="6802" w:hanging="850"/>
      </w:pPr>
      <w:rPr>
        <w:lang w:val="en-US" w:eastAsia="en-US" w:bidi="ar-SA"/>
      </w:rPr>
    </w:lvl>
    <w:lvl w:ilvl="8" w:tplc="EBD041F2">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2430B8F2">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8B408FA2">
      <w:numFmt w:val="bullet"/>
      <w:lvlText w:val="•"/>
      <w:lvlJc w:val="left"/>
      <w:pPr>
        <w:ind w:left="1668" w:hanging="708"/>
      </w:pPr>
      <w:rPr>
        <w:lang w:val="en-US" w:eastAsia="en-US" w:bidi="ar-SA"/>
      </w:rPr>
    </w:lvl>
    <w:lvl w:ilvl="2" w:tplc="DFC4079C">
      <w:numFmt w:val="bullet"/>
      <w:lvlText w:val="•"/>
      <w:lvlJc w:val="left"/>
      <w:pPr>
        <w:ind w:left="2517" w:hanging="708"/>
      </w:pPr>
      <w:rPr>
        <w:lang w:val="en-US" w:eastAsia="en-US" w:bidi="ar-SA"/>
      </w:rPr>
    </w:lvl>
    <w:lvl w:ilvl="3" w:tplc="4188829C">
      <w:numFmt w:val="bullet"/>
      <w:lvlText w:val="•"/>
      <w:lvlJc w:val="left"/>
      <w:pPr>
        <w:ind w:left="3365" w:hanging="708"/>
      </w:pPr>
      <w:rPr>
        <w:lang w:val="en-US" w:eastAsia="en-US" w:bidi="ar-SA"/>
      </w:rPr>
    </w:lvl>
    <w:lvl w:ilvl="4" w:tplc="2BACE1FE">
      <w:numFmt w:val="bullet"/>
      <w:lvlText w:val="•"/>
      <w:lvlJc w:val="left"/>
      <w:pPr>
        <w:ind w:left="4214" w:hanging="708"/>
      </w:pPr>
      <w:rPr>
        <w:lang w:val="en-US" w:eastAsia="en-US" w:bidi="ar-SA"/>
      </w:rPr>
    </w:lvl>
    <w:lvl w:ilvl="5" w:tplc="68E8EB58">
      <w:numFmt w:val="bullet"/>
      <w:lvlText w:val="•"/>
      <w:lvlJc w:val="left"/>
      <w:pPr>
        <w:ind w:left="5063" w:hanging="708"/>
      </w:pPr>
      <w:rPr>
        <w:lang w:val="en-US" w:eastAsia="en-US" w:bidi="ar-SA"/>
      </w:rPr>
    </w:lvl>
    <w:lvl w:ilvl="6" w:tplc="4426DDEE">
      <w:numFmt w:val="bullet"/>
      <w:lvlText w:val="•"/>
      <w:lvlJc w:val="left"/>
      <w:pPr>
        <w:ind w:left="5911" w:hanging="708"/>
      </w:pPr>
      <w:rPr>
        <w:lang w:val="en-US" w:eastAsia="en-US" w:bidi="ar-SA"/>
      </w:rPr>
    </w:lvl>
    <w:lvl w:ilvl="7" w:tplc="86A4CE8E">
      <w:numFmt w:val="bullet"/>
      <w:lvlText w:val="•"/>
      <w:lvlJc w:val="left"/>
      <w:pPr>
        <w:ind w:left="6760" w:hanging="708"/>
      </w:pPr>
      <w:rPr>
        <w:lang w:val="en-US" w:eastAsia="en-US" w:bidi="ar-SA"/>
      </w:rPr>
    </w:lvl>
    <w:lvl w:ilvl="8" w:tplc="DBEC6E08">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AECE9E7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B4A006EC">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F5626C42">
      <w:numFmt w:val="bullet"/>
      <w:lvlText w:val="•"/>
      <w:lvlJc w:val="left"/>
      <w:pPr>
        <w:ind w:left="2402" w:hanging="567"/>
      </w:pPr>
      <w:rPr>
        <w:lang w:val="en-US" w:eastAsia="en-US" w:bidi="ar-SA"/>
      </w:rPr>
    </w:lvl>
    <w:lvl w:ilvl="3" w:tplc="B54EF0C0">
      <w:numFmt w:val="bullet"/>
      <w:lvlText w:val="•"/>
      <w:lvlJc w:val="left"/>
      <w:pPr>
        <w:ind w:left="3265" w:hanging="567"/>
      </w:pPr>
      <w:rPr>
        <w:lang w:val="en-US" w:eastAsia="en-US" w:bidi="ar-SA"/>
      </w:rPr>
    </w:lvl>
    <w:lvl w:ilvl="4" w:tplc="901857CC">
      <w:numFmt w:val="bullet"/>
      <w:lvlText w:val="•"/>
      <w:lvlJc w:val="left"/>
      <w:pPr>
        <w:ind w:left="4128" w:hanging="567"/>
      </w:pPr>
      <w:rPr>
        <w:lang w:val="en-US" w:eastAsia="en-US" w:bidi="ar-SA"/>
      </w:rPr>
    </w:lvl>
    <w:lvl w:ilvl="5" w:tplc="C9A8D190">
      <w:numFmt w:val="bullet"/>
      <w:lvlText w:val="•"/>
      <w:lvlJc w:val="left"/>
      <w:pPr>
        <w:ind w:left="4991" w:hanging="567"/>
      </w:pPr>
      <w:rPr>
        <w:lang w:val="en-US" w:eastAsia="en-US" w:bidi="ar-SA"/>
      </w:rPr>
    </w:lvl>
    <w:lvl w:ilvl="6" w:tplc="3530F376">
      <w:numFmt w:val="bullet"/>
      <w:lvlText w:val="•"/>
      <w:lvlJc w:val="left"/>
      <w:pPr>
        <w:ind w:left="5854" w:hanging="567"/>
      </w:pPr>
      <w:rPr>
        <w:lang w:val="en-US" w:eastAsia="en-US" w:bidi="ar-SA"/>
      </w:rPr>
    </w:lvl>
    <w:lvl w:ilvl="7" w:tplc="8C262FA0">
      <w:numFmt w:val="bullet"/>
      <w:lvlText w:val="•"/>
      <w:lvlJc w:val="left"/>
      <w:pPr>
        <w:ind w:left="6717" w:hanging="567"/>
      </w:pPr>
      <w:rPr>
        <w:lang w:val="en-US" w:eastAsia="en-US" w:bidi="ar-SA"/>
      </w:rPr>
    </w:lvl>
    <w:lvl w:ilvl="8" w:tplc="5D0632B2">
      <w:numFmt w:val="bullet"/>
      <w:lvlText w:val="•"/>
      <w:lvlJc w:val="left"/>
      <w:pPr>
        <w:ind w:left="7580" w:hanging="567"/>
      </w:pPr>
      <w:rPr>
        <w:lang w:val="en-US" w:eastAsia="en-US" w:bidi="ar-SA"/>
      </w:rPr>
    </w:lvl>
  </w:abstractNum>
  <w:num w:numId="1" w16cid:durableId="59714471">
    <w:abstractNumId w:val="9"/>
  </w:num>
  <w:num w:numId="2" w16cid:durableId="68119660">
    <w:abstractNumId w:val="9"/>
  </w:num>
  <w:num w:numId="3" w16cid:durableId="845634951">
    <w:abstractNumId w:val="7"/>
  </w:num>
  <w:num w:numId="4" w16cid:durableId="242760949">
    <w:abstractNumId w:val="7"/>
  </w:num>
  <w:num w:numId="5" w16cid:durableId="1987857413">
    <w:abstractNumId w:val="6"/>
  </w:num>
  <w:num w:numId="6" w16cid:durableId="1047796776">
    <w:abstractNumId w:val="6"/>
  </w:num>
  <w:num w:numId="7" w16cid:durableId="1304575874">
    <w:abstractNumId w:val="5"/>
  </w:num>
  <w:num w:numId="8" w16cid:durableId="960838944">
    <w:abstractNumId w:val="5"/>
  </w:num>
  <w:num w:numId="9" w16cid:durableId="680400474">
    <w:abstractNumId w:val="4"/>
  </w:num>
  <w:num w:numId="10" w16cid:durableId="1225287922">
    <w:abstractNumId w:val="4"/>
  </w:num>
  <w:num w:numId="11" w16cid:durableId="788740314">
    <w:abstractNumId w:val="8"/>
  </w:num>
  <w:num w:numId="12" w16cid:durableId="1677808996">
    <w:abstractNumId w:val="8"/>
  </w:num>
  <w:num w:numId="13" w16cid:durableId="1430857488">
    <w:abstractNumId w:val="3"/>
  </w:num>
  <w:num w:numId="14" w16cid:durableId="2112778987">
    <w:abstractNumId w:val="3"/>
  </w:num>
  <w:num w:numId="15" w16cid:durableId="1283074690">
    <w:abstractNumId w:val="2"/>
  </w:num>
  <w:num w:numId="16" w16cid:durableId="346568740">
    <w:abstractNumId w:val="2"/>
  </w:num>
  <w:num w:numId="17" w16cid:durableId="1604268393">
    <w:abstractNumId w:val="1"/>
  </w:num>
  <w:num w:numId="18" w16cid:durableId="222105814">
    <w:abstractNumId w:val="1"/>
  </w:num>
  <w:num w:numId="19" w16cid:durableId="1305620666">
    <w:abstractNumId w:val="0"/>
  </w:num>
  <w:num w:numId="20" w16cid:durableId="726685766">
    <w:abstractNumId w:val="0"/>
  </w:num>
  <w:num w:numId="21" w16cid:durableId="1118568677">
    <w:abstractNumId w:val="9"/>
  </w:num>
  <w:num w:numId="22" w16cid:durableId="1842348872">
    <w:abstractNumId w:val="7"/>
  </w:num>
  <w:num w:numId="23" w16cid:durableId="2095664077">
    <w:abstractNumId w:val="6"/>
  </w:num>
  <w:num w:numId="24" w16cid:durableId="745614230">
    <w:abstractNumId w:val="5"/>
  </w:num>
  <w:num w:numId="25" w16cid:durableId="757990618">
    <w:abstractNumId w:val="4"/>
  </w:num>
  <w:num w:numId="26" w16cid:durableId="1714035898">
    <w:abstractNumId w:val="8"/>
  </w:num>
  <w:num w:numId="27" w16cid:durableId="180165559">
    <w:abstractNumId w:val="3"/>
  </w:num>
  <w:num w:numId="28" w16cid:durableId="1490167563">
    <w:abstractNumId w:val="2"/>
  </w:num>
  <w:num w:numId="29" w16cid:durableId="1256282678">
    <w:abstractNumId w:val="1"/>
  </w:num>
  <w:num w:numId="30" w16cid:durableId="395127582">
    <w:abstractNumId w:val="0"/>
  </w:num>
  <w:num w:numId="31" w16cid:durableId="939527654">
    <w:abstractNumId w:val="9"/>
  </w:num>
  <w:num w:numId="32" w16cid:durableId="1138767708">
    <w:abstractNumId w:val="7"/>
  </w:num>
  <w:num w:numId="33" w16cid:durableId="2140487990">
    <w:abstractNumId w:val="6"/>
  </w:num>
  <w:num w:numId="34" w16cid:durableId="762184022">
    <w:abstractNumId w:val="5"/>
  </w:num>
  <w:num w:numId="35" w16cid:durableId="1147094075">
    <w:abstractNumId w:val="4"/>
  </w:num>
  <w:num w:numId="36" w16cid:durableId="707148093">
    <w:abstractNumId w:val="8"/>
  </w:num>
  <w:num w:numId="37" w16cid:durableId="511605533">
    <w:abstractNumId w:val="3"/>
  </w:num>
  <w:num w:numId="38" w16cid:durableId="204759154">
    <w:abstractNumId w:val="2"/>
  </w:num>
  <w:num w:numId="39" w16cid:durableId="987397258">
    <w:abstractNumId w:val="1"/>
  </w:num>
  <w:num w:numId="40" w16cid:durableId="504636330">
    <w:abstractNumId w:val="0"/>
  </w:num>
  <w:num w:numId="41" w16cid:durableId="411581697">
    <w:abstractNumId w:val="10"/>
  </w:num>
  <w:num w:numId="42" w16cid:durableId="1373572552">
    <w:abstractNumId w:val="10"/>
  </w:num>
  <w:num w:numId="43" w16cid:durableId="1713727267">
    <w:abstractNumId w:val="10"/>
  </w:num>
  <w:num w:numId="44" w16cid:durableId="774253311">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IT"/>
    <w:docVar w:name="dvnumam" w:val="88"/>
    <w:docVar w:name="dvpe" w:val="779.727"/>
    <w:docVar w:name="dvrapporteur" w:val="Relatrice: "/>
    <w:docVar w:name="dvstar" w:val="***I"/>
    <w:docVar w:name="dvtitre" w:val="Risoluzione legislativa del Parlamento europeo del XX maggio 2026 sulla proposta di regolamento del Parlamento europeo e del Consiglio che affronta gli effetti negativi sul commercio dovuti alla sovraccapacità globale nel mercato siderurgico dell'Unione(COM(2025)0726 – C10-0245/2025 – 2025/0726(COD))"/>
  </w:docVars>
  <w:rsids>
    <w:rsidRoot w:val="00452575"/>
    <w:rsid w:val="00002272"/>
    <w:rsid w:val="000122F4"/>
    <w:rsid w:val="00064002"/>
    <w:rsid w:val="000677B9"/>
    <w:rsid w:val="000831BA"/>
    <w:rsid w:val="000A42CC"/>
    <w:rsid w:val="000A4990"/>
    <w:rsid w:val="000E7DD9"/>
    <w:rsid w:val="0010095E"/>
    <w:rsid w:val="00114498"/>
    <w:rsid w:val="00125B37"/>
    <w:rsid w:val="00187494"/>
    <w:rsid w:val="001F32AE"/>
    <w:rsid w:val="00203680"/>
    <w:rsid w:val="00205913"/>
    <w:rsid w:val="002749AD"/>
    <w:rsid w:val="002767FF"/>
    <w:rsid w:val="002B18FE"/>
    <w:rsid w:val="002B5493"/>
    <w:rsid w:val="00336205"/>
    <w:rsid w:val="00343214"/>
    <w:rsid w:val="00361C00"/>
    <w:rsid w:val="00395FA1"/>
    <w:rsid w:val="003B67D4"/>
    <w:rsid w:val="003B6818"/>
    <w:rsid w:val="003E15D4"/>
    <w:rsid w:val="00411CCE"/>
    <w:rsid w:val="0041666E"/>
    <w:rsid w:val="00421060"/>
    <w:rsid w:val="004430D1"/>
    <w:rsid w:val="00452575"/>
    <w:rsid w:val="004618F0"/>
    <w:rsid w:val="00471C19"/>
    <w:rsid w:val="004867E3"/>
    <w:rsid w:val="00494A28"/>
    <w:rsid w:val="004B3736"/>
    <w:rsid w:val="004C0004"/>
    <w:rsid w:val="004C5D52"/>
    <w:rsid w:val="0050519A"/>
    <w:rsid w:val="005072A1"/>
    <w:rsid w:val="00514517"/>
    <w:rsid w:val="00545827"/>
    <w:rsid w:val="00560270"/>
    <w:rsid w:val="005B0E9A"/>
    <w:rsid w:val="005C2568"/>
    <w:rsid w:val="005C4FE0"/>
    <w:rsid w:val="005D632E"/>
    <w:rsid w:val="005F1B17"/>
    <w:rsid w:val="006037C0"/>
    <w:rsid w:val="006631B6"/>
    <w:rsid w:val="00680577"/>
    <w:rsid w:val="006F74FA"/>
    <w:rsid w:val="00731ADD"/>
    <w:rsid w:val="00734777"/>
    <w:rsid w:val="00747932"/>
    <w:rsid w:val="00751A4A"/>
    <w:rsid w:val="00756632"/>
    <w:rsid w:val="00762C74"/>
    <w:rsid w:val="007769F1"/>
    <w:rsid w:val="00786EC0"/>
    <w:rsid w:val="007947E7"/>
    <w:rsid w:val="007C23A1"/>
    <w:rsid w:val="007D1690"/>
    <w:rsid w:val="007E22AD"/>
    <w:rsid w:val="00817416"/>
    <w:rsid w:val="00842779"/>
    <w:rsid w:val="00865F67"/>
    <w:rsid w:val="00881A7B"/>
    <w:rsid w:val="008840E5"/>
    <w:rsid w:val="00887B3E"/>
    <w:rsid w:val="008C2AC6"/>
    <w:rsid w:val="008C6064"/>
    <w:rsid w:val="00930C23"/>
    <w:rsid w:val="0093193B"/>
    <w:rsid w:val="009438EA"/>
    <w:rsid w:val="009509D8"/>
    <w:rsid w:val="00950B64"/>
    <w:rsid w:val="00972A89"/>
    <w:rsid w:val="00981893"/>
    <w:rsid w:val="009972BE"/>
    <w:rsid w:val="009D0DE5"/>
    <w:rsid w:val="009E5A68"/>
    <w:rsid w:val="00A10810"/>
    <w:rsid w:val="00A1687D"/>
    <w:rsid w:val="00A43E52"/>
    <w:rsid w:val="00A4678D"/>
    <w:rsid w:val="00A778C7"/>
    <w:rsid w:val="00AB441E"/>
    <w:rsid w:val="00AB6293"/>
    <w:rsid w:val="00AE0928"/>
    <w:rsid w:val="00AF3B82"/>
    <w:rsid w:val="00B12E95"/>
    <w:rsid w:val="00B22876"/>
    <w:rsid w:val="00B558F0"/>
    <w:rsid w:val="00B64F0F"/>
    <w:rsid w:val="00B74D68"/>
    <w:rsid w:val="00BD48FE"/>
    <w:rsid w:val="00BD53CC"/>
    <w:rsid w:val="00BD7BD8"/>
    <w:rsid w:val="00BE6ADC"/>
    <w:rsid w:val="00C05BFE"/>
    <w:rsid w:val="00C23CD4"/>
    <w:rsid w:val="00C61C0C"/>
    <w:rsid w:val="00C941CB"/>
    <w:rsid w:val="00CC2357"/>
    <w:rsid w:val="00CF071A"/>
    <w:rsid w:val="00D0179C"/>
    <w:rsid w:val="00D058B8"/>
    <w:rsid w:val="00D2146E"/>
    <w:rsid w:val="00D429E4"/>
    <w:rsid w:val="00D56C11"/>
    <w:rsid w:val="00D834A0"/>
    <w:rsid w:val="00D85621"/>
    <w:rsid w:val="00D872DF"/>
    <w:rsid w:val="00D91E21"/>
    <w:rsid w:val="00DA7FCD"/>
    <w:rsid w:val="00E045ED"/>
    <w:rsid w:val="00E365E1"/>
    <w:rsid w:val="00E713B5"/>
    <w:rsid w:val="00E820A4"/>
    <w:rsid w:val="00EB006A"/>
    <w:rsid w:val="00EB4772"/>
    <w:rsid w:val="00ED169E"/>
    <w:rsid w:val="00ED4235"/>
    <w:rsid w:val="00F04346"/>
    <w:rsid w:val="00F075DC"/>
    <w:rsid w:val="00F149E9"/>
    <w:rsid w:val="00F5134D"/>
    <w:rsid w:val="00F51D75"/>
    <w:rsid w:val="00F74202"/>
    <w:rsid w:val="00F87713"/>
    <w:rsid w:val="00FA34A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0B8BF"/>
  <w15:chartTrackingRefBased/>
  <w15:docId w15:val="{5E096B57-9389-4F7F-BB8A-B70887DF2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3680"/>
    <w:rPr>
      <w:b/>
      <w:kern w:val="28"/>
      <w:sz w:val="28"/>
      <w:lang w:val="fr-FR" w:eastAsia="fr-FR"/>
    </w:rPr>
  </w:style>
  <w:style w:type="character" w:customStyle="1" w:styleId="Heading2Char">
    <w:name w:val="Heading 2 Char"/>
    <w:basedOn w:val="DefaultParagraphFont"/>
    <w:link w:val="Heading2"/>
    <w:semiHidden/>
    <w:rsid w:val="00203680"/>
    <w:rPr>
      <w:sz w:val="24"/>
      <w:lang w:val="fr-FR" w:eastAsia="fr-FR"/>
    </w:rPr>
  </w:style>
  <w:style w:type="character" w:customStyle="1" w:styleId="Heading3Char">
    <w:name w:val="Heading 3 Char"/>
    <w:basedOn w:val="DefaultParagraphFont"/>
    <w:link w:val="Heading3"/>
    <w:semiHidden/>
    <w:rsid w:val="00203680"/>
    <w:rPr>
      <w:rFonts w:ascii="Arial" w:hAnsi="Arial"/>
      <w:sz w:val="24"/>
      <w:lang w:val="fr-FR" w:eastAsia="fr-FR"/>
    </w:rPr>
  </w:style>
  <w:style w:type="character" w:customStyle="1" w:styleId="Heading4Char">
    <w:name w:val="Heading 4 Char"/>
    <w:basedOn w:val="DefaultParagraphFont"/>
    <w:link w:val="Heading4"/>
    <w:semiHidden/>
    <w:rsid w:val="00203680"/>
    <w:rPr>
      <w:sz w:val="24"/>
      <w:lang w:val="en-US" w:eastAsia="fr-FR"/>
    </w:rPr>
  </w:style>
  <w:style w:type="character" w:customStyle="1" w:styleId="Heading5Char">
    <w:name w:val="Heading 5 Char"/>
    <w:basedOn w:val="DefaultParagraphFont"/>
    <w:link w:val="Heading5"/>
    <w:semiHidden/>
    <w:rsid w:val="00203680"/>
    <w:rPr>
      <w:sz w:val="24"/>
      <w:lang w:val="en-US" w:eastAsia="fr-FR"/>
    </w:rPr>
  </w:style>
  <w:style w:type="character" w:customStyle="1" w:styleId="Heading6Char">
    <w:name w:val="Heading 6 Char"/>
    <w:basedOn w:val="DefaultParagraphFont"/>
    <w:link w:val="Heading6"/>
    <w:semiHidden/>
    <w:rsid w:val="00203680"/>
    <w:rPr>
      <w:i/>
      <w:sz w:val="22"/>
      <w:lang w:val="it-IT"/>
    </w:rPr>
  </w:style>
  <w:style w:type="character" w:customStyle="1" w:styleId="Heading7Char">
    <w:name w:val="Heading 7 Char"/>
    <w:basedOn w:val="DefaultParagraphFont"/>
    <w:link w:val="Heading7"/>
    <w:semiHidden/>
    <w:rsid w:val="00203680"/>
    <w:rPr>
      <w:rFonts w:ascii="Arial" w:hAnsi="Arial"/>
      <w:sz w:val="24"/>
      <w:lang w:val="it-IT"/>
    </w:rPr>
  </w:style>
  <w:style w:type="character" w:customStyle="1" w:styleId="Heading8Char">
    <w:name w:val="Heading 8 Char"/>
    <w:basedOn w:val="DefaultParagraphFont"/>
    <w:link w:val="Heading8"/>
    <w:semiHidden/>
    <w:rsid w:val="00203680"/>
    <w:rPr>
      <w:rFonts w:ascii="Arial" w:hAnsi="Arial"/>
      <w:i/>
      <w:sz w:val="24"/>
      <w:lang w:val="it-IT"/>
    </w:rPr>
  </w:style>
  <w:style w:type="character" w:customStyle="1" w:styleId="Heading9Char">
    <w:name w:val="Heading 9 Char"/>
    <w:basedOn w:val="DefaultParagraphFont"/>
    <w:link w:val="Heading9"/>
    <w:semiHidden/>
    <w:rsid w:val="00203680"/>
    <w:rPr>
      <w:rFonts w:ascii="Arial" w:hAnsi="Arial"/>
      <w:b/>
      <w:i/>
      <w:sz w:val="18"/>
      <w:lang w:val="it-IT"/>
    </w:rPr>
  </w:style>
  <w:style w:type="paragraph" w:styleId="TOCHeading">
    <w:name w:val="TOC Heading"/>
    <w:basedOn w:val="Normal"/>
    <w:next w:val="Normal"/>
    <w:unhideWhenUsed/>
    <w:qFormat/>
    <w:rsid w:val="00203680"/>
    <w:pPr>
      <w:widowControl/>
      <w:spacing w:after="240"/>
    </w:pPr>
    <w:rPr>
      <w:lang w:val="en-GB"/>
    </w:rPr>
  </w:style>
  <w:style w:type="paragraph" w:customStyle="1" w:styleId="EPFooter2">
    <w:name w:val="EPFooter2"/>
    <w:basedOn w:val="Normal"/>
    <w:next w:val="Normal"/>
    <w:rsid w:val="002036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3680"/>
    <w:pPr>
      <w:keepNext/>
      <w:spacing w:after="240"/>
      <w:jc w:val="right"/>
    </w:pPr>
    <w:rPr>
      <w:rFonts w:ascii="Arial" w:hAnsi="Arial"/>
      <w:b/>
    </w:rPr>
  </w:style>
  <w:style w:type="paragraph" w:customStyle="1" w:styleId="Normal6a">
    <w:name w:val="Normal6a"/>
    <w:basedOn w:val="Normal"/>
    <w:rsid w:val="00203680"/>
    <w:pPr>
      <w:spacing w:after="120"/>
    </w:pPr>
  </w:style>
  <w:style w:type="paragraph" w:customStyle="1" w:styleId="PageHeading">
    <w:name w:val="PageHeading"/>
    <w:basedOn w:val="Normal"/>
    <w:qFormat/>
    <w:rsid w:val="00203680"/>
    <w:pPr>
      <w:keepNext/>
      <w:spacing w:after="480"/>
      <w:jc w:val="center"/>
    </w:pPr>
    <w:rPr>
      <w:rFonts w:ascii="Arial" w:hAnsi="Arial" w:cs="Arial"/>
      <w:b/>
    </w:rPr>
  </w:style>
  <w:style w:type="paragraph" w:customStyle="1" w:styleId="NormalBold">
    <w:name w:val="NormalBold"/>
    <w:basedOn w:val="Normal"/>
    <w:link w:val="NormalBoldChar"/>
    <w:rsid w:val="00203680"/>
    <w:rPr>
      <w:b/>
    </w:rPr>
  </w:style>
  <w:style w:type="paragraph" w:customStyle="1" w:styleId="NormalBold12a">
    <w:name w:val="NormalBold12a"/>
    <w:basedOn w:val="Normal"/>
    <w:rsid w:val="00203680"/>
    <w:pPr>
      <w:spacing w:after="240"/>
    </w:pPr>
    <w:rPr>
      <w:b/>
    </w:rPr>
  </w:style>
  <w:style w:type="paragraph" w:customStyle="1" w:styleId="AmJustText">
    <w:name w:val="AmJustText"/>
    <w:basedOn w:val="Normal"/>
    <w:rsid w:val="00203680"/>
    <w:pPr>
      <w:spacing w:after="240"/>
    </w:pPr>
    <w:rPr>
      <w:i/>
    </w:rPr>
  </w:style>
  <w:style w:type="paragraph" w:customStyle="1" w:styleId="NormalHanging12a">
    <w:name w:val="NormalHanging12a"/>
    <w:basedOn w:val="Normal"/>
    <w:rsid w:val="00203680"/>
    <w:pPr>
      <w:spacing w:after="240"/>
      <w:ind w:left="567" w:hanging="567"/>
    </w:pPr>
  </w:style>
  <w:style w:type="paragraph" w:customStyle="1" w:styleId="CoverNormal24a">
    <w:name w:val="CoverNormal24a"/>
    <w:basedOn w:val="Normal"/>
    <w:rsid w:val="00203680"/>
    <w:pPr>
      <w:spacing w:after="480"/>
      <w:ind w:left="1417"/>
    </w:pPr>
  </w:style>
  <w:style w:type="paragraph" w:customStyle="1" w:styleId="CoverNormal">
    <w:name w:val="CoverNormal"/>
    <w:basedOn w:val="Normal"/>
    <w:rsid w:val="00203680"/>
    <w:pPr>
      <w:ind w:left="1418"/>
    </w:pPr>
  </w:style>
  <w:style w:type="paragraph" w:customStyle="1" w:styleId="AmCrossRef">
    <w:name w:val="AmCrossRef"/>
    <w:basedOn w:val="Normal"/>
    <w:rsid w:val="00203680"/>
    <w:pPr>
      <w:spacing w:before="240" w:after="240"/>
      <w:jc w:val="center"/>
    </w:pPr>
    <w:rPr>
      <w:i/>
    </w:rPr>
  </w:style>
  <w:style w:type="paragraph" w:customStyle="1" w:styleId="AmJustTitle">
    <w:name w:val="AmJustTitle"/>
    <w:basedOn w:val="Normal"/>
    <w:next w:val="AmJustText"/>
    <w:rsid w:val="00203680"/>
    <w:pPr>
      <w:keepNext/>
      <w:spacing w:before="240" w:after="240"/>
      <w:jc w:val="center"/>
    </w:pPr>
    <w:rPr>
      <w:i/>
    </w:rPr>
  </w:style>
  <w:style w:type="paragraph" w:customStyle="1" w:styleId="CoverReference">
    <w:name w:val="CoverReference"/>
    <w:basedOn w:val="Normal"/>
    <w:rsid w:val="00203680"/>
    <w:pPr>
      <w:spacing w:before="1080"/>
      <w:jc w:val="right"/>
    </w:pPr>
    <w:rPr>
      <w:rFonts w:ascii="Arial" w:hAnsi="Arial" w:cs="Arial"/>
      <w:b/>
    </w:rPr>
  </w:style>
  <w:style w:type="paragraph" w:customStyle="1" w:styleId="CoverDocType">
    <w:name w:val="CoverDocType"/>
    <w:basedOn w:val="Normal"/>
    <w:rsid w:val="00203680"/>
    <w:pPr>
      <w:ind w:left="1418"/>
    </w:pPr>
    <w:rPr>
      <w:rFonts w:ascii="Arial" w:hAnsi="Arial"/>
      <w:b/>
      <w:sz w:val="48"/>
    </w:rPr>
  </w:style>
  <w:style w:type="paragraph" w:customStyle="1" w:styleId="CoverDocType24a">
    <w:name w:val="CoverDocType24a"/>
    <w:basedOn w:val="Normal"/>
    <w:rsid w:val="00203680"/>
    <w:pPr>
      <w:spacing w:after="480"/>
      <w:ind w:left="1418"/>
    </w:pPr>
    <w:rPr>
      <w:rFonts w:ascii="Arial" w:hAnsi="Arial"/>
      <w:b/>
      <w:sz w:val="48"/>
    </w:rPr>
  </w:style>
  <w:style w:type="paragraph" w:customStyle="1" w:styleId="CoverDate">
    <w:name w:val="CoverDate"/>
    <w:basedOn w:val="Normal"/>
    <w:rsid w:val="00203680"/>
    <w:pPr>
      <w:spacing w:before="240" w:after="1200"/>
    </w:pPr>
  </w:style>
  <w:style w:type="paragraph" w:styleId="Header">
    <w:name w:val="header"/>
    <w:basedOn w:val="Normal"/>
    <w:link w:val="HeaderChar"/>
    <w:rsid w:val="00203680"/>
    <w:pPr>
      <w:tabs>
        <w:tab w:val="center" w:pos="4513"/>
        <w:tab w:val="right" w:pos="9026"/>
      </w:tabs>
    </w:pPr>
  </w:style>
  <w:style w:type="character" w:customStyle="1" w:styleId="HeaderChar">
    <w:name w:val="Header Char"/>
    <w:basedOn w:val="DefaultParagraphFont"/>
    <w:link w:val="Header"/>
    <w:rsid w:val="00203680"/>
    <w:rPr>
      <w:sz w:val="24"/>
      <w:lang w:val="it-IT"/>
    </w:rPr>
  </w:style>
  <w:style w:type="paragraph" w:customStyle="1" w:styleId="AmOrLang">
    <w:name w:val="AmOrLang"/>
    <w:basedOn w:val="Normal"/>
    <w:rsid w:val="00203680"/>
    <w:pPr>
      <w:spacing w:before="240" w:after="240"/>
      <w:jc w:val="right"/>
    </w:pPr>
  </w:style>
  <w:style w:type="paragraph" w:customStyle="1" w:styleId="AmColumnHeading">
    <w:name w:val="AmColumnHeading"/>
    <w:basedOn w:val="Normal"/>
    <w:rsid w:val="00203680"/>
    <w:pPr>
      <w:spacing w:after="240"/>
      <w:jc w:val="center"/>
    </w:pPr>
    <w:rPr>
      <w:i/>
    </w:rPr>
  </w:style>
  <w:style w:type="paragraph" w:customStyle="1" w:styleId="AmNumberTabs">
    <w:name w:val="AmNumberTabs"/>
    <w:basedOn w:val="Normal"/>
    <w:rsid w:val="002036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03680"/>
    <w:pPr>
      <w:spacing w:before="240"/>
    </w:pPr>
    <w:rPr>
      <w:b/>
    </w:rPr>
  </w:style>
  <w:style w:type="paragraph" w:customStyle="1" w:styleId="EPBody">
    <w:name w:val="EPBody"/>
    <w:basedOn w:val="Normal"/>
    <w:rsid w:val="00203680"/>
    <w:pPr>
      <w:jc w:val="center"/>
    </w:pPr>
    <w:rPr>
      <w:rFonts w:ascii="Arial" w:hAnsi="Arial" w:cs="Arial"/>
      <w:i/>
      <w:sz w:val="22"/>
      <w:szCs w:val="22"/>
    </w:rPr>
  </w:style>
  <w:style w:type="paragraph" w:customStyle="1" w:styleId="EPFooter">
    <w:name w:val="EPFooter"/>
    <w:basedOn w:val="Normal"/>
    <w:rsid w:val="00203680"/>
    <w:pPr>
      <w:tabs>
        <w:tab w:val="center" w:pos="4535"/>
        <w:tab w:val="right" w:pos="9071"/>
      </w:tabs>
      <w:spacing w:before="240" w:after="240"/>
    </w:pPr>
    <w:rPr>
      <w:color w:val="010000"/>
      <w:sz w:val="22"/>
    </w:rPr>
  </w:style>
  <w:style w:type="paragraph" w:customStyle="1" w:styleId="EPComma">
    <w:name w:val="EPComma"/>
    <w:basedOn w:val="Normal"/>
    <w:rsid w:val="00203680"/>
    <w:pPr>
      <w:spacing w:before="480" w:after="240"/>
    </w:pPr>
  </w:style>
  <w:style w:type="paragraph" w:customStyle="1" w:styleId="Lgendesigne">
    <w:name w:val="Légende signe"/>
    <w:basedOn w:val="Normal"/>
    <w:rsid w:val="00203680"/>
    <w:pPr>
      <w:tabs>
        <w:tab w:val="right" w:pos="454"/>
        <w:tab w:val="left" w:pos="737"/>
      </w:tabs>
      <w:ind w:left="737" w:hanging="737"/>
    </w:pPr>
    <w:rPr>
      <w:snapToGrid w:val="0"/>
      <w:sz w:val="18"/>
      <w:lang w:eastAsia="en-US"/>
    </w:rPr>
  </w:style>
  <w:style w:type="paragraph" w:customStyle="1" w:styleId="Lgendetitre">
    <w:name w:val="Légende titre"/>
    <w:basedOn w:val="Normal"/>
    <w:rsid w:val="00203680"/>
    <w:pPr>
      <w:spacing w:before="240" w:after="240"/>
    </w:pPr>
    <w:rPr>
      <w:b/>
      <w:i/>
      <w:snapToGrid w:val="0"/>
      <w:lang w:eastAsia="en-US"/>
    </w:rPr>
  </w:style>
  <w:style w:type="paragraph" w:customStyle="1" w:styleId="Lgendestandard">
    <w:name w:val="Légende standard"/>
    <w:basedOn w:val="Normal"/>
    <w:rsid w:val="00203680"/>
    <w:rPr>
      <w:sz w:val="18"/>
    </w:rPr>
  </w:style>
  <w:style w:type="paragraph" w:customStyle="1" w:styleId="Default">
    <w:name w:val="Default"/>
    <w:rsid w:val="00203680"/>
    <w:pPr>
      <w:autoSpaceDE w:val="0"/>
      <w:autoSpaceDN w:val="0"/>
      <w:adjustRightInd w:val="0"/>
    </w:pPr>
    <w:rPr>
      <w:color w:val="000000"/>
      <w:sz w:val="24"/>
      <w:szCs w:val="24"/>
      <w:lang w:val="it-IT"/>
    </w:rPr>
  </w:style>
  <w:style w:type="character" w:customStyle="1" w:styleId="Normal6Char">
    <w:name w:val="Normal6 Char"/>
    <w:basedOn w:val="DefaultParagraphFont"/>
    <w:link w:val="Normal6"/>
    <w:locked/>
    <w:rsid w:val="00203680"/>
    <w:rPr>
      <w:sz w:val="24"/>
      <w:lang w:val="it-IT"/>
    </w:rPr>
  </w:style>
  <w:style w:type="paragraph" w:customStyle="1" w:styleId="Normal6">
    <w:name w:val="Normal6"/>
    <w:basedOn w:val="Normal"/>
    <w:link w:val="Normal6Char"/>
    <w:rsid w:val="00203680"/>
    <w:pPr>
      <w:spacing w:after="120"/>
    </w:pPr>
  </w:style>
  <w:style w:type="character" w:customStyle="1" w:styleId="NormalBoldChar">
    <w:name w:val="NormalBold Char"/>
    <w:basedOn w:val="DefaultParagraphFont"/>
    <w:link w:val="NormalBold"/>
    <w:locked/>
    <w:rsid w:val="00203680"/>
    <w:rPr>
      <w:b/>
      <w:sz w:val="24"/>
      <w:lang w:val="it-IT"/>
    </w:rPr>
  </w:style>
  <w:style w:type="paragraph" w:customStyle="1" w:styleId="ColumnHeading">
    <w:name w:val="ColumnHeading"/>
    <w:basedOn w:val="Normal"/>
    <w:rsid w:val="00203680"/>
    <w:pPr>
      <w:spacing w:after="240"/>
      <w:jc w:val="center"/>
    </w:pPr>
    <w:rPr>
      <w:i/>
    </w:rPr>
  </w:style>
  <w:style w:type="paragraph" w:customStyle="1" w:styleId="AMNumberTabs0">
    <w:name w:val="AMNumberTabs"/>
    <w:basedOn w:val="Normal"/>
    <w:rsid w:val="002036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03680"/>
    <w:pPr>
      <w:jc w:val="right"/>
    </w:pPr>
    <w:rPr>
      <w:lang w:val="it-IT"/>
    </w:rPr>
  </w:style>
  <w:style w:type="paragraph" w:styleId="Footer">
    <w:name w:val="footer"/>
    <w:basedOn w:val="Normal"/>
    <w:link w:val="FooterChar"/>
    <w:rsid w:val="00203680"/>
    <w:pPr>
      <w:tabs>
        <w:tab w:val="center" w:pos="4513"/>
        <w:tab w:val="right" w:pos="9026"/>
      </w:tabs>
    </w:pPr>
  </w:style>
  <w:style w:type="character" w:customStyle="1" w:styleId="FooterChar">
    <w:name w:val="Footer Char"/>
    <w:basedOn w:val="DefaultParagraphFont"/>
    <w:link w:val="Footer"/>
    <w:rsid w:val="00203680"/>
    <w:rPr>
      <w:sz w:val="24"/>
      <w:lang w:val="it-IT"/>
    </w:rPr>
  </w:style>
  <w:style w:type="character" w:styleId="Hyperlink">
    <w:name w:val="Hyperlink"/>
    <w:basedOn w:val="DefaultParagraphFont"/>
    <w:uiPriority w:val="99"/>
    <w:unhideWhenUsed/>
    <w:rsid w:val="00203680"/>
    <w:rPr>
      <w:color w:val="467886"/>
      <w:u w:val="single"/>
    </w:rPr>
  </w:style>
  <w:style w:type="paragraph" w:styleId="Revision">
    <w:name w:val="Revision"/>
    <w:hidden/>
    <w:uiPriority w:val="99"/>
    <w:semiHidden/>
    <w:rsid w:val="00203680"/>
    <w:rPr>
      <w:sz w:val="24"/>
      <w:lang w:val="it-IT"/>
    </w:rPr>
  </w:style>
  <w:style w:type="character" w:styleId="CommentReference">
    <w:name w:val="annotation reference"/>
    <w:basedOn w:val="DefaultParagraphFont"/>
    <w:rsid w:val="00203680"/>
    <w:rPr>
      <w:sz w:val="16"/>
      <w:szCs w:val="16"/>
    </w:rPr>
  </w:style>
  <w:style w:type="paragraph" w:styleId="CommentText">
    <w:name w:val="annotation text"/>
    <w:basedOn w:val="Normal"/>
    <w:link w:val="CommentTextChar"/>
    <w:rsid w:val="00203680"/>
    <w:rPr>
      <w:sz w:val="20"/>
    </w:rPr>
  </w:style>
  <w:style w:type="character" w:customStyle="1" w:styleId="CommentTextChar">
    <w:name w:val="Comment Text Char"/>
    <w:basedOn w:val="DefaultParagraphFont"/>
    <w:link w:val="CommentText"/>
    <w:rsid w:val="00203680"/>
    <w:rPr>
      <w:lang w:val="it-IT"/>
    </w:rPr>
  </w:style>
  <w:style w:type="paragraph" w:styleId="CommentSubject">
    <w:name w:val="annotation subject"/>
    <w:basedOn w:val="CommentText"/>
    <w:next w:val="CommentText"/>
    <w:link w:val="CommentSubjectChar"/>
    <w:unhideWhenUsed/>
    <w:rsid w:val="00203680"/>
    <w:rPr>
      <w:b/>
      <w:bCs/>
    </w:rPr>
  </w:style>
  <w:style w:type="character" w:customStyle="1" w:styleId="CommentSubjectChar">
    <w:name w:val="Comment Subject Char"/>
    <w:basedOn w:val="CommentTextChar"/>
    <w:link w:val="CommentSubject"/>
    <w:rsid w:val="00203680"/>
    <w:rPr>
      <w:b/>
      <w:bCs/>
      <w:lang w:val="it-IT"/>
    </w:rPr>
  </w:style>
  <w:style w:type="character" w:styleId="UnresolvedMention">
    <w:name w:val="Unresolved Mention"/>
    <w:basedOn w:val="DefaultParagraphFont"/>
    <w:uiPriority w:val="99"/>
    <w:semiHidden/>
    <w:unhideWhenUsed/>
    <w:rsid w:val="00203680"/>
    <w:rPr>
      <w:color w:val="605E5C"/>
      <w:shd w:val="clear" w:color="auto" w:fill="E1DFDD"/>
    </w:rPr>
  </w:style>
  <w:style w:type="character" w:styleId="Emphasis">
    <w:name w:val="Emphasis"/>
    <w:basedOn w:val="DefaultParagraphFont"/>
    <w:uiPriority w:val="20"/>
    <w:qFormat/>
    <w:rsid w:val="00203680"/>
    <w:rPr>
      <w:i/>
      <w:iCs/>
    </w:rPr>
  </w:style>
  <w:style w:type="paragraph" w:styleId="ListParagraph">
    <w:name w:val="List Paragraph"/>
    <w:basedOn w:val="Normal"/>
    <w:uiPriority w:val="1"/>
    <w:qFormat/>
    <w:rsid w:val="00203680"/>
    <w:pPr>
      <w:ind w:left="720"/>
      <w:contextualSpacing/>
    </w:pPr>
  </w:style>
  <w:style w:type="paragraph" w:styleId="BodyText">
    <w:name w:val="Body Text"/>
    <w:basedOn w:val="Normal"/>
    <w:link w:val="BodyTextChar"/>
    <w:uiPriority w:val="1"/>
    <w:unhideWhenUsed/>
    <w:qFormat/>
    <w:rsid w:val="00203680"/>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203680"/>
    <w:rPr>
      <w:sz w:val="24"/>
      <w:szCs w:val="24"/>
      <w:lang w:val="it-IT" w:eastAsia="en-US"/>
    </w:rPr>
  </w:style>
  <w:style w:type="paragraph" w:customStyle="1" w:styleId="Normal12a">
    <w:name w:val="Normal12a"/>
    <w:basedOn w:val="Normal"/>
    <w:rsid w:val="00203680"/>
    <w:pPr>
      <w:spacing w:after="240"/>
    </w:pPr>
  </w:style>
  <w:style w:type="paragraph" w:customStyle="1" w:styleId="PageHeadingNotTOC">
    <w:name w:val="PageHeadingNotTOC"/>
    <w:basedOn w:val="Normal"/>
    <w:rsid w:val="00203680"/>
    <w:pPr>
      <w:keepNext/>
      <w:spacing w:after="480"/>
      <w:jc w:val="center"/>
    </w:pPr>
    <w:rPr>
      <w:rFonts w:ascii="Arial" w:hAnsi="Arial" w:cs="Arial"/>
      <w:b/>
    </w:rPr>
  </w:style>
  <w:style w:type="paragraph" w:customStyle="1" w:styleId="AmHeadingPA">
    <w:name w:val="AmHeadingPA"/>
    <w:basedOn w:val="Normal"/>
    <w:next w:val="Normal"/>
    <w:rsid w:val="00203680"/>
    <w:pPr>
      <w:spacing w:before="480" w:after="240"/>
      <w:jc w:val="center"/>
    </w:pPr>
    <w:rPr>
      <w:rFonts w:ascii="Arial" w:hAnsi="Arial"/>
      <w:b/>
      <w:caps/>
      <w:snapToGrid w:val="0"/>
      <w:szCs w:val="24"/>
      <w:lang w:eastAsia="en-US"/>
    </w:rPr>
  </w:style>
  <w:style w:type="paragraph" w:customStyle="1" w:styleId="Normal24a">
    <w:name w:val="Normal24a"/>
    <w:basedOn w:val="Normal"/>
    <w:rsid w:val="00203680"/>
    <w:pPr>
      <w:spacing w:after="480"/>
    </w:pPr>
    <w:rPr>
      <w:szCs w:val="24"/>
    </w:rPr>
  </w:style>
  <w:style w:type="paragraph" w:customStyle="1" w:styleId="NormalBoldCenter">
    <w:name w:val="NormalBoldCenter"/>
    <w:basedOn w:val="Normal"/>
    <w:rsid w:val="00203680"/>
    <w:pPr>
      <w:jc w:val="center"/>
    </w:pPr>
    <w:rPr>
      <w:b/>
      <w:szCs w:val="24"/>
    </w:rPr>
  </w:style>
  <w:style w:type="paragraph" w:customStyle="1" w:styleId="Footprint12b">
    <w:name w:val="Footprint12b"/>
    <w:basedOn w:val="Normal"/>
    <w:rsid w:val="00203680"/>
    <w:pPr>
      <w:spacing w:before="240"/>
    </w:pPr>
    <w:rPr>
      <w:szCs w:val="24"/>
    </w:rPr>
  </w:style>
  <w:style w:type="paragraph" w:customStyle="1" w:styleId="NormalSingle">
    <w:name w:val="NormalSingle"/>
    <w:basedOn w:val="Normal"/>
    <w:qFormat/>
    <w:rsid w:val="00203680"/>
    <w:rPr>
      <w:szCs w:val="24"/>
    </w:rPr>
  </w:style>
  <w:style w:type="paragraph" w:customStyle="1" w:styleId="RollCallSymbols14pt">
    <w:name w:val="RollCallSymbols14pt"/>
    <w:basedOn w:val="Normal"/>
    <w:rsid w:val="0020368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03680"/>
    <w:pPr>
      <w:tabs>
        <w:tab w:val="center" w:pos="284"/>
        <w:tab w:val="left" w:pos="426"/>
      </w:tabs>
    </w:pPr>
    <w:rPr>
      <w:snapToGrid w:val="0"/>
      <w:lang w:eastAsia="en-US"/>
    </w:rPr>
  </w:style>
  <w:style w:type="paragraph" w:customStyle="1" w:styleId="RollCallVotes">
    <w:name w:val="RollCallVotes"/>
    <w:basedOn w:val="Normal"/>
    <w:rsid w:val="00203680"/>
    <w:pPr>
      <w:spacing w:before="120" w:after="120"/>
      <w:jc w:val="center"/>
    </w:pPr>
    <w:rPr>
      <w:b/>
      <w:bCs/>
      <w:snapToGrid w:val="0"/>
      <w:sz w:val="16"/>
      <w:lang w:eastAsia="en-US"/>
    </w:rPr>
  </w:style>
  <w:style w:type="paragraph" w:customStyle="1" w:styleId="RollCallTable">
    <w:name w:val="RollCallTable"/>
    <w:basedOn w:val="Normal"/>
    <w:rsid w:val="00203680"/>
    <w:pPr>
      <w:spacing w:before="120" w:after="120"/>
    </w:pPr>
    <w:rPr>
      <w:snapToGrid w:val="0"/>
      <w:sz w:val="16"/>
      <w:lang w:eastAsia="en-US"/>
    </w:rPr>
  </w:style>
  <w:style w:type="paragraph" w:customStyle="1" w:styleId="Normal12Hanging">
    <w:name w:val="Normal12Hanging"/>
    <w:basedOn w:val="Normal"/>
    <w:link w:val="CharChar1"/>
    <w:rsid w:val="00FA34A0"/>
    <w:pPr>
      <w:spacing w:after="240"/>
      <w:ind w:left="357" w:hanging="357"/>
    </w:pPr>
    <w:rPr>
      <w:snapToGrid w:val="0"/>
    </w:rPr>
  </w:style>
  <w:style w:type="character" w:customStyle="1" w:styleId="CharChar1">
    <w:name w:val="Char Char1"/>
    <w:link w:val="Normal12Hanging"/>
    <w:locked/>
    <w:rsid w:val="00FA34A0"/>
    <w:rPr>
      <w:snapToGrid w:val="0"/>
      <w:sz w:val="24"/>
      <w:lang w:val="it-IT"/>
    </w:rPr>
  </w:style>
  <w:style w:type="paragraph" w:customStyle="1" w:styleId="FootnoteTextForceStyle">
    <w:name w:val="Footnote Text ForceStyle"/>
    <w:rsid w:val="00205913"/>
    <w:pPr>
      <w:keepLines/>
      <w:spacing w:line="240" w:lineRule="exact"/>
      <w:ind w:left="850" w:hanging="850"/>
    </w:pPr>
    <w:rPr>
      <w:sz w:val="24"/>
      <w:lang w:val="it-IT" w:eastAsia="en-US"/>
    </w:rPr>
  </w:style>
  <w:style w:type="character" w:customStyle="1" w:styleId="Footer2">
    <w:name w:val="Footer2"/>
    <w:rsid w:val="00205913"/>
    <w:rPr>
      <w:rFonts w:ascii="Arial" w:hAnsi="Arial"/>
      <w:b/>
      <w:sz w:val="48"/>
    </w:rPr>
  </w:style>
  <w:style w:type="paragraph" w:customStyle="1" w:styleId="Footer1">
    <w:name w:val="Footer1"/>
    <w:basedOn w:val="Normal"/>
    <w:rsid w:val="00205913"/>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2059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574</Words>
  <Characters>3905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BINKEVICIUTE Aurelija</cp:lastModifiedBy>
  <cp:revision>3</cp:revision>
  <cp:lastPrinted>2004-11-19T15:42:00Z</cp:lastPrinted>
  <dcterms:created xsi:type="dcterms:W3CDTF">2026-07-02T07:53:00Z</dcterms:created>
  <dcterms:modified xsi:type="dcterms:W3CDTF">2026-07-23T10:25:00Z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P10_TA(2026)0170_</vt:lpwstr>
  </property>
  <property fmtid="{D5CDD505-2E9C-101B-9397-08002B2CF9AE}" pid="4" name="&lt;Type&gt;">
    <vt:lpwstr>RR</vt:lpwstr>
  </property>
</Properties>
</file>