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40D2" w14:paraId="43C3AB3F" w14:textId="77777777" w:rsidTr="0010095E">
        <w:trPr>
          <w:trHeight w:hRule="exact" w:val="1418"/>
        </w:trPr>
        <w:tc>
          <w:tcPr>
            <w:tcW w:w="6804" w:type="dxa"/>
            <w:shd w:val="clear" w:color="auto" w:fill="auto"/>
            <w:vAlign w:val="center"/>
          </w:tcPr>
          <w:p w14:paraId="2E6B0677" w14:textId="77777777" w:rsidR="00751A4A" w:rsidRPr="00BF40D2" w:rsidRDefault="00704C79" w:rsidP="0010095E">
            <w:pPr>
              <w:pStyle w:val="EPName"/>
            </w:pPr>
            <w:r w:rsidRPr="00BF40D2">
              <w:t>Europos Parlamentas</w:t>
            </w:r>
          </w:p>
          <w:p w14:paraId="5AE3C64A" w14:textId="77777777" w:rsidR="00751A4A" w:rsidRPr="00BF40D2" w:rsidRDefault="005F1B17" w:rsidP="005F1B17">
            <w:pPr>
              <w:pStyle w:val="EPTerm"/>
              <w:rPr>
                <w:rStyle w:val="HideTWBExt"/>
                <w:noProof w:val="0"/>
                <w:vanish w:val="0"/>
                <w:color w:val="auto"/>
              </w:rPr>
            </w:pPr>
            <w:r w:rsidRPr="00BF40D2">
              <w:t>2024</w:t>
            </w:r>
            <w:r w:rsidR="00817416" w:rsidRPr="00BF40D2">
              <w:t>-202</w:t>
            </w:r>
            <w:r w:rsidRPr="00BF40D2">
              <w:t>9</w:t>
            </w:r>
          </w:p>
        </w:tc>
        <w:tc>
          <w:tcPr>
            <w:tcW w:w="2268" w:type="dxa"/>
            <w:shd w:val="clear" w:color="auto" w:fill="auto"/>
          </w:tcPr>
          <w:p w14:paraId="6F3AF486" w14:textId="77777777" w:rsidR="00751A4A" w:rsidRPr="00BF40D2" w:rsidRDefault="00187494" w:rsidP="0010095E">
            <w:pPr>
              <w:pStyle w:val="EPLogo"/>
            </w:pPr>
            <w:r w:rsidRPr="00BF40D2">
              <w:rPr>
                <w:noProof/>
                <w:lang w:eastAsia="ja-JP"/>
              </w:rPr>
              <w:drawing>
                <wp:inline distT="0" distB="0" distL="0" distR="0" wp14:anchorId="3AE67A61" wp14:editId="36F1AC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8D5F63" w14:textId="77777777" w:rsidR="00D058B8" w:rsidRPr="00BF40D2" w:rsidRDefault="00D058B8" w:rsidP="004C5D52">
      <w:pPr>
        <w:pStyle w:val="LineTop"/>
      </w:pPr>
    </w:p>
    <w:p w14:paraId="7E912816" w14:textId="77777777" w:rsidR="00680577" w:rsidRPr="00BF40D2" w:rsidRDefault="00704C79" w:rsidP="00680577">
      <w:pPr>
        <w:pStyle w:val="EPBodyTA1"/>
      </w:pPr>
      <w:r w:rsidRPr="00BF40D2">
        <w:t>PRIIMTI TEKSTAI</w:t>
      </w:r>
    </w:p>
    <w:p w14:paraId="21BBCD01" w14:textId="77777777" w:rsidR="00D058B8" w:rsidRPr="00BF40D2" w:rsidRDefault="00D058B8" w:rsidP="00D058B8">
      <w:pPr>
        <w:pStyle w:val="LineBottom"/>
      </w:pPr>
    </w:p>
    <w:p w14:paraId="3CB46054" w14:textId="56F0D22B" w:rsidR="00704C79" w:rsidRPr="00BF40D2" w:rsidRDefault="00704C79" w:rsidP="00704C79">
      <w:pPr>
        <w:pStyle w:val="ATHeading1"/>
      </w:pPr>
      <w:bookmarkStart w:id="0" w:name="TANumber"/>
      <w:r w:rsidRPr="00BF40D2">
        <w:t>P10_TA(2026)0</w:t>
      </w:r>
      <w:r w:rsidR="0095307A">
        <w:t>170</w:t>
      </w:r>
      <w:bookmarkEnd w:id="0"/>
    </w:p>
    <w:p w14:paraId="6EE03C7F" w14:textId="77777777" w:rsidR="00704C79" w:rsidRPr="00BF40D2" w:rsidRDefault="00704C79" w:rsidP="00704C79">
      <w:pPr>
        <w:pStyle w:val="ATHeading2"/>
      </w:pPr>
      <w:bookmarkStart w:id="1" w:name="title"/>
      <w:r w:rsidRPr="00BF40D2">
        <w:t>Su prekyba susijusio neigiamo pasaulinių perteklinių pajėgumų poveikio Sąjungos plieno rinkai mažinimas</w:t>
      </w:r>
      <w:bookmarkEnd w:id="1"/>
    </w:p>
    <w:p w14:paraId="2B7DC701" w14:textId="77777777" w:rsidR="00704C79" w:rsidRPr="00BF40D2" w:rsidRDefault="00704C79" w:rsidP="00704C79">
      <w:pPr>
        <w:rPr>
          <w:i/>
          <w:vanish/>
        </w:rPr>
      </w:pPr>
      <w:r w:rsidRPr="00BF40D2">
        <w:rPr>
          <w:i/>
        </w:rPr>
        <w:fldChar w:fldCharType="begin"/>
      </w:r>
      <w:r w:rsidRPr="00BF40D2">
        <w:rPr>
          <w:i/>
        </w:rPr>
        <w:instrText xml:space="preserve"> TC"(</w:instrText>
      </w:r>
      <w:bookmarkStart w:id="2" w:name="DocNumber"/>
      <w:r w:rsidRPr="00BF40D2">
        <w:rPr>
          <w:i/>
        </w:rPr>
        <w:instrText>A10-0012/2026</w:instrText>
      </w:r>
      <w:bookmarkEnd w:id="2"/>
      <w:r w:rsidRPr="00BF40D2">
        <w:rPr>
          <w:i/>
        </w:rPr>
        <w:instrText xml:space="preserve"> - Pranešėja: Karin </w:instrText>
      </w:r>
      <w:proofErr w:type="spellStart"/>
      <w:r w:rsidRPr="00BF40D2">
        <w:rPr>
          <w:i/>
        </w:rPr>
        <w:instrText>Karlsbro</w:instrText>
      </w:r>
      <w:proofErr w:type="spellEnd"/>
      <w:r w:rsidRPr="00BF40D2">
        <w:rPr>
          <w:i/>
        </w:rPr>
        <w:instrText xml:space="preserve">)"\l3 \n&gt; \* MERGEFORMAT </w:instrText>
      </w:r>
      <w:r w:rsidRPr="00BF40D2">
        <w:rPr>
          <w:i/>
        </w:rPr>
        <w:fldChar w:fldCharType="end"/>
      </w:r>
    </w:p>
    <w:p w14:paraId="13483660" w14:textId="77777777" w:rsidR="00704C79" w:rsidRPr="00BF40D2" w:rsidRDefault="00704C79" w:rsidP="00704C79">
      <w:pPr>
        <w:rPr>
          <w:vanish/>
        </w:rPr>
      </w:pPr>
      <w:bookmarkStart w:id="3" w:name="Commission"/>
      <w:r w:rsidRPr="00BF40D2">
        <w:rPr>
          <w:vanish/>
        </w:rPr>
        <w:t>Tarptautinės prekybos komitetas</w:t>
      </w:r>
      <w:bookmarkEnd w:id="3"/>
    </w:p>
    <w:p w14:paraId="545ABF84" w14:textId="77777777" w:rsidR="00704C79" w:rsidRPr="00BF40D2" w:rsidRDefault="00704C79" w:rsidP="00704C79">
      <w:pPr>
        <w:rPr>
          <w:vanish/>
        </w:rPr>
      </w:pPr>
      <w:bookmarkStart w:id="4" w:name="PE"/>
      <w:r w:rsidRPr="00BF40D2">
        <w:rPr>
          <w:vanish/>
        </w:rPr>
        <w:t>PE779.727</w:t>
      </w:r>
      <w:bookmarkEnd w:id="4"/>
    </w:p>
    <w:p w14:paraId="3871FF19" w14:textId="4C1DCB92" w:rsidR="00704C79" w:rsidRPr="00BF40D2" w:rsidRDefault="00704C79" w:rsidP="00704C79">
      <w:pPr>
        <w:pStyle w:val="ATHeading3"/>
      </w:pPr>
      <w:bookmarkStart w:id="5" w:name="Sujet"/>
      <w:r w:rsidRPr="00BF40D2">
        <w:t xml:space="preserve">2026 m. </w:t>
      </w:r>
      <w:r w:rsidR="00936941">
        <w:t>gegužės</w:t>
      </w:r>
      <w:r w:rsidRPr="00BF40D2">
        <w:t xml:space="preserve"> </w:t>
      </w:r>
      <w:r w:rsidR="00D41278">
        <w:t>19</w:t>
      </w:r>
      <w:r w:rsidR="00D41278" w:rsidRPr="00BF40D2">
        <w:t xml:space="preserve"> </w:t>
      </w:r>
      <w:r w:rsidRPr="00BF40D2">
        <w:t>d. Europos Parlamento teisėkūros rezoliucija dėl pasiūlymo dėl Europos Parlamento ir Tarybos reglamento dėl su prekyba susijusio neigiamo pasaulinių perteklinių pajėgumų poveikio Sąjungos plieno rinkai mažinimo</w:t>
      </w:r>
      <w:bookmarkEnd w:id="5"/>
      <w:r w:rsidRPr="00BF40D2">
        <w:t xml:space="preserve"> </w:t>
      </w:r>
      <w:bookmarkStart w:id="6" w:name="References"/>
      <w:r w:rsidRPr="00BF40D2">
        <w:t>(COM(2025)0726 – C10-0245/2025 – 2025/0726(COD))</w:t>
      </w:r>
      <w:bookmarkEnd w:id="6"/>
    </w:p>
    <w:p w14:paraId="50018F70" w14:textId="77777777" w:rsidR="00062CA1" w:rsidRPr="00BF40D2" w:rsidRDefault="00062CA1" w:rsidP="00062CA1">
      <w:pPr>
        <w:pStyle w:val="NormalBold"/>
      </w:pPr>
      <w:r w:rsidRPr="00BF40D2">
        <w:t>(Įprasta teisėkūros procedūra: pirmasis svarstymas)</w:t>
      </w:r>
    </w:p>
    <w:p w14:paraId="66E88D5B" w14:textId="77777777" w:rsidR="00062CA1" w:rsidRPr="00BF40D2" w:rsidRDefault="00062CA1" w:rsidP="00062CA1">
      <w:pPr>
        <w:pStyle w:val="EPComma"/>
      </w:pPr>
      <w:r w:rsidRPr="00BF40D2">
        <w:rPr>
          <w:i/>
        </w:rPr>
        <w:t>Europos Parlamentas</w:t>
      </w:r>
      <w:r w:rsidRPr="00BF40D2">
        <w:t>,</w:t>
      </w:r>
    </w:p>
    <w:p w14:paraId="0283DBD1" w14:textId="77777777" w:rsidR="00062CA1" w:rsidRPr="00BF40D2" w:rsidRDefault="00062CA1" w:rsidP="00062CA1">
      <w:pPr>
        <w:pStyle w:val="NormalHanging12a"/>
      </w:pPr>
      <w:r w:rsidRPr="00BF40D2">
        <w:t>–</w:t>
      </w:r>
      <w:r w:rsidRPr="00BF40D2">
        <w:tab/>
        <w:t>atsižvelgdamas į Komisijos pasiūlymą Europos Parlamentui ir Tarybai (COM(2025)0726),</w:t>
      </w:r>
    </w:p>
    <w:p w14:paraId="179488CA" w14:textId="77777777" w:rsidR="00062CA1" w:rsidRPr="00BF40D2" w:rsidRDefault="00062CA1" w:rsidP="00062CA1">
      <w:pPr>
        <w:pStyle w:val="NormalHanging12a"/>
      </w:pPr>
      <w:r w:rsidRPr="00BF40D2">
        <w:t>–</w:t>
      </w:r>
      <w:r w:rsidRPr="00BF40D2">
        <w:tab/>
        <w:t>atsižvelgdamas į Sutarties dėl Europos Sąjungos veikimo 294 straipsnio 2 dalį ir 207 straipsnio 2 dalį, pagal kurias Komisija pateikė pasiūlymą Parlamentui (C10</w:t>
      </w:r>
      <w:r w:rsidRPr="00BF40D2">
        <w:noBreakHyphen/>
        <w:t>0245/2025),</w:t>
      </w:r>
    </w:p>
    <w:p w14:paraId="38507923" w14:textId="77777777" w:rsidR="00062CA1" w:rsidRDefault="00062CA1" w:rsidP="00062CA1">
      <w:pPr>
        <w:pStyle w:val="NormalHanging12a"/>
      </w:pPr>
      <w:r w:rsidRPr="00BF40D2">
        <w:t>–</w:t>
      </w:r>
      <w:r w:rsidRPr="00BF40D2">
        <w:tab/>
        <w:t>atsižvelgdamas į Sutarties dėl Europos Sąjungos veikimo 294 straipsnio 3 dalį,</w:t>
      </w:r>
    </w:p>
    <w:p w14:paraId="78D35FE0" w14:textId="419E2184" w:rsidR="00936941" w:rsidRPr="00936941" w:rsidRDefault="00936941" w:rsidP="00936941">
      <w:pPr>
        <w:pStyle w:val="NormalHanging12a"/>
      </w:pPr>
      <w:r w:rsidRPr="00936941">
        <w:sym w:font="Symbol" w:char="F02D"/>
      </w:r>
      <w:r w:rsidRPr="00936941">
        <w:tab/>
        <w:t>atsižvelgdamas į preliminarų susitarimą, kurį atsakingas komitetas patvirtino pagal Darbo tvarkos taisyklių 75 straipsnio 4 dalį, ir į 202</w:t>
      </w:r>
      <w:r>
        <w:t>6</w:t>
      </w:r>
      <w:r w:rsidRPr="00936941">
        <w:t xml:space="preserve"> m. </w:t>
      </w:r>
      <w:r>
        <w:t>balandžio</w:t>
      </w:r>
      <w:r w:rsidRPr="00936941">
        <w:t xml:space="preserve"> </w:t>
      </w:r>
      <w:r>
        <w:t>23</w:t>
      </w:r>
      <w:r w:rsidRPr="00936941">
        <w:t xml:space="preserve"> d. laišku Tarybos atstovo prisiimtą įsipareigojimą pritarti Parlamento pozicijai pagal Sutarties dėl Europos Sąjungos veikimo 294 straipsnio 4 dalį,</w:t>
      </w:r>
    </w:p>
    <w:p w14:paraId="024416B3" w14:textId="77777777" w:rsidR="00062CA1" w:rsidRPr="00BF40D2" w:rsidRDefault="00062CA1" w:rsidP="00062CA1">
      <w:pPr>
        <w:pStyle w:val="NormalHanging12a"/>
      </w:pPr>
      <w:r w:rsidRPr="00BF40D2">
        <w:t>–</w:t>
      </w:r>
      <w:r w:rsidRPr="00BF40D2">
        <w:tab/>
        <w:t>atsižvelgdamas į Darbo tvarkos taisyklių 60 straipsnį,</w:t>
      </w:r>
    </w:p>
    <w:p w14:paraId="0927827C" w14:textId="77777777" w:rsidR="00062CA1" w:rsidRPr="00BF40D2" w:rsidRDefault="00062CA1" w:rsidP="00062CA1">
      <w:pPr>
        <w:pStyle w:val="NormalHanging12a"/>
      </w:pPr>
      <w:r w:rsidRPr="00BF40D2">
        <w:t>–</w:t>
      </w:r>
      <w:r w:rsidRPr="00BF40D2">
        <w:tab/>
        <w:t>atsižvelgdamas į Pramonės, mokslinių tyrimų ir energetikos komiteto nuomonę,</w:t>
      </w:r>
    </w:p>
    <w:p w14:paraId="4BC57E07" w14:textId="77777777" w:rsidR="00062CA1" w:rsidRPr="00BF40D2" w:rsidRDefault="00062CA1" w:rsidP="00062CA1">
      <w:pPr>
        <w:pStyle w:val="NormalHanging12a"/>
      </w:pPr>
      <w:r w:rsidRPr="00BF40D2">
        <w:t>–</w:t>
      </w:r>
      <w:r w:rsidRPr="00BF40D2">
        <w:tab/>
        <w:t>atsižvelgdamas į Tarptautinės prekybos komiteto pranešimą (A10-0012/2026),</w:t>
      </w:r>
    </w:p>
    <w:p w14:paraId="7280BF1A" w14:textId="77777777" w:rsidR="00062CA1" w:rsidRDefault="00062CA1" w:rsidP="00062CA1">
      <w:pPr>
        <w:pStyle w:val="NormalHanging12a"/>
      </w:pPr>
      <w:r w:rsidRPr="00BF40D2">
        <w:t>1.</w:t>
      </w:r>
      <w:r w:rsidRPr="00BF40D2">
        <w:tab/>
        <w:t>priima per pirmąjį svarstymą toliau pateiktą poziciją;</w:t>
      </w:r>
    </w:p>
    <w:p w14:paraId="6F1915A5" w14:textId="7A97F07D" w:rsidR="00374307" w:rsidRPr="00BF40D2" w:rsidRDefault="00374307" w:rsidP="00062CA1">
      <w:pPr>
        <w:pStyle w:val="NormalHanging12a"/>
      </w:pPr>
      <w:r>
        <w:t>2</w:t>
      </w:r>
      <w:r w:rsidRPr="00374307">
        <w:t xml:space="preserve">. </w:t>
      </w:r>
      <w:r>
        <w:tab/>
      </w:r>
      <w:r w:rsidR="00D41278">
        <w:t>pritaria</w:t>
      </w:r>
      <w:r w:rsidRPr="00374307">
        <w:t xml:space="preserve"> Parlamento, Tarybos ir Komisijos bendr</w:t>
      </w:r>
      <w:r w:rsidR="00D41278">
        <w:t>am</w:t>
      </w:r>
      <w:r w:rsidRPr="00374307">
        <w:t xml:space="preserve"> pareiškim</w:t>
      </w:r>
      <w:r w:rsidR="00D41278">
        <w:t>ui</w:t>
      </w:r>
      <w:r w:rsidRPr="00374307">
        <w:t>, pridėt</w:t>
      </w:r>
      <w:r w:rsidR="00D41278">
        <w:t>am</w:t>
      </w:r>
      <w:r w:rsidRPr="00374307">
        <w:t xml:space="preserve"> prie šios rezoliucijos, jis bus paskelbtas </w:t>
      </w:r>
      <w:r w:rsidRPr="00A72878">
        <w:rPr>
          <w:i/>
          <w:iCs/>
        </w:rPr>
        <w:t xml:space="preserve">Europos Sąjungos oficialiojo leidinio </w:t>
      </w:r>
      <w:r w:rsidRPr="00374307">
        <w:t>C serijoje;</w:t>
      </w:r>
    </w:p>
    <w:p w14:paraId="503040EE" w14:textId="3C8E6993" w:rsidR="00062CA1" w:rsidRPr="00BF40D2" w:rsidRDefault="00374307" w:rsidP="00062CA1">
      <w:pPr>
        <w:pStyle w:val="NormalHanging12a"/>
      </w:pPr>
      <w:r>
        <w:t>3</w:t>
      </w:r>
      <w:r w:rsidR="00062CA1" w:rsidRPr="00BF40D2">
        <w:t>.</w:t>
      </w:r>
      <w:r w:rsidR="00062CA1" w:rsidRPr="00BF40D2">
        <w:tab/>
        <w:t xml:space="preserve">ragina Komisiją dar kartą perduoti klausimą svarstyti Parlamentui, jei ji savo pasiūlymą </w:t>
      </w:r>
      <w:r w:rsidR="00062CA1" w:rsidRPr="00BF40D2">
        <w:lastRenderedPageBreak/>
        <w:t>pakeičia nauju tekstu, jį keičia iš esmės arba ketina jį keisti iš esmės;</w:t>
      </w:r>
    </w:p>
    <w:p w14:paraId="04E58A7A" w14:textId="2794CBB1" w:rsidR="00062CA1" w:rsidRPr="00BF40D2" w:rsidRDefault="00374307" w:rsidP="00062CA1">
      <w:pPr>
        <w:pStyle w:val="NormalHanging12a"/>
      </w:pPr>
      <w:r>
        <w:t>4</w:t>
      </w:r>
      <w:r w:rsidR="00062CA1" w:rsidRPr="00BF40D2">
        <w:t>.</w:t>
      </w:r>
      <w:r w:rsidR="00062CA1" w:rsidRPr="00BF40D2">
        <w:tab/>
        <w:t>paveda Pirmininkei perduoti Parlamento poziciją Tarybai, Komisijai ir nacionaliniams parlamentams.</w:t>
      </w:r>
    </w:p>
    <w:p w14:paraId="04ACA5E9" w14:textId="77777777" w:rsidR="00DC1ACE" w:rsidRDefault="00DC1ACE" w:rsidP="00062CA1">
      <w:pPr>
        <w:widowControl/>
        <w:sectPr w:rsidR="00DC1ACE" w:rsidSect="00BF40D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87CF7C" w14:textId="6F8AF3F8" w:rsidR="00DC1ACE" w:rsidRPr="000D29B1" w:rsidRDefault="00DC1ACE" w:rsidP="003C3724">
      <w:pPr>
        <w:pStyle w:val="Typedudocument"/>
        <w:spacing w:before="0" w:after="240"/>
        <w:jc w:val="left"/>
        <w:rPr>
          <w:bCs/>
          <w:szCs w:val="24"/>
        </w:rPr>
      </w:pPr>
      <w:r w:rsidRPr="000D29B1">
        <w:rPr>
          <w:bCs/>
          <w:szCs w:val="24"/>
        </w:rPr>
        <w:lastRenderedPageBreak/>
        <w:t>P10_TC1-COD(202</w:t>
      </w:r>
      <w:r>
        <w:rPr>
          <w:bCs/>
          <w:szCs w:val="24"/>
        </w:rPr>
        <w:t>5</w:t>
      </w:r>
      <w:r w:rsidRPr="000D29B1">
        <w:rPr>
          <w:bCs/>
          <w:szCs w:val="24"/>
        </w:rPr>
        <w:t>)0</w:t>
      </w:r>
      <w:r>
        <w:rPr>
          <w:bCs/>
          <w:szCs w:val="24"/>
        </w:rPr>
        <w:t>726</w:t>
      </w:r>
    </w:p>
    <w:p w14:paraId="7693275D" w14:textId="341452FA" w:rsidR="00DC1ACE" w:rsidRDefault="00DC1ACE" w:rsidP="003C3724">
      <w:pPr>
        <w:widowControl/>
        <w:spacing w:after="240"/>
        <w:rPr>
          <w:b/>
          <w:i/>
          <w:iCs/>
        </w:rPr>
      </w:pPr>
      <w:r w:rsidRPr="000D29B1">
        <w:rPr>
          <w:b/>
          <w:bCs/>
          <w:szCs w:val="24"/>
        </w:rPr>
        <w:t xml:space="preserve">Europos Parlamento pozicija, priimta 2026 m. </w:t>
      </w:r>
      <w:r>
        <w:rPr>
          <w:b/>
          <w:bCs/>
          <w:szCs w:val="24"/>
        </w:rPr>
        <w:t>gegužės</w:t>
      </w:r>
      <w:r w:rsidRPr="000D29B1">
        <w:rPr>
          <w:b/>
          <w:bCs/>
          <w:szCs w:val="24"/>
        </w:rPr>
        <w:t xml:space="preserve"> </w:t>
      </w:r>
      <w:r>
        <w:rPr>
          <w:b/>
          <w:bCs/>
          <w:szCs w:val="24"/>
        </w:rPr>
        <w:t>19</w:t>
      </w:r>
      <w:r w:rsidRPr="000D29B1">
        <w:rPr>
          <w:b/>
          <w:bCs/>
          <w:szCs w:val="24"/>
        </w:rPr>
        <w:t xml:space="preserve"> d. per pirmąjį svarstymą, siekiant priimti Europos Parlamento ir Tarybos reglamentą (ES) 2026/... </w:t>
      </w:r>
      <w:r w:rsidRPr="00DC1ACE">
        <w:rPr>
          <w:b/>
        </w:rPr>
        <w:t>dėl su prekyba susijusio neigiamo pasaulinių perteklinių pajėgumų poveikio Sąjungos plieno rinkai mažinimo</w:t>
      </w:r>
      <w:r w:rsidRPr="003C3724">
        <w:rPr>
          <w:b/>
        </w:rPr>
        <w:t>,</w:t>
      </w:r>
      <w:r w:rsidRPr="00DC1ACE">
        <w:rPr>
          <w:b/>
          <w:i/>
          <w:iCs/>
        </w:rPr>
        <w:t xml:space="preserve"> </w:t>
      </w:r>
      <w:r w:rsidRPr="003C3724">
        <w:rPr>
          <w:b/>
        </w:rPr>
        <w:t>kuriuo iš dalies keičiamas Reglamentas (ES) 2020/2170</w:t>
      </w:r>
    </w:p>
    <w:p w14:paraId="5D2BB4BD" w14:textId="7DD50F96" w:rsidR="00DC1ACE" w:rsidRDefault="003C3724" w:rsidP="0045176E">
      <w:pPr>
        <w:spacing w:after="240"/>
        <w:rPr>
          <w:szCs w:val="24"/>
          <w:lang w:eastAsia="en-US"/>
        </w:rPr>
      </w:pPr>
      <w:r w:rsidRPr="00AC73F6">
        <w:rPr>
          <w:i/>
        </w:rPr>
        <w:t xml:space="preserve">(Kadangi Parlamentas ir Taryba pasiekė susitarimą, Parlamento pozicija atitinka galutinį teisės aktą, </w:t>
      </w:r>
      <w:r w:rsidRPr="003C3724">
        <w:rPr>
          <w:i/>
        </w:rPr>
        <w:t>Reglamentą</w:t>
      </w:r>
      <w:r w:rsidRPr="003C3724">
        <w:rPr>
          <w:i/>
        </w:rPr>
        <w:t xml:space="preserve"> (ES) 20</w:t>
      </w:r>
      <w:r w:rsidRPr="003C3724">
        <w:rPr>
          <w:i/>
        </w:rPr>
        <w:t>2</w:t>
      </w:r>
      <w:r w:rsidRPr="003C3724">
        <w:rPr>
          <w:i/>
        </w:rPr>
        <w:t>6/1</w:t>
      </w:r>
      <w:r w:rsidRPr="003C3724">
        <w:rPr>
          <w:i/>
        </w:rPr>
        <w:t>384</w:t>
      </w:r>
      <w:r w:rsidRPr="00B163C4">
        <w:rPr>
          <w:i/>
        </w:rPr>
        <w:t>.)</w:t>
      </w:r>
      <w:bookmarkStart w:id="7" w:name="TextBodyEnd"/>
      <w:bookmarkEnd w:id="7"/>
    </w:p>
    <w:p w14:paraId="72C0E927" w14:textId="77777777" w:rsidR="003C3724" w:rsidRPr="00DC1ACE" w:rsidRDefault="003C3724" w:rsidP="00DC1ACE"/>
    <w:p w14:paraId="6479E918" w14:textId="77777777" w:rsidR="00374307" w:rsidRDefault="00374307" w:rsidP="00DC1ACE">
      <w:pPr>
        <w:widowControl/>
        <w:sectPr w:rsidR="00374307" w:rsidSect="00BF40D2">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25CE01" w14:textId="49D1D0B1" w:rsidR="00DC1ACE" w:rsidRDefault="00374307" w:rsidP="00374307">
      <w:pPr>
        <w:widowControl/>
        <w:spacing w:after="240"/>
        <w:jc w:val="right"/>
      </w:pPr>
      <w:r>
        <w:lastRenderedPageBreak/>
        <w:t>TEISĖKŪROS REZOLIUCIJOS PRIEDAS</w:t>
      </w:r>
    </w:p>
    <w:p w14:paraId="6FACFE73" w14:textId="77777777" w:rsidR="00374307" w:rsidRPr="00AD74A2" w:rsidRDefault="00374307" w:rsidP="00374307">
      <w:pPr>
        <w:spacing w:after="240"/>
        <w:rPr>
          <w:b/>
          <w:bCs/>
        </w:rPr>
      </w:pPr>
      <w:r w:rsidRPr="00AD74A2">
        <w:rPr>
          <w:b/>
        </w:rPr>
        <w:t xml:space="preserve">Europos Parlamento, Tarybos ir Komisijos bendras pareiškimas dėl plieno gaminių importo iš Rusijos </w:t>
      </w:r>
    </w:p>
    <w:p w14:paraId="5AAA7D68" w14:textId="77777777" w:rsidR="00374307" w:rsidRPr="00AD74A2" w:rsidRDefault="00374307" w:rsidP="00374307">
      <w:pPr>
        <w:spacing w:after="240"/>
      </w:pPr>
      <w:r w:rsidRPr="00AD74A2">
        <w:t>Nuo karo pradžios Sąjunga ir jos valstybės narės ėmėsi precedento neturinčių priemonių, kad sumažintų ekonominę priklausomybę nuo Rusijos ir stengtųsi užtikrinti, jog Sąjungos ekonominė veikla neprisidėtų prie Rusijos karo pastangų palaikymo.</w:t>
      </w:r>
    </w:p>
    <w:p w14:paraId="5999F3E5" w14:textId="77777777" w:rsidR="00374307" w:rsidRPr="00AD74A2" w:rsidRDefault="00374307" w:rsidP="00374307">
      <w:pPr>
        <w:spacing w:after="240"/>
      </w:pPr>
      <w:r w:rsidRPr="00AD74A2">
        <w:t>Šios priemonės gerokai sumažino prekybos srautus įvairiuose sektoriuose, įskaitant plieno sektorių, paspartino atsiejimą ir prisidėjo prie Sąjungos atsparumo, kartu parodydamos Sąjungos gebėjimą veikti vieningai ir ryžtingai, kai kyla pavojus jos vertybėms ir strateginiams interesams.</w:t>
      </w:r>
    </w:p>
    <w:p w14:paraId="022E6E5D" w14:textId="77777777" w:rsidR="00374307" w:rsidRPr="00AD74A2" w:rsidRDefault="00374307" w:rsidP="00374307">
      <w:pPr>
        <w:spacing w:after="240"/>
      </w:pPr>
      <w:r w:rsidRPr="00AD74A2">
        <w:t>Be to, Sąjunga turi ir toliau atidžiai stebėti tas sritis, kuriose išlieka priklausomybė, visų pirma kiek tai susiję su tam tikrais plieno gaminiais, kurių importas dar nėra visiškai uždraustas.</w:t>
      </w:r>
    </w:p>
    <w:p w14:paraId="4A4C94EA" w14:textId="77777777" w:rsidR="00374307" w:rsidRPr="00AD74A2" w:rsidRDefault="00374307" w:rsidP="00374307">
      <w:pPr>
        <w:spacing w:after="240"/>
      </w:pPr>
      <w:r w:rsidRPr="00AD74A2">
        <w:t>Visų pirma tam tikras ribotas Rusijos kilmės importas plieno sektoriuje tęsiamas iki 2028 m. rugsėjo 30 d., laikantis atitinkamose Tarybos priimtose ribojamosiose priemonėse nustatytų pereinamojo laikotarpio priemonių</w:t>
      </w:r>
      <w:r w:rsidRPr="00AD74A2">
        <w:rPr>
          <w:rStyle w:val="FootnoteReference"/>
        </w:rPr>
        <w:footnoteReference w:id="1"/>
      </w:r>
      <w:r w:rsidRPr="00AD74A2">
        <w:t>. Siekiant užtikrinti laipsnišką ir pastovų įvairinimą, šiam importui taikomos kvotos, o jų apimtis kasmet mažinama.</w:t>
      </w:r>
    </w:p>
    <w:p w14:paraId="69B8C00F" w14:textId="73D42C01" w:rsidR="00374307" w:rsidRPr="00BF40D2" w:rsidRDefault="00374307" w:rsidP="00374307">
      <w:pPr>
        <w:spacing w:after="240"/>
      </w:pPr>
      <w:r w:rsidRPr="00AD74A2">
        <w:t>Primindami ribojamųjų priemonių institucinę sistemą, Europos Parlamentas, Taryba ir Komisija pabrėžia, kad atitinkamomis Tarybos priimtomis ribojamosiomis priemonėmis grindžiama trajektorija, kuria siekiama iki 2028 m. rugsėjo 30 d. visiškai nutraukti likusį Rusijos plieno produktų, visų pirma plieno plokščių, importą.</w:t>
      </w:r>
    </w:p>
    <w:sectPr w:rsidR="00374307" w:rsidRPr="00BF40D2" w:rsidSect="00BF40D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32482" w14:textId="77777777" w:rsidR="00704C79" w:rsidRPr="00BF40D2" w:rsidRDefault="00704C79">
      <w:r w:rsidRPr="00BF40D2">
        <w:separator/>
      </w:r>
    </w:p>
  </w:endnote>
  <w:endnote w:type="continuationSeparator" w:id="0">
    <w:p w14:paraId="48E1E877" w14:textId="77777777" w:rsidR="00704C79" w:rsidRPr="00BF40D2" w:rsidRDefault="00704C79">
      <w:r w:rsidRPr="00BF4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BC1B" w14:textId="77777777" w:rsidR="00DC1ACE" w:rsidRPr="0097564F" w:rsidRDefault="00DC1ACE">
    <w:pPr>
      <w:pStyle w:val="Footer1"/>
    </w:pPr>
    <w:r w:rsidRPr="0097564F">
      <w:rPr>
        <w:rStyle w:val="Footer2"/>
      </w:rPr>
      <w:t>LT</w:t>
    </w:r>
    <w:r w:rsidRPr="0097564F">
      <w:tab/>
    </w:r>
    <w:r w:rsidRPr="0097564F">
      <w:fldChar w:fldCharType="begin"/>
    </w:r>
    <w:r w:rsidRPr="0097564F">
      <w:instrText xml:space="preserve"> PAGE </w:instrText>
    </w:r>
    <w:r w:rsidRPr="0097564F">
      <w:fldChar w:fldCharType="separate"/>
    </w:r>
    <w:r w:rsidRPr="0097564F">
      <w:t>1</w:t>
    </w:r>
    <w:r w:rsidRPr="0097564F">
      <w:fldChar w:fldCharType="end"/>
    </w:r>
    <w:r w:rsidRPr="0097564F">
      <w:tab/>
    </w:r>
    <w:r w:rsidRPr="0097564F">
      <w:rPr>
        <w:rStyle w:val="Footer2"/>
      </w:rP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D625" w14:textId="2DA912C2" w:rsidR="00DC1ACE" w:rsidRPr="00374307" w:rsidRDefault="00DC1ACE" w:rsidP="003743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FBB2" w14:textId="77777777" w:rsidR="00DC1ACE" w:rsidRPr="0097564F" w:rsidRDefault="00DC1ACE">
    <w:pPr>
      <w:pStyle w:val="Footer1"/>
    </w:pPr>
    <w:r w:rsidRPr="0097564F">
      <w:rPr>
        <w:rStyle w:val="Footer2"/>
      </w:rPr>
      <w:t>LT</w:t>
    </w:r>
    <w:r w:rsidRPr="0097564F">
      <w:tab/>
    </w:r>
    <w:r w:rsidRPr="0097564F">
      <w:fldChar w:fldCharType="begin"/>
    </w:r>
    <w:r w:rsidRPr="0097564F">
      <w:instrText xml:space="preserve"> PAGE </w:instrText>
    </w:r>
    <w:r w:rsidRPr="0097564F">
      <w:fldChar w:fldCharType="separate"/>
    </w:r>
    <w:r w:rsidRPr="0097564F">
      <w:t>1</w:t>
    </w:r>
    <w:r w:rsidRPr="0097564F">
      <w:fldChar w:fldCharType="end"/>
    </w:r>
    <w:r w:rsidRPr="0097564F">
      <w:tab/>
    </w:r>
    <w:r w:rsidRPr="0097564F">
      <w:rPr>
        <w:rStyle w:val="Footer2"/>
      </w:rPr>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F70CE" w14:textId="77777777" w:rsidR="00704C79" w:rsidRPr="00BF40D2" w:rsidRDefault="00704C79">
      <w:r w:rsidRPr="00BF40D2">
        <w:separator/>
      </w:r>
    </w:p>
  </w:footnote>
  <w:footnote w:type="continuationSeparator" w:id="0">
    <w:p w14:paraId="25FE6461" w14:textId="77777777" w:rsidR="00704C79" w:rsidRPr="00BF40D2" w:rsidRDefault="00704C79">
      <w:r w:rsidRPr="00BF40D2">
        <w:continuationSeparator/>
      </w:r>
    </w:p>
  </w:footnote>
  <w:footnote w:id="1">
    <w:p w14:paraId="652872D2" w14:textId="522B84E5" w:rsidR="00374307" w:rsidRPr="00001D72" w:rsidRDefault="00374307" w:rsidP="00374307">
      <w:pPr>
        <w:pStyle w:val="FootnoteText"/>
        <w:ind w:left="567" w:hanging="567"/>
        <w:rPr>
          <w:sz w:val="24"/>
          <w:szCs w:val="24"/>
          <w:lang w:val="lt-LT"/>
        </w:rPr>
      </w:pPr>
      <w:r w:rsidRPr="00001D72">
        <w:rPr>
          <w:rStyle w:val="FootnoteReference"/>
          <w:sz w:val="24"/>
          <w:szCs w:val="24"/>
          <w:lang w:val="lt-LT"/>
        </w:rPr>
        <w:footnoteRef/>
      </w:r>
      <w:r w:rsidRPr="00001D72">
        <w:rPr>
          <w:sz w:val="24"/>
          <w:szCs w:val="24"/>
          <w:lang w:val="lt-LT"/>
        </w:rPr>
        <w:t xml:space="preserve"> </w:t>
      </w:r>
      <w:r w:rsidRPr="00001D72">
        <w:rPr>
          <w:sz w:val="24"/>
          <w:szCs w:val="24"/>
          <w:lang w:val="lt-LT"/>
        </w:rPr>
        <w:tab/>
        <w:t>2014 m. liepos 31 d. Tarybos sprendimas 2014/512/BUSP dėl ribojamųjų priemonių atsižvelgiant į Rusijos veiksmus, kuriais destabilizuojama padėtis Ukrainoje</w:t>
      </w:r>
      <w:r w:rsidR="0045176E">
        <w:rPr>
          <w:sz w:val="24"/>
          <w:szCs w:val="24"/>
          <w:lang w:val="lt-LT"/>
        </w:rPr>
        <w:t xml:space="preserve"> </w:t>
      </w:r>
      <w:r w:rsidR="0045176E">
        <w:rPr>
          <w:sz w:val="24"/>
          <w:szCs w:val="24"/>
          <w:lang w:val="en-GB"/>
        </w:rPr>
        <w:t>(</w:t>
      </w:r>
      <w:r w:rsidR="0045176E" w:rsidRPr="0041611B">
        <w:rPr>
          <w:sz w:val="24"/>
          <w:szCs w:val="24"/>
          <w:lang w:val="en-GB"/>
        </w:rPr>
        <w:t>O</w:t>
      </w:r>
      <w:r w:rsidR="0045176E">
        <w:rPr>
          <w:sz w:val="24"/>
          <w:szCs w:val="24"/>
          <w:lang w:val="en-GB"/>
        </w:rPr>
        <w:t>L</w:t>
      </w:r>
      <w:r w:rsidR="0045176E" w:rsidRPr="00001D72">
        <w:rPr>
          <w:sz w:val="24"/>
          <w:szCs w:val="24"/>
          <w:lang w:val="lt-LT"/>
        </w:rPr>
        <w:t> </w:t>
      </w:r>
      <w:r w:rsidR="0045176E" w:rsidRPr="0041611B">
        <w:rPr>
          <w:sz w:val="24"/>
          <w:szCs w:val="24"/>
          <w:lang w:val="en-GB"/>
        </w:rPr>
        <w:t>L</w:t>
      </w:r>
      <w:r w:rsidR="0045176E" w:rsidRPr="00001D72">
        <w:rPr>
          <w:sz w:val="24"/>
          <w:szCs w:val="24"/>
          <w:lang w:val="lt-LT"/>
        </w:rPr>
        <w:t> </w:t>
      </w:r>
      <w:r w:rsidR="0045176E" w:rsidRPr="0041611B">
        <w:rPr>
          <w:sz w:val="24"/>
          <w:szCs w:val="24"/>
          <w:lang w:val="en-GB"/>
        </w:rPr>
        <w:t>229, 2014</w:t>
      </w:r>
      <w:r w:rsidR="0045176E" w:rsidRPr="00001D72">
        <w:rPr>
          <w:sz w:val="24"/>
          <w:szCs w:val="24"/>
          <w:lang w:val="lt-LT"/>
        </w:rPr>
        <w:t> </w:t>
      </w:r>
      <w:r w:rsidR="0045176E">
        <w:rPr>
          <w:sz w:val="24"/>
          <w:szCs w:val="24"/>
          <w:lang w:val="en-GB"/>
        </w:rPr>
        <w:t>7</w:t>
      </w:r>
      <w:r w:rsidR="0045176E" w:rsidRPr="00001D72">
        <w:rPr>
          <w:sz w:val="24"/>
          <w:szCs w:val="24"/>
          <w:lang w:val="lt-LT"/>
        </w:rPr>
        <w:t> </w:t>
      </w:r>
      <w:r w:rsidR="0045176E">
        <w:rPr>
          <w:sz w:val="24"/>
          <w:szCs w:val="24"/>
          <w:lang w:val="en-GB"/>
        </w:rPr>
        <w:t>31</w:t>
      </w:r>
      <w:r w:rsidR="0045176E" w:rsidRPr="0041611B">
        <w:rPr>
          <w:sz w:val="24"/>
          <w:szCs w:val="24"/>
          <w:lang w:val="en-GB"/>
        </w:rPr>
        <w:t>, p.</w:t>
      </w:r>
      <w:r w:rsidR="0045176E" w:rsidRPr="00001D72">
        <w:rPr>
          <w:sz w:val="24"/>
          <w:szCs w:val="24"/>
          <w:lang w:val="lt-LT"/>
        </w:rPr>
        <w:t> </w:t>
      </w:r>
      <w:r w:rsidR="0045176E" w:rsidRPr="0041611B">
        <w:rPr>
          <w:sz w:val="24"/>
          <w:szCs w:val="24"/>
          <w:lang w:val="en-GB"/>
        </w:rPr>
        <w:t>13</w:t>
      </w:r>
      <w:r w:rsidR="0045176E">
        <w:rPr>
          <w:sz w:val="24"/>
          <w:szCs w:val="24"/>
          <w:lang w:val="en-GB"/>
        </w:rPr>
        <w:t xml:space="preserve">, </w:t>
      </w:r>
      <w:r w:rsidR="0045176E" w:rsidRPr="0041611B">
        <w:rPr>
          <w:sz w:val="24"/>
          <w:szCs w:val="24"/>
          <w:lang w:val="en-GB"/>
        </w:rPr>
        <w:t xml:space="preserve">ELI: </w:t>
      </w:r>
      <w:hyperlink r:id="rId1" w:history="1">
        <w:r w:rsidR="0045176E" w:rsidRPr="0041611B">
          <w:rPr>
            <w:rStyle w:val="Hyperlink"/>
            <w:sz w:val="24"/>
            <w:szCs w:val="24"/>
            <w:lang w:val="en-GB"/>
          </w:rPr>
          <w:t>http://data.europa.eu/eli/dec/2014/512/oj</w:t>
        </w:r>
      </w:hyperlink>
      <w:r w:rsidR="0045176E">
        <w:rPr>
          <w:sz w:val="24"/>
          <w:szCs w:val="24"/>
          <w:lang w:val="en-GB"/>
        </w:rPr>
        <w:t>)</w:t>
      </w:r>
      <w:r w:rsidRPr="00001D72">
        <w:rPr>
          <w:sz w:val="24"/>
          <w:szCs w:val="24"/>
          <w:lang w:val="lt-LT"/>
        </w:rPr>
        <w:t>, ir į 2014 m. liepos 31 d. Tarybos reglamentą (ES) Nr. 833/2014 dėl ribojamųjų priemonių atsižvelgiant į Rusijos veiksmus, kuriais destabilizuojama padėtis Ukrainoje</w:t>
      </w:r>
      <w:r w:rsidR="0045176E">
        <w:rPr>
          <w:sz w:val="24"/>
          <w:szCs w:val="24"/>
          <w:lang w:val="lt-LT"/>
        </w:rPr>
        <w:t xml:space="preserve"> </w:t>
      </w:r>
      <w:r w:rsidR="0045176E">
        <w:rPr>
          <w:sz w:val="24"/>
          <w:szCs w:val="24"/>
          <w:lang w:val="en-GB"/>
        </w:rPr>
        <w:t>(</w:t>
      </w:r>
      <w:r w:rsidR="0045176E" w:rsidRPr="003E64F4">
        <w:rPr>
          <w:sz w:val="24"/>
          <w:szCs w:val="24"/>
          <w:lang w:val="en-GB"/>
        </w:rPr>
        <w:t>O</w:t>
      </w:r>
      <w:r w:rsidR="0045176E">
        <w:rPr>
          <w:sz w:val="24"/>
          <w:szCs w:val="24"/>
          <w:lang w:val="en-GB"/>
        </w:rPr>
        <w:t>L</w:t>
      </w:r>
      <w:r w:rsidR="0045176E" w:rsidRPr="00001D72">
        <w:rPr>
          <w:sz w:val="24"/>
          <w:szCs w:val="24"/>
          <w:lang w:val="lt-LT"/>
        </w:rPr>
        <w:t> </w:t>
      </w:r>
      <w:r w:rsidR="0045176E" w:rsidRPr="003E64F4">
        <w:rPr>
          <w:sz w:val="24"/>
          <w:szCs w:val="24"/>
          <w:lang w:val="en-GB"/>
        </w:rPr>
        <w:t>L</w:t>
      </w:r>
      <w:r w:rsidR="00DF4EEB" w:rsidRPr="00001D72">
        <w:rPr>
          <w:sz w:val="24"/>
          <w:szCs w:val="24"/>
          <w:lang w:val="lt-LT"/>
        </w:rPr>
        <w:t> </w:t>
      </w:r>
      <w:r w:rsidR="0045176E" w:rsidRPr="003E64F4">
        <w:rPr>
          <w:sz w:val="24"/>
          <w:szCs w:val="24"/>
          <w:lang w:val="en-GB"/>
        </w:rPr>
        <w:t>229, 2014</w:t>
      </w:r>
      <w:r w:rsidR="0045176E" w:rsidRPr="00001D72">
        <w:rPr>
          <w:sz w:val="24"/>
          <w:szCs w:val="24"/>
          <w:lang w:val="lt-LT"/>
        </w:rPr>
        <w:t> </w:t>
      </w:r>
      <w:r w:rsidR="0045176E">
        <w:rPr>
          <w:sz w:val="24"/>
          <w:szCs w:val="24"/>
          <w:lang w:val="en-GB"/>
        </w:rPr>
        <w:t>7</w:t>
      </w:r>
      <w:r w:rsidR="0045176E" w:rsidRPr="00001D72">
        <w:rPr>
          <w:sz w:val="24"/>
          <w:szCs w:val="24"/>
          <w:lang w:val="lt-LT"/>
        </w:rPr>
        <w:t> </w:t>
      </w:r>
      <w:r w:rsidR="0045176E">
        <w:rPr>
          <w:sz w:val="24"/>
          <w:szCs w:val="24"/>
          <w:lang w:val="en-GB"/>
        </w:rPr>
        <w:t>31</w:t>
      </w:r>
      <w:r w:rsidR="0045176E" w:rsidRPr="003E64F4">
        <w:rPr>
          <w:sz w:val="24"/>
          <w:szCs w:val="24"/>
          <w:lang w:val="en-GB"/>
        </w:rPr>
        <w:t>, p.</w:t>
      </w:r>
      <w:r w:rsidR="0045176E" w:rsidRPr="00001D72">
        <w:rPr>
          <w:sz w:val="24"/>
          <w:szCs w:val="24"/>
          <w:lang w:val="lt-LT"/>
        </w:rPr>
        <w:t> </w:t>
      </w:r>
      <w:r w:rsidR="0045176E" w:rsidRPr="003E64F4">
        <w:rPr>
          <w:sz w:val="24"/>
          <w:szCs w:val="24"/>
          <w:lang w:val="en-GB"/>
        </w:rPr>
        <w:t>1</w:t>
      </w:r>
      <w:r w:rsidR="0045176E">
        <w:rPr>
          <w:sz w:val="24"/>
          <w:szCs w:val="24"/>
          <w:lang w:val="en-GB"/>
        </w:rPr>
        <w:t xml:space="preserve">, </w:t>
      </w:r>
      <w:r w:rsidR="0045176E" w:rsidRPr="003E64F4">
        <w:rPr>
          <w:sz w:val="24"/>
          <w:szCs w:val="24"/>
          <w:lang w:val="en-GB"/>
        </w:rPr>
        <w:t xml:space="preserve">ELI: </w:t>
      </w:r>
      <w:hyperlink r:id="rId2" w:history="1">
        <w:r w:rsidR="0045176E" w:rsidRPr="003E64F4">
          <w:rPr>
            <w:rStyle w:val="Hyperlink"/>
            <w:sz w:val="24"/>
            <w:szCs w:val="24"/>
            <w:lang w:val="en-GB"/>
          </w:rPr>
          <w:t>http://data.europa.eu/eli/reg/2014/833/oj</w:t>
        </w:r>
      </w:hyperlink>
      <w:r w:rsidR="0045176E">
        <w:rPr>
          <w:sz w:val="24"/>
          <w:szCs w:val="24"/>
          <w:lang w:val="en-GB"/>
        </w:rPr>
        <w:t>)</w:t>
      </w:r>
      <w:r w:rsidRPr="00001D72">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EA270B"/>
    <w:multiLevelType w:val="hybridMultilevel"/>
    <w:tmpl w:val="7FA079D0"/>
    <w:lvl w:ilvl="0" w:tplc="E6E465A2">
      <w:start w:val="1"/>
      <w:numFmt w:val="lowerLetter"/>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C77951"/>
    <w:multiLevelType w:val="hybridMultilevel"/>
    <w:tmpl w:val="CF046FD2"/>
    <w:lvl w:ilvl="0" w:tplc="6D0E41D2">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A7E2F768">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E9D64904">
      <w:numFmt w:val="bullet"/>
      <w:lvlText w:val="•"/>
      <w:lvlJc w:val="left"/>
      <w:pPr>
        <w:ind w:left="2402" w:hanging="567"/>
      </w:pPr>
      <w:rPr>
        <w:lang w:val="en-US" w:eastAsia="en-US" w:bidi="ar-SA"/>
      </w:rPr>
    </w:lvl>
    <w:lvl w:ilvl="3" w:tplc="9474B326">
      <w:numFmt w:val="bullet"/>
      <w:lvlText w:val="•"/>
      <w:lvlJc w:val="left"/>
      <w:pPr>
        <w:ind w:left="3265" w:hanging="567"/>
      </w:pPr>
      <w:rPr>
        <w:lang w:val="en-US" w:eastAsia="en-US" w:bidi="ar-SA"/>
      </w:rPr>
    </w:lvl>
    <w:lvl w:ilvl="4" w:tplc="6160F7CC">
      <w:numFmt w:val="bullet"/>
      <w:lvlText w:val="•"/>
      <w:lvlJc w:val="left"/>
      <w:pPr>
        <w:ind w:left="4128" w:hanging="567"/>
      </w:pPr>
      <w:rPr>
        <w:lang w:val="en-US" w:eastAsia="en-US" w:bidi="ar-SA"/>
      </w:rPr>
    </w:lvl>
    <w:lvl w:ilvl="5" w:tplc="D53019DC">
      <w:numFmt w:val="bullet"/>
      <w:lvlText w:val="•"/>
      <w:lvlJc w:val="left"/>
      <w:pPr>
        <w:ind w:left="4991" w:hanging="567"/>
      </w:pPr>
      <w:rPr>
        <w:lang w:val="en-US" w:eastAsia="en-US" w:bidi="ar-SA"/>
      </w:rPr>
    </w:lvl>
    <w:lvl w:ilvl="6" w:tplc="4FAC0B1C">
      <w:numFmt w:val="bullet"/>
      <w:lvlText w:val="•"/>
      <w:lvlJc w:val="left"/>
      <w:pPr>
        <w:ind w:left="5854" w:hanging="567"/>
      </w:pPr>
      <w:rPr>
        <w:lang w:val="en-US" w:eastAsia="en-US" w:bidi="ar-SA"/>
      </w:rPr>
    </w:lvl>
    <w:lvl w:ilvl="7" w:tplc="90E40880">
      <w:numFmt w:val="bullet"/>
      <w:lvlText w:val="•"/>
      <w:lvlJc w:val="left"/>
      <w:pPr>
        <w:ind w:left="6717" w:hanging="567"/>
      </w:pPr>
      <w:rPr>
        <w:lang w:val="en-US" w:eastAsia="en-US" w:bidi="ar-SA"/>
      </w:rPr>
    </w:lvl>
    <w:lvl w:ilvl="8" w:tplc="6A965978">
      <w:numFmt w:val="bullet"/>
      <w:lvlText w:val="•"/>
      <w:lvlJc w:val="left"/>
      <w:pPr>
        <w:ind w:left="7580" w:hanging="567"/>
      </w:pPr>
      <w:rPr>
        <w:lang w:val="en-US" w:eastAsia="en-US" w:bidi="ar-SA"/>
      </w:rPr>
    </w:lvl>
  </w:abstractNum>
  <w:abstractNum w:abstractNumId="14" w15:restartNumberingAfterBreak="0">
    <w:nsid w:val="4D3C337A"/>
    <w:multiLevelType w:val="hybridMultilevel"/>
    <w:tmpl w:val="F398A9F8"/>
    <w:lvl w:ilvl="0" w:tplc="2FAA1BBA">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1A384C9E">
      <w:numFmt w:val="bullet"/>
      <w:lvlText w:val="•"/>
      <w:lvlJc w:val="left"/>
      <w:pPr>
        <w:ind w:left="1794" w:hanging="850"/>
      </w:pPr>
      <w:rPr>
        <w:lang w:val="en-US" w:eastAsia="en-US" w:bidi="ar-SA"/>
      </w:rPr>
    </w:lvl>
    <w:lvl w:ilvl="2" w:tplc="C82CC4E8">
      <w:numFmt w:val="bullet"/>
      <w:lvlText w:val="•"/>
      <w:lvlJc w:val="left"/>
      <w:pPr>
        <w:ind w:left="2629" w:hanging="850"/>
      </w:pPr>
      <w:rPr>
        <w:lang w:val="en-US" w:eastAsia="en-US" w:bidi="ar-SA"/>
      </w:rPr>
    </w:lvl>
    <w:lvl w:ilvl="3" w:tplc="852A2FDE">
      <w:numFmt w:val="bullet"/>
      <w:lvlText w:val="•"/>
      <w:lvlJc w:val="left"/>
      <w:pPr>
        <w:ind w:left="3463" w:hanging="850"/>
      </w:pPr>
      <w:rPr>
        <w:lang w:val="en-US" w:eastAsia="en-US" w:bidi="ar-SA"/>
      </w:rPr>
    </w:lvl>
    <w:lvl w:ilvl="4" w:tplc="ACB079E6">
      <w:numFmt w:val="bullet"/>
      <w:lvlText w:val="•"/>
      <w:lvlJc w:val="left"/>
      <w:pPr>
        <w:ind w:left="4298" w:hanging="850"/>
      </w:pPr>
      <w:rPr>
        <w:lang w:val="en-US" w:eastAsia="en-US" w:bidi="ar-SA"/>
      </w:rPr>
    </w:lvl>
    <w:lvl w:ilvl="5" w:tplc="09125800">
      <w:numFmt w:val="bullet"/>
      <w:lvlText w:val="•"/>
      <w:lvlJc w:val="left"/>
      <w:pPr>
        <w:ind w:left="5133" w:hanging="850"/>
      </w:pPr>
      <w:rPr>
        <w:lang w:val="en-US" w:eastAsia="en-US" w:bidi="ar-SA"/>
      </w:rPr>
    </w:lvl>
    <w:lvl w:ilvl="6" w:tplc="94B0C056">
      <w:numFmt w:val="bullet"/>
      <w:lvlText w:val="•"/>
      <w:lvlJc w:val="left"/>
      <w:pPr>
        <w:ind w:left="5967" w:hanging="850"/>
      </w:pPr>
      <w:rPr>
        <w:lang w:val="en-US" w:eastAsia="en-US" w:bidi="ar-SA"/>
      </w:rPr>
    </w:lvl>
    <w:lvl w:ilvl="7" w:tplc="14320A02">
      <w:numFmt w:val="bullet"/>
      <w:lvlText w:val="•"/>
      <w:lvlJc w:val="left"/>
      <w:pPr>
        <w:ind w:left="6802" w:hanging="850"/>
      </w:pPr>
      <w:rPr>
        <w:lang w:val="en-US" w:eastAsia="en-US" w:bidi="ar-SA"/>
      </w:rPr>
    </w:lvl>
    <w:lvl w:ilvl="8" w:tplc="4E546170">
      <w:numFmt w:val="bullet"/>
      <w:lvlText w:val="•"/>
      <w:lvlJc w:val="left"/>
      <w:pPr>
        <w:ind w:left="7637" w:hanging="850"/>
      </w:pPr>
      <w:rPr>
        <w:lang w:val="en-US" w:eastAsia="en-US" w:bidi="ar-SA"/>
      </w:rPr>
    </w:lvl>
  </w:abstractNum>
  <w:abstractNum w:abstractNumId="15" w15:restartNumberingAfterBreak="0">
    <w:nsid w:val="60B67A4F"/>
    <w:multiLevelType w:val="hybridMultilevel"/>
    <w:tmpl w:val="F996A700"/>
    <w:lvl w:ilvl="0" w:tplc="4954A920">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D81A1EB2">
      <w:numFmt w:val="bullet"/>
      <w:lvlText w:val="•"/>
      <w:lvlJc w:val="left"/>
      <w:pPr>
        <w:ind w:left="1668" w:hanging="708"/>
      </w:pPr>
      <w:rPr>
        <w:lang w:val="en-US" w:eastAsia="en-US" w:bidi="ar-SA"/>
      </w:rPr>
    </w:lvl>
    <w:lvl w:ilvl="2" w:tplc="F5EAA980">
      <w:numFmt w:val="bullet"/>
      <w:lvlText w:val="•"/>
      <w:lvlJc w:val="left"/>
      <w:pPr>
        <w:ind w:left="2517" w:hanging="708"/>
      </w:pPr>
      <w:rPr>
        <w:lang w:val="en-US" w:eastAsia="en-US" w:bidi="ar-SA"/>
      </w:rPr>
    </w:lvl>
    <w:lvl w:ilvl="3" w:tplc="349E19D8">
      <w:numFmt w:val="bullet"/>
      <w:lvlText w:val="•"/>
      <w:lvlJc w:val="left"/>
      <w:pPr>
        <w:ind w:left="3365" w:hanging="708"/>
      </w:pPr>
      <w:rPr>
        <w:lang w:val="en-US" w:eastAsia="en-US" w:bidi="ar-SA"/>
      </w:rPr>
    </w:lvl>
    <w:lvl w:ilvl="4" w:tplc="FC282B38">
      <w:numFmt w:val="bullet"/>
      <w:lvlText w:val="•"/>
      <w:lvlJc w:val="left"/>
      <w:pPr>
        <w:ind w:left="4214" w:hanging="708"/>
      </w:pPr>
      <w:rPr>
        <w:lang w:val="en-US" w:eastAsia="en-US" w:bidi="ar-SA"/>
      </w:rPr>
    </w:lvl>
    <w:lvl w:ilvl="5" w:tplc="5D6668C0">
      <w:numFmt w:val="bullet"/>
      <w:lvlText w:val="•"/>
      <w:lvlJc w:val="left"/>
      <w:pPr>
        <w:ind w:left="5063" w:hanging="708"/>
      </w:pPr>
      <w:rPr>
        <w:lang w:val="en-US" w:eastAsia="en-US" w:bidi="ar-SA"/>
      </w:rPr>
    </w:lvl>
    <w:lvl w:ilvl="6" w:tplc="2B5A7C88">
      <w:numFmt w:val="bullet"/>
      <w:lvlText w:val="•"/>
      <w:lvlJc w:val="left"/>
      <w:pPr>
        <w:ind w:left="5911" w:hanging="708"/>
      </w:pPr>
      <w:rPr>
        <w:lang w:val="en-US" w:eastAsia="en-US" w:bidi="ar-SA"/>
      </w:rPr>
    </w:lvl>
    <w:lvl w:ilvl="7" w:tplc="E9BC8ADC">
      <w:numFmt w:val="bullet"/>
      <w:lvlText w:val="•"/>
      <w:lvlJc w:val="left"/>
      <w:pPr>
        <w:ind w:left="6760" w:hanging="708"/>
      </w:pPr>
      <w:rPr>
        <w:lang w:val="en-US" w:eastAsia="en-US" w:bidi="ar-SA"/>
      </w:rPr>
    </w:lvl>
    <w:lvl w:ilvl="8" w:tplc="84785E1C">
      <w:numFmt w:val="bullet"/>
      <w:lvlText w:val="•"/>
      <w:lvlJc w:val="left"/>
      <w:pPr>
        <w:ind w:left="7609" w:hanging="708"/>
      </w:pPr>
      <w:rPr>
        <w:lang w:val="en-US" w:eastAsia="en-US" w:bidi="ar-SA"/>
      </w:rPr>
    </w:lvl>
  </w:abstractNum>
  <w:abstractNum w:abstractNumId="16" w15:restartNumberingAfterBreak="0">
    <w:nsid w:val="66D377C0"/>
    <w:multiLevelType w:val="hybridMultilevel"/>
    <w:tmpl w:val="898671CA"/>
    <w:lvl w:ilvl="0" w:tplc="7B8C2BC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A48C1BAC">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080048D0">
      <w:numFmt w:val="bullet"/>
      <w:lvlText w:val="•"/>
      <w:lvlJc w:val="left"/>
      <w:pPr>
        <w:ind w:left="2402" w:hanging="567"/>
      </w:pPr>
      <w:rPr>
        <w:lang w:val="en-US" w:eastAsia="en-US" w:bidi="ar-SA"/>
      </w:rPr>
    </w:lvl>
    <w:lvl w:ilvl="3" w:tplc="C584E55A">
      <w:numFmt w:val="bullet"/>
      <w:lvlText w:val="•"/>
      <w:lvlJc w:val="left"/>
      <w:pPr>
        <w:ind w:left="3265" w:hanging="567"/>
      </w:pPr>
      <w:rPr>
        <w:lang w:val="en-US" w:eastAsia="en-US" w:bidi="ar-SA"/>
      </w:rPr>
    </w:lvl>
    <w:lvl w:ilvl="4" w:tplc="6F86D756">
      <w:numFmt w:val="bullet"/>
      <w:lvlText w:val="•"/>
      <w:lvlJc w:val="left"/>
      <w:pPr>
        <w:ind w:left="4128" w:hanging="567"/>
      </w:pPr>
      <w:rPr>
        <w:lang w:val="en-US" w:eastAsia="en-US" w:bidi="ar-SA"/>
      </w:rPr>
    </w:lvl>
    <w:lvl w:ilvl="5" w:tplc="B2505990">
      <w:numFmt w:val="bullet"/>
      <w:lvlText w:val="•"/>
      <w:lvlJc w:val="left"/>
      <w:pPr>
        <w:ind w:left="4991" w:hanging="567"/>
      </w:pPr>
      <w:rPr>
        <w:lang w:val="en-US" w:eastAsia="en-US" w:bidi="ar-SA"/>
      </w:rPr>
    </w:lvl>
    <w:lvl w:ilvl="6" w:tplc="584029EA">
      <w:numFmt w:val="bullet"/>
      <w:lvlText w:val="•"/>
      <w:lvlJc w:val="left"/>
      <w:pPr>
        <w:ind w:left="5854" w:hanging="567"/>
      </w:pPr>
      <w:rPr>
        <w:lang w:val="en-US" w:eastAsia="en-US" w:bidi="ar-SA"/>
      </w:rPr>
    </w:lvl>
    <w:lvl w:ilvl="7" w:tplc="47B43286">
      <w:numFmt w:val="bullet"/>
      <w:lvlText w:val="•"/>
      <w:lvlJc w:val="left"/>
      <w:pPr>
        <w:ind w:left="6717" w:hanging="567"/>
      </w:pPr>
      <w:rPr>
        <w:lang w:val="en-US" w:eastAsia="en-US" w:bidi="ar-SA"/>
      </w:rPr>
    </w:lvl>
    <w:lvl w:ilvl="8" w:tplc="9C0C192E">
      <w:numFmt w:val="bullet"/>
      <w:lvlText w:val="•"/>
      <w:lvlJc w:val="left"/>
      <w:pPr>
        <w:ind w:left="7580" w:hanging="567"/>
      </w:pPr>
      <w:rPr>
        <w:lang w:val="en-US" w:eastAsia="en-US" w:bidi="ar-SA"/>
      </w:rPr>
    </w:lvl>
  </w:abstractNum>
  <w:num w:numId="1" w16cid:durableId="469327065">
    <w:abstractNumId w:val="9"/>
  </w:num>
  <w:num w:numId="2" w16cid:durableId="1946187127">
    <w:abstractNumId w:val="9"/>
  </w:num>
  <w:num w:numId="3" w16cid:durableId="354356450">
    <w:abstractNumId w:val="7"/>
  </w:num>
  <w:num w:numId="4" w16cid:durableId="1221015035">
    <w:abstractNumId w:val="7"/>
  </w:num>
  <w:num w:numId="5" w16cid:durableId="1858614911">
    <w:abstractNumId w:val="6"/>
  </w:num>
  <w:num w:numId="6" w16cid:durableId="947811126">
    <w:abstractNumId w:val="6"/>
  </w:num>
  <w:num w:numId="7" w16cid:durableId="1455756338">
    <w:abstractNumId w:val="5"/>
  </w:num>
  <w:num w:numId="8" w16cid:durableId="1986279575">
    <w:abstractNumId w:val="5"/>
  </w:num>
  <w:num w:numId="9" w16cid:durableId="1503887244">
    <w:abstractNumId w:val="4"/>
  </w:num>
  <w:num w:numId="10" w16cid:durableId="1905143133">
    <w:abstractNumId w:val="4"/>
  </w:num>
  <w:num w:numId="11" w16cid:durableId="272129972">
    <w:abstractNumId w:val="8"/>
  </w:num>
  <w:num w:numId="12" w16cid:durableId="1925915909">
    <w:abstractNumId w:val="8"/>
  </w:num>
  <w:num w:numId="13" w16cid:durableId="2077706111">
    <w:abstractNumId w:val="3"/>
  </w:num>
  <w:num w:numId="14" w16cid:durableId="344282750">
    <w:abstractNumId w:val="3"/>
  </w:num>
  <w:num w:numId="15" w16cid:durableId="942883960">
    <w:abstractNumId w:val="2"/>
  </w:num>
  <w:num w:numId="16" w16cid:durableId="796723972">
    <w:abstractNumId w:val="2"/>
  </w:num>
  <w:num w:numId="17" w16cid:durableId="1101611442">
    <w:abstractNumId w:val="1"/>
  </w:num>
  <w:num w:numId="18" w16cid:durableId="1128820156">
    <w:abstractNumId w:val="1"/>
  </w:num>
  <w:num w:numId="19" w16cid:durableId="136336631">
    <w:abstractNumId w:val="0"/>
  </w:num>
  <w:num w:numId="20" w16cid:durableId="494031709">
    <w:abstractNumId w:val="0"/>
  </w:num>
  <w:num w:numId="21" w16cid:durableId="1962373215">
    <w:abstractNumId w:val="9"/>
  </w:num>
  <w:num w:numId="22" w16cid:durableId="1158182786">
    <w:abstractNumId w:val="7"/>
  </w:num>
  <w:num w:numId="23" w16cid:durableId="473714622">
    <w:abstractNumId w:val="6"/>
  </w:num>
  <w:num w:numId="24" w16cid:durableId="226958799">
    <w:abstractNumId w:val="5"/>
  </w:num>
  <w:num w:numId="25" w16cid:durableId="167982822">
    <w:abstractNumId w:val="4"/>
  </w:num>
  <w:num w:numId="26" w16cid:durableId="1849365403">
    <w:abstractNumId w:val="8"/>
  </w:num>
  <w:num w:numId="27" w16cid:durableId="1553928673">
    <w:abstractNumId w:val="3"/>
  </w:num>
  <w:num w:numId="28" w16cid:durableId="1462845218">
    <w:abstractNumId w:val="2"/>
  </w:num>
  <w:num w:numId="29" w16cid:durableId="461777386">
    <w:abstractNumId w:val="1"/>
  </w:num>
  <w:num w:numId="30" w16cid:durableId="1346974867">
    <w:abstractNumId w:val="0"/>
  </w:num>
  <w:num w:numId="31" w16cid:durableId="276570214">
    <w:abstractNumId w:val="9"/>
  </w:num>
  <w:num w:numId="32" w16cid:durableId="748817880">
    <w:abstractNumId w:val="7"/>
  </w:num>
  <w:num w:numId="33" w16cid:durableId="1788310600">
    <w:abstractNumId w:val="6"/>
  </w:num>
  <w:num w:numId="34" w16cid:durableId="1605919329">
    <w:abstractNumId w:val="5"/>
  </w:num>
  <w:num w:numId="35" w16cid:durableId="744956905">
    <w:abstractNumId w:val="4"/>
  </w:num>
  <w:num w:numId="36" w16cid:durableId="347100394">
    <w:abstractNumId w:val="8"/>
  </w:num>
  <w:num w:numId="37" w16cid:durableId="2012444594">
    <w:abstractNumId w:val="3"/>
  </w:num>
  <w:num w:numId="38" w16cid:durableId="1286160043">
    <w:abstractNumId w:val="2"/>
  </w:num>
  <w:num w:numId="39" w16cid:durableId="827018408">
    <w:abstractNumId w:val="1"/>
  </w:num>
  <w:num w:numId="40" w16cid:durableId="1572764463">
    <w:abstractNumId w:val="0"/>
  </w:num>
  <w:num w:numId="41" w16cid:durableId="1321041778">
    <w:abstractNumId w:val="10"/>
  </w:num>
  <w:num w:numId="42" w16cid:durableId="782073099">
    <w:abstractNumId w:val="10"/>
  </w:num>
  <w:num w:numId="43" w16cid:durableId="1341086285">
    <w:abstractNumId w:val="10"/>
  </w:num>
  <w:num w:numId="44" w16cid:durableId="2007781070">
    <w:abstractNumId w:val="12"/>
  </w:num>
  <w:num w:numId="45" w16cid:durableId="17762319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4"/>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5"/>
    <w:lvlOverride w:ilvl="0">
      <w:startOverride w:val="1"/>
    </w:lvlOverride>
    <w:lvlOverride w:ilvl="1"/>
    <w:lvlOverride w:ilvl="2"/>
    <w:lvlOverride w:ilvl="3"/>
    <w:lvlOverride w:ilvl="4"/>
    <w:lvlOverride w:ilvl="5"/>
    <w:lvlOverride w:ilvl="6"/>
    <w:lvlOverride w:ilvl="7"/>
    <w:lvlOverride w:ilvl="8"/>
  </w:num>
  <w:num w:numId="49" w16cid:durableId="9499748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LT"/>
    <w:docVar w:name="dvnumam" w:val="88"/>
    <w:docVar w:name="dvpe" w:val="779.727"/>
    <w:docVar w:name="dvrapporteur" w:val="Pranešėja: "/>
    <w:docVar w:name="dvstar" w:val="***I"/>
    <w:docVar w:name="dvtitre" w:val="2026 m. ... ... d. Europos Parlamento teisėkūros rezoliucija dėl pasiūlymo dėl Europos Parlamento ir Tarybos reglamento dėl su prekyba susijusio neigiamo pasaulinių perteklinių pajėgumų poveikio Sąjungos plieno rinkai mažinimo(COM(2025)0726 – C10-0245/2025 – 2025/0726(COD))"/>
  </w:docVars>
  <w:rsids>
    <w:rsidRoot w:val="00704C79"/>
    <w:rsid w:val="00001D72"/>
    <w:rsid w:val="00002272"/>
    <w:rsid w:val="00062CA1"/>
    <w:rsid w:val="00064002"/>
    <w:rsid w:val="000677B9"/>
    <w:rsid w:val="000831BA"/>
    <w:rsid w:val="000A42CC"/>
    <w:rsid w:val="000B531E"/>
    <w:rsid w:val="000E7DD9"/>
    <w:rsid w:val="0010095E"/>
    <w:rsid w:val="00125B37"/>
    <w:rsid w:val="00187494"/>
    <w:rsid w:val="001F32AE"/>
    <w:rsid w:val="00201404"/>
    <w:rsid w:val="002767FF"/>
    <w:rsid w:val="002B18FE"/>
    <w:rsid w:val="002B5493"/>
    <w:rsid w:val="002D5A97"/>
    <w:rsid w:val="00343214"/>
    <w:rsid w:val="00361C00"/>
    <w:rsid w:val="00374307"/>
    <w:rsid w:val="00395FA1"/>
    <w:rsid w:val="003C3724"/>
    <w:rsid w:val="003E15D4"/>
    <w:rsid w:val="00402DFF"/>
    <w:rsid w:val="00411CCE"/>
    <w:rsid w:val="0041666E"/>
    <w:rsid w:val="00421060"/>
    <w:rsid w:val="0045176E"/>
    <w:rsid w:val="00471C19"/>
    <w:rsid w:val="004867E3"/>
    <w:rsid w:val="00494A28"/>
    <w:rsid w:val="004C0004"/>
    <w:rsid w:val="004C5D52"/>
    <w:rsid w:val="0050519A"/>
    <w:rsid w:val="005072A1"/>
    <w:rsid w:val="00514517"/>
    <w:rsid w:val="005316F5"/>
    <w:rsid w:val="00545827"/>
    <w:rsid w:val="00560270"/>
    <w:rsid w:val="005C2568"/>
    <w:rsid w:val="005F1B17"/>
    <w:rsid w:val="005F671A"/>
    <w:rsid w:val="006037C0"/>
    <w:rsid w:val="006631B6"/>
    <w:rsid w:val="00680577"/>
    <w:rsid w:val="006825B7"/>
    <w:rsid w:val="006F74FA"/>
    <w:rsid w:val="00704C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941"/>
    <w:rsid w:val="009509D8"/>
    <w:rsid w:val="00950B64"/>
    <w:rsid w:val="0095307A"/>
    <w:rsid w:val="00981893"/>
    <w:rsid w:val="00A1687D"/>
    <w:rsid w:val="00A353E9"/>
    <w:rsid w:val="00A43E52"/>
    <w:rsid w:val="00A4678D"/>
    <w:rsid w:val="00A67F0A"/>
    <w:rsid w:val="00A72878"/>
    <w:rsid w:val="00A778C7"/>
    <w:rsid w:val="00AB441E"/>
    <w:rsid w:val="00AB6293"/>
    <w:rsid w:val="00AE0928"/>
    <w:rsid w:val="00AF3B82"/>
    <w:rsid w:val="00B12E95"/>
    <w:rsid w:val="00B22876"/>
    <w:rsid w:val="00B558F0"/>
    <w:rsid w:val="00BD48FE"/>
    <w:rsid w:val="00BD5F54"/>
    <w:rsid w:val="00BD7BD8"/>
    <w:rsid w:val="00BE6ADC"/>
    <w:rsid w:val="00BF40D2"/>
    <w:rsid w:val="00C05BFE"/>
    <w:rsid w:val="00C23CD4"/>
    <w:rsid w:val="00C61C0C"/>
    <w:rsid w:val="00C73CE2"/>
    <w:rsid w:val="00C941CB"/>
    <w:rsid w:val="00CC2357"/>
    <w:rsid w:val="00CF071A"/>
    <w:rsid w:val="00D058B8"/>
    <w:rsid w:val="00D41278"/>
    <w:rsid w:val="00D56C11"/>
    <w:rsid w:val="00D74B5B"/>
    <w:rsid w:val="00D834A0"/>
    <w:rsid w:val="00D872DF"/>
    <w:rsid w:val="00D91E21"/>
    <w:rsid w:val="00DA7FCD"/>
    <w:rsid w:val="00DC1ACE"/>
    <w:rsid w:val="00DF4EEB"/>
    <w:rsid w:val="00E365E1"/>
    <w:rsid w:val="00E820A4"/>
    <w:rsid w:val="00EB006A"/>
    <w:rsid w:val="00EB4772"/>
    <w:rsid w:val="00ED169E"/>
    <w:rsid w:val="00ED4235"/>
    <w:rsid w:val="00F04346"/>
    <w:rsid w:val="00F06BED"/>
    <w:rsid w:val="00F075DC"/>
    <w:rsid w:val="00F149E9"/>
    <w:rsid w:val="00F5134D"/>
    <w:rsid w:val="00F74202"/>
    <w:rsid w:val="00F87713"/>
    <w:rsid w:val="00FB4360"/>
    <w:rsid w:val="00FD0C70"/>
    <w:rsid w:val="00FD2D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EC7D9"/>
  <w15:chartTrackingRefBased/>
  <w15:docId w15:val="{DCC81DD3-0A52-4D5A-B43F-41A14821E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62CA1"/>
    <w:rPr>
      <w:b/>
      <w:kern w:val="28"/>
      <w:sz w:val="28"/>
      <w:lang w:val="fr-FR" w:eastAsia="fr-FR"/>
    </w:rPr>
  </w:style>
  <w:style w:type="character" w:customStyle="1" w:styleId="Heading2Char">
    <w:name w:val="Heading 2 Char"/>
    <w:basedOn w:val="DefaultParagraphFont"/>
    <w:link w:val="Heading2"/>
    <w:semiHidden/>
    <w:rsid w:val="00062CA1"/>
    <w:rPr>
      <w:sz w:val="24"/>
      <w:lang w:val="fr-FR" w:eastAsia="fr-FR"/>
    </w:rPr>
  </w:style>
  <w:style w:type="character" w:customStyle="1" w:styleId="Heading3Char">
    <w:name w:val="Heading 3 Char"/>
    <w:basedOn w:val="DefaultParagraphFont"/>
    <w:link w:val="Heading3"/>
    <w:semiHidden/>
    <w:rsid w:val="00062CA1"/>
    <w:rPr>
      <w:rFonts w:ascii="Arial" w:hAnsi="Arial"/>
      <w:sz w:val="24"/>
      <w:lang w:val="fr-FR" w:eastAsia="fr-FR"/>
    </w:rPr>
  </w:style>
  <w:style w:type="character" w:customStyle="1" w:styleId="Heading4Char">
    <w:name w:val="Heading 4 Char"/>
    <w:basedOn w:val="DefaultParagraphFont"/>
    <w:link w:val="Heading4"/>
    <w:semiHidden/>
    <w:rsid w:val="00062CA1"/>
    <w:rPr>
      <w:sz w:val="24"/>
      <w:lang w:val="en-US" w:eastAsia="fr-FR"/>
    </w:rPr>
  </w:style>
  <w:style w:type="character" w:customStyle="1" w:styleId="Heading5Char">
    <w:name w:val="Heading 5 Char"/>
    <w:basedOn w:val="DefaultParagraphFont"/>
    <w:link w:val="Heading5"/>
    <w:semiHidden/>
    <w:rsid w:val="00062CA1"/>
    <w:rPr>
      <w:sz w:val="24"/>
      <w:lang w:val="en-US" w:eastAsia="fr-FR"/>
    </w:rPr>
  </w:style>
  <w:style w:type="character" w:customStyle="1" w:styleId="Heading6Char">
    <w:name w:val="Heading 6 Char"/>
    <w:basedOn w:val="DefaultParagraphFont"/>
    <w:link w:val="Heading6"/>
    <w:semiHidden/>
    <w:rsid w:val="00062CA1"/>
    <w:rPr>
      <w:i/>
      <w:sz w:val="22"/>
      <w:lang w:val="lt-LT"/>
    </w:rPr>
  </w:style>
  <w:style w:type="character" w:customStyle="1" w:styleId="Heading7Char">
    <w:name w:val="Heading 7 Char"/>
    <w:basedOn w:val="DefaultParagraphFont"/>
    <w:link w:val="Heading7"/>
    <w:semiHidden/>
    <w:rsid w:val="00062CA1"/>
    <w:rPr>
      <w:rFonts w:ascii="Arial" w:hAnsi="Arial"/>
      <w:sz w:val="24"/>
      <w:lang w:val="lt-LT"/>
    </w:rPr>
  </w:style>
  <w:style w:type="character" w:customStyle="1" w:styleId="Heading8Char">
    <w:name w:val="Heading 8 Char"/>
    <w:basedOn w:val="DefaultParagraphFont"/>
    <w:link w:val="Heading8"/>
    <w:semiHidden/>
    <w:rsid w:val="00062CA1"/>
    <w:rPr>
      <w:rFonts w:ascii="Arial" w:hAnsi="Arial"/>
      <w:i/>
      <w:sz w:val="24"/>
      <w:lang w:val="lt-LT"/>
    </w:rPr>
  </w:style>
  <w:style w:type="character" w:customStyle="1" w:styleId="Heading9Char">
    <w:name w:val="Heading 9 Char"/>
    <w:basedOn w:val="DefaultParagraphFont"/>
    <w:link w:val="Heading9"/>
    <w:semiHidden/>
    <w:rsid w:val="00062CA1"/>
    <w:rPr>
      <w:rFonts w:ascii="Arial" w:hAnsi="Arial"/>
      <w:b/>
      <w:i/>
      <w:sz w:val="18"/>
      <w:lang w:val="lt-LT"/>
    </w:rPr>
  </w:style>
  <w:style w:type="paragraph" w:styleId="TOCHeading">
    <w:name w:val="TOC Heading"/>
    <w:basedOn w:val="Normal"/>
    <w:next w:val="Normal"/>
    <w:unhideWhenUsed/>
    <w:qFormat/>
    <w:rsid w:val="00062CA1"/>
    <w:pPr>
      <w:widowControl/>
      <w:spacing w:after="240"/>
    </w:pPr>
    <w:rPr>
      <w:lang w:val="en-GB"/>
    </w:rPr>
  </w:style>
  <w:style w:type="paragraph" w:customStyle="1" w:styleId="EPFooter2">
    <w:name w:val="EPFooter2"/>
    <w:basedOn w:val="Normal"/>
    <w:next w:val="Normal"/>
    <w:rsid w:val="00062CA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62CA1"/>
    <w:pPr>
      <w:keepNext/>
      <w:spacing w:after="240"/>
      <w:jc w:val="right"/>
    </w:pPr>
    <w:rPr>
      <w:rFonts w:ascii="Arial" w:hAnsi="Arial"/>
      <w:b/>
    </w:rPr>
  </w:style>
  <w:style w:type="paragraph" w:customStyle="1" w:styleId="Normal6a">
    <w:name w:val="Normal6a"/>
    <w:basedOn w:val="Normal"/>
    <w:rsid w:val="00062CA1"/>
    <w:pPr>
      <w:spacing w:after="120"/>
    </w:pPr>
  </w:style>
  <w:style w:type="paragraph" w:customStyle="1" w:styleId="PageHeading">
    <w:name w:val="PageHeading"/>
    <w:basedOn w:val="Normal"/>
    <w:qFormat/>
    <w:rsid w:val="00062CA1"/>
    <w:pPr>
      <w:keepNext/>
      <w:spacing w:after="480"/>
      <w:jc w:val="center"/>
    </w:pPr>
    <w:rPr>
      <w:rFonts w:ascii="Arial" w:hAnsi="Arial" w:cs="Arial"/>
      <w:b/>
    </w:rPr>
  </w:style>
  <w:style w:type="paragraph" w:customStyle="1" w:styleId="NormalBold">
    <w:name w:val="NormalBold"/>
    <w:basedOn w:val="Normal"/>
    <w:link w:val="NormalBoldChar"/>
    <w:rsid w:val="00062CA1"/>
    <w:rPr>
      <w:b/>
    </w:rPr>
  </w:style>
  <w:style w:type="paragraph" w:customStyle="1" w:styleId="NormalBold12a">
    <w:name w:val="NormalBold12a"/>
    <w:basedOn w:val="Normal"/>
    <w:rsid w:val="00062CA1"/>
    <w:pPr>
      <w:spacing w:after="240"/>
    </w:pPr>
    <w:rPr>
      <w:b/>
    </w:rPr>
  </w:style>
  <w:style w:type="paragraph" w:customStyle="1" w:styleId="AmJustText">
    <w:name w:val="AmJustText"/>
    <w:basedOn w:val="Normal"/>
    <w:rsid w:val="00062CA1"/>
    <w:pPr>
      <w:spacing w:after="240"/>
    </w:pPr>
    <w:rPr>
      <w:i/>
    </w:rPr>
  </w:style>
  <w:style w:type="paragraph" w:customStyle="1" w:styleId="NormalHanging12a">
    <w:name w:val="NormalHanging12a"/>
    <w:basedOn w:val="Normal"/>
    <w:rsid w:val="00062CA1"/>
    <w:pPr>
      <w:spacing w:after="240"/>
      <w:ind w:left="567" w:hanging="567"/>
    </w:pPr>
  </w:style>
  <w:style w:type="paragraph" w:customStyle="1" w:styleId="CoverNormal24a">
    <w:name w:val="CoverNormal24a"/>
    <w:basedOn w:val="Normal"/>
    <w:rsid w:val="00062CA1"/>
    <w:pPr>
      <w:spacing w:after="480"/>
      <w:ind w:left="1417"/>
    </w:pPr>
  </w:style>
  <w:style w:type="paragraph" w:customStyle="1" w:styleId="CoverNormal">
    <w:name w:val="CoverNormal"/>
    <w:basedOn w:val="Normal"/>
    <w:rsid w:val="00062CA1"/>
    <w:pPr>
      <w:ind w:left="1418"/>
    </w:pPr>
  </w:style>
  <w:style w:type="paragraph" w:customStyle="1" w:styleId="AmCrossRef">
    <w:name w:val="AmCrossRef"/>
    <w:basedOn w:val="Normal"/>
    <w:rsid w:val="00062CA1"/>
    <w:pPr>
      <w:spacing w:before="240" w:after="240"/>
      <w:jc w:val="center"/>
    </w:pPr>
    <w:rPr>
      <w:i/>
    </w:rPr>
  </w:style>
  <w:style w:type="paragraph" w:customStyle="1" w:styleId="AmJustTitle">
    <w:name w:val="AmJustTitle"/>
    <w:basedOn w:val="Normal"/>
    <w:next w:val="AmJustText"/>
    <w:rsid w:val="00062CA1"/>
    <w:pPr>
      <w:keepNext/>
      <w:spacing w:before="240" w:after="240"/>
      <w:jc w:val="center"/>
    </w:pPr>
    <w:rPr>
      <w:i/>
    </w:rPr>
  </w:style>
  <w:style w:type="paragraph" w:customStyle="1" w:styleId="CoverReference">
    <w:name w:val="CoverReference"/>
    <w:basedOn w:val="Normal"/>
    <w:rsid w:val="00062CA1"/>
    <w:pPr>
      <w:spacing w:before="1080"/>
      <w:jc w:val="right"/>
    </w:pPr>
    <w:rPr>
      <w:rFonts w:ascii="Arial" w:hAnsi="Arial" w:cs="Arial"/>
      <w:b/>
    </w:rPr>
  </w:style>
  <w:style w:type="paragraph" w:customStyle="1" w:styleId="CoverDocType">
    <w:name w:val="CoverDocType"/>
    <w:basedOn w:val="Normal"/>
    <w:rsid w:val="00062CA1"/>
    <w:pPr>
      <w:ind w:left="1418"/>
    </w:pPr>
    <w:rPr>
      <w:rFonts w:ascii="Arial" w:hAnsi="Arial"/>
      <w:b/>
      <w:sz w:val="48"/>
    </w:rPr>
  </w:style>
  <w:style w:type="paragraph" w:customStyle="1" w:styleId="CoverDocType24a">
    <w:name w:val="CoverDocType24a"/>
    <w:basedOn w:val="Normal"/>
    <w:rsid w:val="00062CA1"/>
    <w:pPr>
      <w:spacing w:after="480"/>
      <w:ind w:left="1418"/>
    </w:pPr>
    <w:rPr>
      <w:rFonts w:ascii="Arial" w:hAnsi="Arial"/>
      <w:b/>
      <w:sz w:val="48"/>
    </w:rPr>
  </w:style>
  <w:style w:type="paragraph" w:customStyle="1" w:styleId="CoverDate">
    <w:name w:val="CoverDate"/>
    <w:basedOn w:val="Normal"/>
    <w:rsid w:val="00062CA1"/>
    <w:pPr>
      <w:spacing w:before="240" w:after="1200"/>
    </w:pPr>
  </w:style>
  <w:style w:type="paragraph" w:styleId="Header">
    <w:name w:val="header"/>
    <w:basedOn w:val="Normal"/>
    <w:link w:val="HeaderChar"/>
    <w:rsid w:val="00062CA1"/>
    <w:pPr>
      <w:tabs>
        <w:tab w:val="center" w:pos="4513"/>
        <w:tab w:val="right" w:pos="9026"/>
      </w:tabs>
    </w:pPr>
  </w:style>
  <w:style w:type="character" w:customStyle="1" w:styleId="HeaderChar">
    <w:name w:val="Header Char"/>
    <w:basedOn w:val="DefaultParagraphFont"/>
    <w:link w:val="Header"/>
    <w:rsid w:val="00062CA1"/>
    <w:rPr>
      <w:sz w:val="24"/>
      <w:lang w:val="lt-LT"/>
    </w:rPr>
  </w:style>
  <w:style w:type="paragraph" w:customStyle="1" w:styleId="AmOrLang">
    <w:name w:val="AmOrLang"/>
    <w:basedOn w:val="Normal"/>
    <w:rsid w:val="00062CA1"/>
    <w:pPr>
      <w:spacing w:before="240" w:after="240"/>
      <w:jc w:val="right"/>
    </w:pPr>
  </w:style>
  <w:style w:type="paragraph" w:customStyle="1" w:styleId="AmColumnHeading">
    <w:name w:val="AmColumnHeading"/>
    <w:basedOn w:val="Normal"/>
    <w:rsid w:val="00062CA1"/>
    <w:pPr>
      <w:spacing w:after="240"/>
      <w:jc w:val="center"/>
    </w:pPr>
    <w:rPr>
      <w:i/>
    </w:rPr>
  </w:style>
  <w:style w:type="paragraph" w:customStyle="1" w:styleId="AmNumberTabs">
    <w:name w:val="AmNumberTabs"/>
    <w:basedOn w:val="Normal"/>
    <w:rsid w:val="00062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62CA1"/>
    <w:pPr>
      <w:spacing w:before="240"/>
    </w:pPr>
    <w:rPr>
      <w:b/>
    </w:rPr>
  </w:style>
  <w:style w:type="paragraph" w:customStyle="1" w:styleId="EPBody">
    <w:name w:val="EPBody"/>
    <w:basedOn w:val="Normal"/>
    <w:rsid w:val="00062CA1"/>
    <w:pPr>
      <w:jc w:val="center"/>
    </w:pPr>
    <w:rPr>
      <w:rFonts w:ascii="Arial" w:hAnsi="Arial" w:cs="Arial"/>
      <w:i/>
      <w:sz w:val="22"/>
      <w:szCs w:val="22"/>
    </w:rPr>
  </w:style>
  <w:style w:type="paragraph" w:customStyle="1" w:styleId="EPFooter">
    <w:name w:val="EPFooter"/>
    <w:basedOn w:val="Normal"/>
    <w:rsid w:val="00062CA1"/>
    <w:pPr>
      <w:tabs>
        <w:tab w:val="center" w:pos="4535"/>
        <w:tab w:val="right" w:pos="9071"/>
      </w:tabs>
      <w:spacing w:before="240" w:after="240"/>
    </w:pPr>
    <w:rPr>
      <w:color w:val="010000"/>
      <w:sz w:val="22"/>
    </w:rPr>
  </w:style>
  <w:style w:type="paragraph" w:customStyle="1" w:styleId="EPComma">
    <w:name w:val="EPComma"/>
    <w:basedOn w:val="Normal"/>
    <w:rsid w:val="00062CA1"/>
    <w:pPr>
      <w:spacing w:before="480" w:after="240"/>
    </w:pPr>
  </w:style>
  <w:style w:type="paragraph" w:customStyle="1" w:styleId="Lgendesigne">
    <w:name w:val="Légende signe"/>
    <w:basedOn w:val="Normal"/>
    <w:rsid w:val="00062CA1"/>
    <w:pPr>
      <w:tabs>
        <w:tab w:val="right" w:pos="454"/>
        <w:tab w:val="left" w:pos="737"/>
      </w:tabs>
      <w:ind w:left="737" w:hanging="737"/>
    </w:pPr>
    <w:rPr>
      <w:snapToGrid w:val="0"/>
      <w:sz w:val="18"/>
      <w:lang w:eastAsia="en-US"/>
    </w:rPr>
  </w:style>
  <w:style w:type="paragraph" w:customStyle="1" w:styleId="Lgendetitre">
    <w:name w:val="Légende titre"/>
    <w:basedOn w:val="Normal"/>
    <w:rsid w:val="00062CA1"/>
    <w:pPr>
      <w:spacing w:before="240" w:after="240"/>
    </w:pPr>
    <w:rPr>
      <w:b/>
      <w:i/>
      <w:snapToGrid w:val="0"/>
      <w:lang w:eastAsia="en-US"/>
    </w:rPr>
  </w:style>
  <w:style w:type="paragraph" w:customStyle="1" w:styleId="Lgendestandard">
    <w:name w:val="Légende standard"/>
    <w:basedOn w:val="Normal"/>
    <w:rsid w:val="00062CA1"/>
    <w:rPr>
      <w:sz w:val="18"/>
    </w:rPr>
  </w:style>
  <w:style w:type="paragraph" w:customStyle="1" w:styleId="Default">
    <w:name w:val="Default"/>
    <w:rsid w:val="00062CA1"/>
    <w:pPr>
      <w:autoSpaceDE w:val="0"/>
      <w:autoSpaceDN w:val="0"/>
      <w:adjustRightInd w:val="0"/>
    </w:pPr>
    <w:rPr>
      <w:color w:val="000000"/>
      <w:sz w:val="24"/>
      <w:szCs w:val="24"/>
      <w:lang w:val="lt-LT"/>
    </w:rPr>
  </w:style>
  <w:style w:type="character" w:customStyle="1" w:styleId="Normal6Char">
    <w:name w:val="Normal6 Char"/>
    <w:basedOn w:val="DefaultParagraphFont"/>
    <w:link w:val="Normal6"/>
    <w:locked/>
    <w:rsid w:val="00062CA1"/>
    <w:rPr>
      <w:sz w:val="24"/>
      <w:lang w:val="lt-LT"/>
    </w:rPr>
  </w:style>
  <w:style w:type="paragraph" w:customStyle="1" w:styleId="Normal6">
    <w:name w:val="Normal6"/>
    <w:basedOn w:val="Normal"/>
    <w:link w:val="Normal6Char"/>
    <w:rsid w:val="00062CA1"/>
    <w:pPr>
      <w:spacing w:after="120"/>
    </w:pPr>
  </w:style>
  <w:style w:type="character" w:customStyle="1" w:styleId="NormalBoldChar">
    <w:name w:val="NormalBold Char"/>
    <w:basedOn w:val="DefaultParagraphFont"/>
    <w:link w:val="NormalBold"/>
    <w:locked/>
    <w:rsid w:val="00062CA1"/>
    <w:rPr>
      <w:b/>
      <w:sz w:val="24"/>
      <w:lang w:val="lt-LT"/>
    </w:rPr>
  </w:style>
  <w:style w:type="paragraph" w:customStyle="1" w:styleId="ColumnHeading">
    <w:name w:val="ColumnHeading"/>
    <w:basedOn w:val="Normal"/>
    <w:rsid w:val="00062CA1"/>
    <w:pPr>
      <w:spacing w:after="240"/>
      <w:jc w:val="center"/>
    </w:pPr>
    <w:rPr>
      <w:i/>
    </w:rPr>
  </w:style>
  <w:style w:type="paragraph" w:customStyle="1" w:styleId="AMNumberTabs0">
    <w:name w:val="AMNumberTabs"/>
    <w:basedOn w:val="Normal"/>
    <w:rsid w:val="00062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62CA1"/>
    <w:pPr>
      <w:jc w:val="right"/>
    </w:pPr>
    <w:rPr>
      <w:lang w:val="lt-LT"/>
    </w:rPr>
  </w:style>
  <w:style w:type="character" w:styleId="Hyperlink">
    <w:name w:val="Hyperlink"/>
    <w:basedOn w:val="DefaultParagraphFont"/>
    <w:unhideWhenUsed/>
    <w:rsid w:val="00062CA1"/>
    <w:rPr>
      <w:color w:val="467886"/>
      <w:u w:val="single"/>
    </w:rPr>
  </w:style>
  <w:style w:type="paragraph" w:styleId="Revision">
    <w:name w:val="Revision"/>
    <w:hidden/>
    <w:uiPriority w:val="99"/>
    <w:semiHidden/>
    <w:rsid w:val="00062CA1"/>
    <w:rPr>
      <w:sz w:val="24"/>
      <w:lang w:val="lt-LT"/>
    </w:rPr>
  </w:style>
  <w:style w:type="character" w:styleId="CommentReference">
    <w:name w:val="annotation reference"/>
    <w:basedOn w:val="DefaultParagraphFont"/>
    <w:rsid w:val="00062CA1"/>
    <w:rPr>
      <w:sz w:val="16"/>
      <w:szCs w:val="16"/>
    </w:rPr>
  </w:style>
  <w:style w:type="paragraph" w:styleId="CommentText">
    <w:name w:val="annotation text"/>
    <w:basedOn w:val="Normal"/>
    <w:link w:val="CommentTextChar"/>
    <w:rsid w:val="00062CA1"/>
    <w:rPr>
      <w:sz w:val="20"/>
    </w:rPr>
  </w:style>
  <w:style w:type="character" w:customStyle="1" w:styleId="CommentTextChar">
    <w:name w:val="Comment Text Char"/>
    <w:basedOn w:val="DefaultParagraphFont"/>
    <w:link w:val="CommentText"/>
    <w:rsid w:val="00062CA1"/>
    <w:rPr>
      <w:lang w:val="lt-LT"/>
    </w:rPr>
  </w:style>
  <w:style w:type="paragraph" w:styleId="CommentSubject">
    <w:name w:val="annotation subject"/>
    <w:basedOn w:val="CommentText"/>
    <w:next w:val="CommentText"/>
    <w:link w:val="CommentSubjectChar"/>
    <w:unhideWhenUsed/>
    <w:rsid w:val="00062CA1"/>
    <w:rPr>
      <w:b/>
      <w:bCs/>
    </w:rPr>
  </w:style>
  <w:style w:type="character" w:customStyle="1" w:styleId="CommentSubjectChar">
    <w:name w:val="Comment Subject Char"/>
    <w:basedOn w:val="CommentTextChar"/>
    <w:link w:val="CommentSubject"/>
    <w:rsid w:val="00062CA1"/>
    <w:rPr>
      <w:b/>
      <w:bCs/>
      <w:lang w:val="lt-LT"/>
    </w:rPr>
  </w:style>
  <w:style w:type="character" w:styleId="UnresolvedMention">
    <w:name w:val="Unresolved Mention"/>
    <w:basedOn w:val="DefaultParagraphFont"/>
    <w:uiPriority w:val="99"/>
    <w:semiHidden/>
    <w:unhideWhenUsed/>
    <w:rsid w:val="00062CA1"/>
    <w:rPr>
      <w:color w:val="605E5C"/>
      <w:shd w:val="clear" w:color="auto" w:fill="E1DFDD"/>
    </w:rPr>
  </w:style>
  <w:style w:type="character" w:styleId="Emphasis">
    <w:name w:val="Emphasis"/>
    <w:basedOn w:val="DefaultParagraphFont"/>
    <w:uiPriority w:val="20"/>
    <w:qFormat/>
    <w:rsid w:val="00062CA1"/>
    <w:rPr>
      <w:i/>
      <w:iCs/>
    </w:rPr>
  </w:style>
  <w:style w:type="paragraph" w:styleId="ListParagraph">
    <w:name w:val="List Paragraph"/>
    <w:basedOn w:val="Normal"/>
    <w:uiPriority w:val="1"/>
    <w:qFormat/>
    <w:rsid w:val="00062CA1"/>
    <w:pPr>
      <w:ind w:left="720"/>
      <w:contextualSpacing/>
    </w:pPr>
  </w:style>
  <w:style w:type="paragraph" w:styleId="BodyText">
    <w:name w:val="Body Text"/>
    <w:basedOn w:val="Normal"/>
    <w:link w:val="BodyTextChar"/>
    <w:uiPriority w:val="1"/>
    <w:unhideWhenUsed/>
    <w:qFormat/>
    <w:rsid w:val="00062CA1"/>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062CA1"/>
    <w:rPr>
      <w:sz w:val="24"/>
      <w:szCs w:val="24"/>
      <w:lang w:val="lt-LT" w:eastAsia="en-US"/>
    </w:rPr>
  </w:style>
  <w:style w:type="paragraph" w:customStyle="1" w:styleId="Normal12a">
    <w:name w:val="Normal12a"/>
    <w:basedOn w:val="Normal"/>
    <w:rsid w:val="00062CA1"/>
    <w:pPr>
      <w:spacing w:after="240"/>
    </w:pPr>
  </w:style>
  <w:style w:type="paragraph" w:customStyle="1" w:styleId="PageHeadingNotTOC">
    <w:name w:val="PageHeadingNotTOC"/>
    <w:basedOn w:val="Normal"/>
    <w:rsid w:val="00062CA1"/>
    <w:pPr>
      <w:keepNext/>
      <w:spacing w:after="480"/>
      <w:jc w:val="center"/>
    </w:pPr>
    <w:rPr>
      <w:rFonts w:ascii="Arial" w:hAnsi="Arial" w:cs="Arial"/>
      <w:b/>
    </w:rPr>
  </w:style>
  <w:style w:type="paragraph" w:customStyle="1" w:styleId="AmHeadingPA">
    <w:name w:val="AmHeadingPA"/>
    <w:basedOn w:val="Normal"/>
    <w:next w:val="Normal"/>
    <w:rsid w:val="00062CA1"/>
    <w:pPr>
      <w:spacing w:before="480" w:after="240"/>
      <w:jc w:val="center"/>
    </w:pPr>
    <w:rPr>
      <w:rFonts w:ascii="Arial" w:hAnsi="Arial"/>
      <w:b/>
      <w:caps/>
      <w:snapToGrid w:val="0"/>
      <w:szCs w:val="24"/>
      <w:lang w:eastAsia="en-US"/>
    </w:rPr>
  </w:style>
  <w:style w:type="paragraph" w:customStyle="1" w:styleId="Normal24a">
    <w:name w:val="Normal24a"/>
    <w:basedOn w:val="Normal"/>
    <w:rsid w:val="00062CA1"/>
    <w:pPr>
      <w:spacing w:after="480"/>
    </w:pPr>
    <w:rPr>
      <w:szCs w:val="24"/>
    </w:rPr>
  </w:style>
  <w:style w:type="paragraph" w:customStyle="1" w:styleId="NormalBoldCenter">
    <w:name w:val="NormalBoldCenter"/>
    <w:basedOn w:val="Normal"/>
    <w:rsid w:val="00062CA1"/>
    <w:pPr>
      <w:jc w:val="center"/>
    </w:pPr>
    <w:rPr>
      <w:b/>
      <w:szCs w:val="24"/>
    </w:rPr>
  </w:style>
  <w:style w:type="paragraph" w:customStyle="1" w:styleId="Footprint12b">
    <w:name w:val="Footprint12b"/>
    <w:basedOn w:val="Normal"/>
    <w:rsid w:val="00062CA1"/>
    <w:pPr>
      <w:spacing w:before="240"/>
    </w:pPr>
    <w:rPr>
      <w:szCs w:val="24"/>
    </w:rPr>
  </w:style>
  <w:style w:type="paragraph" w:customStyle="1" w:styleId="NormalSingle">
    <w:name w:val="NormalSingle"/>
    <w:basedOn w:val="Normal"/>
    <w:qFormat/>
    <w:rsid w:val="00062CA1"/>
    <w:rPr>
      <w:szCs w:val="24"/>
    </w:rPr>
  </w:style>
  <w:style w:type="paragraph" w:customStyle="1" w:styleId="RollCallSymbols14pt">
    <w:name w:val="RollCallSymbols14pt"/>
    <w:basedOn w:val="Normal"/>
    <w:rsid w:val="00062CA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2CA1"/>
    <w:pPr>
      <w:tabs>
        <w:tab w:val="center" w:pos="284"/>
        <w:tab w:val="left" w:pos="426"/>
      </w:tabs>
    </w:pPr>
    <w:rPr>
      <w:snapToGrid w:val="0"/>
      <w:lang w:eastAsia="en-US"/>
    </w:rPr>
  </w:style>
  <w:style w:type="paragraph" w:customStyle="1" w:styleId="RollCallVotes">
    <w:name w:val="RollCallVotes"/>
    <w:basedOn w:val="Normal"/>
    <w:rsid w:val="00062CA1"/>
    <w:pPr>
      <w:spacing w:before="120" w:after="120"/>
      <w:jc w:val="center"/>
    </w:pPr>
    <w:rPr>
      <w:b/>
      <w:bCs/>
      <w:snapToGrid w:val="0"/>
      <w:sz w:val="16"/>
      <w:lang w:eastAsia="en-US"/>
    </w:rPr>
  </w:style>
  <w:style w:type="paragraph" w:customStyle="1" w:styleId="RollCallTable">
    <w:name w:val="RollCallTable"/>
    <w:basedOn w:val="Normal"/>
    <w:rsid w:val="00062CA1"/>
    <w:pPr>
      <w:spacing w:before="120" w:after="120"/>
    </w:pPr>
    <w:rPr>
      <w:snapToGrid w:val="0"/>
      <w:sz w:val="16"/>
      <w:lang w:eastAsia="en-US"/>
    </w:rPr>
  </w:style>
  <w:style w:type="paragraph" w:styleId="Footer">
    <w:name w:val="footer"/>
    <w:basedOn w:val="Normal"/>
    <w:link w:val="FooterChar"/>
    <w:rsid w:val="00062CA1"/>
    <w:pPr>
      <w:tabs>
        <w:tab w:val="center" w:pos="4513"/>
        <w:tab w:val="right" w:pos="9026"/>
      </w:tabs>
    </w:pPr>
  </w:style>
  <w:style w:type="character" w:customStyle="1" w:styleId="FooterChar">
    <w:name w:val="Footer Char"/>
    <w:basedOn w:val="DefaultParagraphFont"/>
    <w:link w:val="Footer"/>
    <w:rsid w:val="00062CA1"/>
    <w:rPr>
      <w:sz w:val="24"/>
      <w:lang w:val="lt-LT"/>
    </w:rPr>
  </w:style>
  <w:style w:type="paragraph" w:customStyle="1" w:styleId="Typedudocument">
    <w:name w:val="Type du document"/>
    <w:basedOn w:val="Normal"/>
    <w:next w:val="Normal"/>
    <w:rsid w:val="00DC1ACE"/>
    <w:pPr>
      <w:widowControl/>
      <w:spacing w:before="360"/>
      <w:jc w:val="center"/>
    </w:pPr>
    <w:rPr>
      <w:rFonts w:eastAsia="Calibri"/>
      <w:b/>
      <w:szCs w:val="22"/>
      <w:lang w:eastAsia="en-US"/>
    </w:rPr>
  </w:style>
  <w:style w:type="paragraph" w:customStyle="1" w:styleId="FootnoteTextForceStyle">
    <w:name w:val="Footnote Text ForceStyle"/>
    <w:rsid w:val="00DC1ACE"/>
    <w:pPr>
      <w:keepLines/>
      <w:spacing w:line="240" w:lineRule="exact"/>
      <w:ind w:left="850" w:hanging="850"/>
    </w:pPr>
    <w:rPr>
      <w:sz w:val="24"/>
      <w:lang w:val="lt-LT" w:eastAsia="en-US"/>
    </w:rPr>
  </w:style>
  <w:style w:type="character" w:customStyle="1" w:styleId="Footer2">
    <w:name w:val="Footer2"/>
    <w:rsid w:val="00DC1ACE"/>
    <w:rPr>
      <w:rFonts w:ascii="Arial" w:hAnsi="Arial"/>
      <w:b/>
      <w:sz w:val="48"/>
    </w:rPr>
  </w:style>
  <w:style w:type="paragraph" w:customStyle="1" w:styleId="Footer1">
    <w:name w:val="Footer1"/>
    <w:basedOn w:val="Normal"/>
    <w:rsid w:val="00DC1ACE"/>
    <w:pPr>
      <w:widowControl/>
      <w:tabs>
        <w:tab w:val="center" w:pos="4534"/>
        <w:tab w:val="right" w:pos="9638"/>
        <w:tab w:val="right" w:pos="10772"/>
      </w:tabs>
      <w:spacing w:before="360" w:line="360" w:lineRule="auto"/>
      <w:ind w:left="-840" w:right="-840"/>
    </w:pPr>
    <w:rPr>
      <w:szCs w:val="24"/>
      <w:lang w:eastAsia="en-US"/>
    </w:rPr>
  </w:style>
  <w:style w:type="character" w:styleId="FollowedHyperlink">
    <w:name w:val="FollowedHyperlink"/>
    <w:basedOn w:val="DefaultParagraphFont"/>
    <w:rsid w:val="005F67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36859">
      <w:bodyDiv w:val="1"/>
      <w:marLeft w:val="0"/>
      <w:marRight w:val="0"/>
      <w:marTop w:val="0"/>
      <w:marBottom w:val="0"/>
      <w:divBdr>
        <w:top w:val="none" w:sz="0" w:space="0" w:color="auto"/>
        <w:left w:val="none" w:sz="0" w:space="0" w:color="auto"/>
        <w:bottom w:val="none" w:sz="0" w:space="0" w:color="auto"/>
        <w:right w:val="none" w:sz="0" w:space="0" w:color="auto"/>
      </w:divBdr>
    </w:div>
    <w:div w:id="13372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3501</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2026-07-01T10:20:00Z</dcterms:created>
  <dcterms:modified xsi:type="dcterms:W3CDTF">2026-07-01T10:20:00Z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P10_TA(2026)0170_</vt:lpwstr>
  </property>
  <property fmtid="{D5CDD505-2E9C-101B-9397-08002B2CF9AE}" pid="4" name="&lt;Type&gt;">
    <vt:lpwstr>RR</vt:lpwstr>
  </property>
</Properties>
</file>