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66EF" w14:paraId="165B8B83" w14:textId="77777777" w:rsidTr="0010095E">
        <w:trPr>
          <w:trHeight w:hRule="exact" w:val="1418"/>
        </w:trPr>
        <w:tc>
          <w:tcPr>
            <w:tcW w:w="6804" w:type="dxa"/>
            <w:shd w:val="clear" w:color="auto" w:fill="auto"/>
            <w:vAlign w:val="center"/>
          </w:tcPr>
          <w:p w14:paraId="477D4417" w14:textId="77777777" w:rsidR="00751A4A" w:rsidRPr="00B366EF" w:rsidRDefault="007E5C5F" w:rsidP="0010095E">
            <w:pPr>
              <w:pStyle w:val="EPName"/>
            </w:pPr>
            <w:r w:rsidRPr="00B366EF">
              <w:t>Eiropas Parlaments</w:t>
            </w:r>
          </w:p>
          <w:p w14:paraId="2BAA01FF" w14:textId="77777777" w:rsidR="00751A4A" w:rsidRPr="00B366EF" w:rsidRDefault="005F1B17" w:rsidP="005F1B17">
            <w:pPr>
              <w:pStyle w:val="EPTerm"/>
              <w:rPr>
                <w:rStyle w:val="HideTWBExt"/>
                <w:noProof w:val="0"/>
                <w:vanish w:val="0"/>
                <w:color w:val="auto"/>
              </w:rPr>
            </w:pPr>
            <w:r w:rsidRPr="00B366EF">
              <w:t>2024</w:t>
            </w:r>
            <w:r w:rsidR="00817416" w:rsidRPr="00B366EF">
              <w:t>-202</w:t>
            </w:r>
            <w:r w:rsidRPr="00B366EF">
              <w:t>9</w:t>
            </w:r>
          </w:p>
        </w:tc>
        <w:tc>
          <w:tcPr>
            <w:tcW w:w="2268" w:type="dxa"/>
            <w:shd w:val="clear" w:color="auto" w:fill="auto"/>
          </w:tcPr>
          <w:p w14:paraId="341B4CBC" w14:textId="77777777" w:rsidR="00751A4A" w:rsidRPr="00B366EF" w:rsidRDefault="00187494" w:rsidP="0010095E">
            <w:pPr>
              <w:pStyle w:val="EPLogo"/>
            </w:pPr>
            <w:r w:rsidRPr="00B366EF">
              <w:rPr>
                <w:noProof/>
                <w:lang w:eastAsia="ja-JP"/>
              </w:rPr>
              <w:drawing>
                <wp:inline distT="0" distB="0" distL="0" distR="0" wp14:anchorId="1500C449" wp14:editId="5976DA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03D171" w14:textId="77777777" w:rsidR="00D058B8" w:rsidRPr="00B366EF" w:rsidRDefault="00D058B8" w:rsidP="004C5D52">
      <w:pPr>
        <w:pStyle w:val="LineTop"/>
      </w:pPr>
    </w:p>
    <w:p w14:paraId="1A86C660" w14:textId="77777777" w:rsidR="00680577" w:rsidRPr="00B366EF" w:rsidRDefault="007E5C5F" w:rsidP="00680577">
      <w:pPr>
        <w:pStyle w:val="EPBodyTA1"/>
      </w:pPr>
      <w:r w:rsidRPr="00B366EF">
        <w:t>PIEŅEMTIE TEKSTI</w:t>
      </w:r>
    </w:p>
    <w:p w14:paraId="3F75210C" w14:textId="77777777" w:rsidR="00D058B8" w:rsidRPr="00B366EF" w:rsidRDefault="00D058B8" w:rsidP="00D058B8">
      <w:pPr>
        <w:pStyle w:val="LineBottom"/>
      </w:pPr>
    </w:p>
    <w:p w14:paraId="0B81B0D7" w14:textId="0A9C2AB5" w:rsidR="007E5C5F" w:rsidRPr="00B366EF" w:rsidRDefault="007E5C5F" w:rsidP="007E5C5F">
      <w:pPr>
        <w:pStyle w:val="ATHeading1"/>
      </w:pPr>
      <w:bookmarkStart w:id="0" w:name="TANumber"/>
      <w:r w:rsidRPr="00B366EF">
        <w:t>P10_TA(2026)0</w:t>
      </w:r>
      <w:r w:rsidR="00B366EF" w:rsidRPr="00B366EF">
        <w:t>170</w:t>
      </w:r>
      <w:bookmarkEnd w:id="0"/>
    </w:p>
    <w:p w14:paraId="0969D5AA" w14:textId="6F586981" w:rsidR="007E5C5F" w:rsidRPr="00B366EF" w:rsidRDefault="003E4125" w:rsidP="003E4125">
      <w:pPr>
        <w:pStyle w:val="ATHeading2"/>
      </w:pPr>
      <w:bookmarkStart w:id="1" w:name="title"/>
      <w:r w:rsidRPr="00B366EF">
        <w:t>Negatīvās ar tirdzniecību saistītās sekas, kuras Savienības tērauda tirgū izraisījis globālais jaudas pārpalikums</w:t>
      </w:r>
      <w:bookmarkEnd w:id="1"/>
    </w:p>
    <w:p w14:paraId="3C369F05" w14:textId="77777777" w:rsidR="007E5C5F" w:rsidRPr="00B366EF" w:rsidRDefault="007E5C5F" w:rsidP="007E5C5F">
      <w:pPr>
        <w:rPr>
          <w:i/>
          <w:vanish/>
        </w:rPr>
      </w:pPr>
      <w:r w:rsidRPr="00B366EF">
        <w:rPr>
          <w:i/>
        </w:rPr>
        <w:fldChar w:fldCharType="begin"/>
      </w:r>
      <w:r w:rsidRPr="00B366EF">
        <w:rPr>
          <w:i/>
        </w:rPr>
        <w:instrText xml:space="preserve"> TC"(</w:instrText>
      </w:r>
      <w:bookmarkStart w:id="2" w:name="DocNumber"/>
      <w:r w:rsidRPr="00B366EF">
        <w:rPr>
          <w:i/>
        </w:rPr>
        <w:instrText>A10-0012/2026</w:instrText>
      </w:r>
      <w:bookmarkEnd w:id="2"/>
      <w:r w:rsidRPr="00B366EF">
        <w:rPr>
          <w:i/>
        </w:rPr>
        <w:instrText xml:space="preserve"> - Referente: Karin Karlsbro)"\l3 \n&gt; \* MERGEFORMAT </w:instrText>
      </w:r>
      <w:r w:rsidRPr="00B366EF">
        <w:rPr>
          <w:i/>
        </w:rPr>
        <w:fldChar w:fldCharType="end"/>
      </w:r>
    </w:p>
    <w:p w14:paraId="167F4881" w14:textId="77777777" w:rsidR="007E5C5F" w:rsidRPr="00B366EF" w:rsidRDefault="007E5C5F" w:rsidP="007E5C5F">
      <w:pPr>
        <w:rPr>
          <w:vanish/>
        </w:rPr>
      </w:pPr>
      <w:bookmarkStart w:id="3" w:name="Commission"/>
      <w:r w:rsidRPr="00B366EF">
        <w:rPr>
          <w:vanish/>
        </w:rPr>
        <w:t>Starptautiskās tirdzniecības komiteja</w:t>
      </w:r>
      <w:bookmarkEnd w:id="3"/>
    </w:p>
    <w:p w14:paraId="2C0D2D7E" w14:textId="77777777" w:rsidR="007E5C5F" w:rsidRPr="00B366EF" w:rsidRDefault="007E5C5F" w:rsidP="007E5C5F">
      <w:pPr>
        <w:rPr>
          <w:vanish/>
        </w:rPr>
      </w:pPr>
      <w:bookmarkStart w:id="4" w:name="PE"/>
      <w:r w:rsidRPr="00B366EF">
        <w:rPr>
          <w:vanish/>
        </w:rPr>
        <w:t>PE779.727</w:t>
      </w:r>
      <w:bookmarkEnd w:id="4"/>
    </w:p>
    <w:p w14:paraId="10971032" w14:textId="555F972C" w:rsidR="007E5C5F" w:rsidRPr="00B366EF" w:rsidRDefault="007E5C5F" w:rsidP="007E5C5F">
      <w:pPr>
        <w:pStyle w:val="ATHeading3"/>
      </w:pPr>
      <w:bookmarkStart w:id="5" w:name="Sujet"/>
      <w:r w:rsidRPr="00B366EF">
        <w:t xml:space="preserve">Eiropas Parlamenta 2026. gada </w:t>
      </w:r>
      <w:r w:rsidR="002F165F" w:rsidRPr="00B366EF">
        <w:t>19. maija</w:t>
      </w:r>
      <w:r w:rsidRPr="00B366EF">
        <w:t xml:space="preserve"> normatīvā rezolūcija par priekšlikumu Eiropas Parlamenta un Padomes regulai, </w:t>
      </w:r>
      <w:bookmarkEnd w:id="5"/>
      <w:r w:rsidR="00BF6EAB" w:rsidRPr="00A23EC4">
        <w:rPr>
          <w:noProof/>
        </w:rPr>
        <w:t>ar ko risina negatīvās ar tirdzniecību saistītās sekas, kuras Savienības tirgū izraisījis globālais jaudas pārpalikums</w:t>
      </w:r>
      <w:r w:rsidRPr="00B366EF">
        <w:t xml:space="preserve"> </w:t>
      </w:r>
      <w:bookmarkStart w:id="6" w:name="References"/>
      <w:r w:rsidRPr="00B366EF">
        <w:t>(COM(2025)0726 – C10-0245/2025 – 2025/0726(COD))</w:t>
      </w:r>
      <w:bookmarkEnd w:id="6"/>
    </w:p>
    <w:p w14:paraId="1B2D1A76" w14:textId="77777777" w:rsidR="00D67A58" w:rsidRPr="00B366EF" w:rsidRDefault="00D67A58" w:rsidP="00D67A58">
      <w:pPr>
        <w:pStyle w:val="NormalBold"/>
      </w:pPr>
      <w:r w:rsidRPr="00B366EF">
        <w:t>(Parastā likumdošanas procedūra: pirmais lasījums)</w:t>
      </w:r>
    </w:p>
    <w:p w14:paraId="2C5CDE89" w14:textId="77777777" w:rsidR="00D67A58" w:rsidRPr="00B366EF" w:rsidRDefault="00D67A58" w:rsidP="00D67A58">
      <w:pPr>
        <w:pStyle w:val="EPComma"/>
      </w:pPr>
      <w:r w:rsidRPr="00B366EF">
        <w:rPr>
          <w:i/>
        </w:rPr>
        <w:t>Eiropas Parlaments</w:t>
      </w:r>
      <w:r w:rsidRPr="00B366EF">
        <w:t>,</w:t>
      </w:r>
    </w:p>
    <w:p w14:paraId="01D1F40E" w14:textId="77777777" w:rsidR="00D67A58" w:rsidRPr="00B366EF" w:rsidRDefault="00D67A58" w:rsidP="00D67A58">
      <w:pPr>
        <w:pStyle w:val="NormalHanging12a"/>
      </w:pPr>
      <w:r w:rsidRPr="00B366EF">
        <w:t>–</w:t>
      </w:r>
      <w:r w:rsidRPr="00B366EF">
        <w:tab/>
        <w:t>ņemot vērā Komisijas priekšlikumu Eiropas Parlamentam un Padomei (COM(2025)0726),</w:t>
      </w:r>
    </w:p>
    <w:p w14:paraId="6E8C7F18" w14:textId="77777777" w:rsidR="00D67A58" w:rsidRPr="00B366EF" w:rsidRDefault="00D67A58" w:rsidP="00D67A58">
      <w:pPr>
        <w:pStyle w:val="NormalHanging12a"/>
      </w:pPr>
      <w:r w:rsidRPr="00B366EF">
        <w:t>–</w:t>
      </w:r>
      <w:r w:rsidRPr="00B366EF">
        <w:tab/>
        <w:t>ņemot vērā Līguma par Eiropas Savienības darbību 294. panta 2. punktu un 207. panta 2. punktu, saskaņā ar kuriem Komisija tam ir iesniegusi priekšlikumu (C10</w:t>
      </w:r>
      <w:r w:rsidRPr="00B366EF">
        <w:noBreakHyphen/>
        <w:t>0245/2025),</w:t>
      </w:r>
    </w:p>
    <w:p w14:paraId="1EF4BCE6" w14:textId="77777777" w:rsidR="00D67A58" w:rsidRPr="00B366EF" w:rsidRDefault="00D67A58" w:rsidP="00D67A58">
      <w:pPr>
        <w:pStyle w:val="NormalHanging12a"/>
      </w:pPr>
      <w:r w:rsidRPr="00B366EF">
        <w:t>–</w:t>
      </w:r>
      <w:r w:rsidRPr="00B366EF">
        <w:tab/>
        <w:t>ņemot vērā Līguma par Eiropas Savienības darbību 294. panta 3. punktu,</w:t>
      </w:r>
    </w:p>
    <w:p w14:paraId="65AC9B29" w14:textId="672529B8" w:rsidR="002F165F" w:rsidRPr="00B366EF" w:rsidRDefault="002F165F" w:rsidP="002F165F">
      <w:pPr>
        <w:pStyle w:val="NormalHanging12a"/>
      </w:pPr>
      <w:r w:rsidRPr="00B366EF">
        <w:t>–</w:t>
      </w:r>
      <w:r w:rsidRPr="00B366EF">
        <w:tab/>
        <w:t>ņemot vērā provizorisko vienošanos, ko atbildīgā komiteja apstiprināja saskaņā ar Reglamenta 75. panta 4. punktu, un Padomes pārstāvja 2026. gada 23. aprīļa vēstulē pausto apņemšanos apstiprināt Parlamenta nostāju saskaņā ar Līguma par Eiropas Savienības darbību 294. panta 4. punktu,</w:t>
      </w:r>
    </w:p>
    <w:p w14:paraId="2DFF93CE" w14:textId="77777777" w:rsidR="00D67A58" w:rsidRPr="00B366EF" w:rsidRDefault="00D67A58" w:rsidP="00D67A58">
      <w:pPr>
        <w:pStyle w:val="NormalHanging12a"/>
      </w:pPr>
      <w:r w:rsidRPr="00B366EF">
        <w:t>–</w:t>
      </w:r>
      <w:r w:rsidRPr="00B366EF">
        <w:tab/>
        <w:t>ņemot vērā Reglamenta 60. pantu,</w:t>
      </w:r>
    </w:p>
    <w:p w14:paraId="40D60DEB" w14:textId="77777777" w:rsidR="00D67A58" w:rsidRPr="00B366EF" w:rsidRDefault="00D67A58" w:rsidP="00D67A58">
      <w:pPr>
        <w:pStyle w:val="NormalHanging12a"/>
      </w:pPr>
      <w:r w:rsidRPr="00B366EF">
        <w:t>–</w:t>
      </w:r>
      <w:r w:rsidRPr="00B366EF">
        <w:tab/>
        <w:t>ņemot vērā Rūpniecības, pētniecības un enerģētikas komitejas atzinumu,</w:t>
      </w:r>
    </w:p>
    <w:p w14:paraId="6EE0C02B" w14:textId="77777777" w:rsidR="00D67A58" w:rsidRPr="00B366EF" w:rsidRDefault="00D67A58" w:rsidP="00D67A58">
      <w:pPr>
        <w:pStyle w:val="NormalHanging12a"/>
      </w:pPr>
      <w:r w:rsidRPr="00B366EF">
        <w:t>–</w:t>
      </w:r>
      <w:r w:rsidRPr="00B366EF">
        <w:tab/>
        <w:t>ņemot vērā Starptautiskās tirdzniecības komitejas ziņojumu (A10-0012/2026),</w:t>
      </w:r>
    </w:p>
    <w:p w14:paraId="3F391C9E" w14:textId="3CDF8E72" w:rsidR="00D67A58" w:rsidRPr="00B366EF" w:rsidRDefault="002F165F" w:rsidP="002F165F">
      <w:pPr>
        <w:pStyle w:val="NormalHanging12a"/>
      </w:pPr>
      <w:r w:rsidRPr="00B366EF">
        <w:t>1.</w:t>
      </w:r>
      <w:r w:rsidRPr="00B366EF">
        <w:tab/>
      </w:r>
      <w:r w:rsidR="00D67A58" w:rsidRPr="00B366EF">
        <w:t>pieņem pirmajā lasījumā tālāk izklāstīto nostāju;</w:t>
      </w:r>
    </w:p>
    <w:p w14:paraId="18E87B29" w14:textId="3C3F00B0" w:rsidR="002F165F" w:rsidRPr="00B366EF" w:rsidRDefault="002F165F" w:rsidP="002F165F">
      <w:pPr>
        <w:pStyle w:val="NormalHanging12a"/>
      </w:pPr>
      <w:bookmarkStart w:id="7" w:name="_Hlk230010539"/>
      <w:r w:rsidRPr="00B366EF">
        <w:t>2.</w:t>
      </w:r>
      <w:r w:rsidRPr="00B366EF">
        <w:tab/>
        <w:t xml:space="preserve">apstiprina Eiropas Parlamenta, Padomes un Komisijas kopīgo paziņojumu, kas pievienots šai rezolūcijai un kas tiks publicēts </w:t>
      </w:r>
      <w:r w:rsidRPr="00B366EF">
        <w:rPr>
          <w:i/>
        </w:rPr>
        <w:t>Eiropas Savienības Oficiālā Vēstneša</w:t>
      </w:r>
      <w:r w:rsidRPr="00B366EF">
        <w:t xml:space="preserve"> C sērijā;</w:t>
      </w:r>
    </w:p>
    <w:bookmarkEnd w:id="7"/>
    <w:p w14:paraId="0D0BC1ED" w14:textId="68AD2033" w:rsidR="00D67A58" w:rsidRPr="00B366EF" w:rsidRDefault="002F165F" w:rsidP="00D67A58">
      <w:pPr>
        <w:pStyle w:val="NormalHanging12a"/>
      </w:pPr>
      <w:r w:rsidRPr="00B366EF">
        <w:lastRenderedPageBreak/>
        <w:t>3</w:t>
      </w:r>
      <w:r w:rsidR="00D67A58" w:rsidRPr="00B366EF">
        <w:t>.</w:t>
      </w:r>
      <w:r w:rsidR="00D67A58" w:rsidRPr="00B366EF">
        <w:tab/>
        <w:t>prasa Komisijai priekšlikumu Parlamentam iesniegt vēlreiz, ja tā savu priekšlikumu aizstāj, būtiski groza vai ir paredzējusi to būtiski grozīt;</w:t>
      </w:r>
    </w:p>
    <w:p w14:paraId="0E644D55" w14:textId="61079D31" w:rsidR="003A2023" w:rsidRPr="00B366EF" w:rsidRDefault="002F165F" w:rsidP="00D67A58">
      <w:pPr>
        <w:pStyle w:val="NormalHanging12a"/>
        <w:sectPr w:rsidR="003A2023" w:rsidRPr="00B366EF" w:rsidSect="005E55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B366EF">
        <w:t>4</w:t>
      </w:r>
      <w:r w:rsidR="00D67A58" w:rsidRPr="00B366EF">
        <w:t>.</w:t>
      </w:r>
      <w:r w:rsidR="00D67A58" w:rsidRPr="00B366EF">
        <w:tab/>
        <w:t>uzdod priekšsēdētājai nosūtīt Parlamenta nostāju Padomei, Komisijai</w:t>
      </w:r>
      <w:r w:rsidRPr="00B366EF">
        <w:t xml:space="preserve">, kā arī </w:t>
      </w:r>
      <w:r w:rsidR="00D67A58" w:rsidRPr="00B366EF">
        <w:t>dalībvalstu parlamentiem.</w:t>
      </w:r>
    </w:p>
    <w:p w14:paraId="4AF6AF2C" w14:textId="64128800" w:rsidR="003A2023" w:rsidRPr="00B366EF" w:rsidRDefault="003A2023" w:rsidP="003A2023">
      <w:pPr>
        <w:pStyle w:val="Normal12Hanging"/>
        <w:tabs>
          <w:tab w:val="left" w:pos="357"/>
        </w:tabs>
        <w:rPr>
          <w:b/>
        </w:rPr>
      </w:pPr>
      <w:r w:rsidRPr="00B366EF">
        <w:rPr>
          <w:b/>
        </w:rPr>
        <w:lastRenderedPageBreak/>
        <w:t>P10_TC1-COD(20</w:t>
      </w:r>
      <w:r w:rsidR="00907141" w:rsidRPr="00B366EF">
        <w:rPr>
          <w:b/>
        </w:rPr>
        <w:t>25</w:t>
      </w:r>
      <w:r w:rsidRPr="00B366EF">
        <w:rPr>
          <w:b/>
        </w:rPr>
        <w:t>)</w:t>
      </w:r>
      <w:r w:rsidR="003F4836" w:rsidRPr="00B366EF">
        <w:rPr>
          <w:b/>
        </w:rPr>
        <w:t>0726</w:t>
      </w:r>
    </w:p>
    <w:p w14:paraId="08C80B00" w14:textId="1C0D7EDE" w:rsidR="00907141" w:rsidRDefault="003A2023" w:rsidP="00B366EF">
      <w:pPr>
        <w:pStyle w:val="Normal12Hanging"/>
        <w:ind w:left="0" w:firstLine="0"/>
        <w:rPr>
          <w:b/>
          <w:i/>
          <w:iCs/>
          <w:lang w:eastAsia="en-US"/>
        </w:rPr>
      </w:pPr>
      <w:r w:rsidRPr="00B366EF">
        <w:rPr>
          <w:b/>
        </w:rPr>
        <w:t xml:space="preserve">Eiropas Parlamenta nostāja, pieņemta pirmajā lasījumā 2026. gada </w:t>
      </w:r>
      <w:r w:rsidR="00617349" w:rsidRPr="00B366EF">
        <w:rPr>
          <w:b/>
        </w:rPr>
        <w:t>19. maijā</w:t>
      </w:r>
      <w:r w:rsidRPr="00B366EF">
        <w:rPr>
          <w:b/>
        </w:rPr>
        <w:t>, lai pieņemtu Eiropas Parlamenta un Padomes Regulu (ES) 2026/...</w:t>
      </w:r>
      <w:r w:rsidR="00617349" w:rsidRPr="00B366EF">
        <w:rPr>
          <w:b/>
        </w:rPr>
        <w:t xml:space="preserve">, </w:t>
      </w:r>
      <w:r w:rsidR="00BF6EAB" w:rsidRPr="00BF6EAB">
        <w:rPr>
          <w:b/>
          <w:bCs/>
          <w:lang w:eastAsia="en-US"/>
        </w:rPr>
        <w:t>ar ko risina negatīvās ar tirdzniecību saistītās sekas, kuras Savienības tērauda tirgū izraisījis globālais jaudas pārpalikums, un groza Regulu (ES) 2020/2170</w:t>
      </w:r>
    </w:p>
    <w:p w14:paraId="226B9B56" w14:textId="1BADA89D" w:rsidR="00BF6EAB" w:rsidRPr="00BF6EAB" w:rsidRDefault="00BF6EAB" w:rsidP="00B366EF">
      <w:pPr>
        <w:pStyle w:val="Normal12Hanging"/>
        <w:ind w:left="0" w:firstLine="0"/>
        <w:rPr>
          <w:i/>
        </w:rPr>
      </w:pPr>
      <w:r w:rsidRPr="003E6639">
        <w:rPr>
          <w:i/>
        </w:rPr>
        <w:t xml:space="preserve">(Tā kā starp Parlamentu un Padomi tika panākta vienošanās, Parlamenta nostāja atbilst galīgajam tiesību aktam Regulai </w:t>
      </w:r>
      <w:r w:rsidRPr="00BF6EAB">
        <w:rPr>
          <w:i/>
        </w:rPr>
        <w:t>(ES) 2026/1384.)</w:t>
      </w:r>
    </w:p>
    <w:p w14:paraId="5CA67563" w14:textId="7B21A46C" w:rsidR="00BF6EAB" w:rsidRDefault="00BF6EAB">
      <w:pPr>
        <w:widowControl/>
        <w:rPr>
          <w:b/>
          <w:i/>
          <w:iCs/>
          <w:lang w:eastAsia="en-US"/>
        </w:rPr>
      </w:pPr>
      <w:r>
        <w:rPr>
          <w:b/>
          <w:i/>
          <w:iCs/>
          <w:lang w:eastAsia="en-US"/>
        </w:rPr>
        <w:br w:type="page"/>
      </w:r>
    </w:p>
    <w:p w14:paraId="282F9D05" w14:textId="77777777" w:rsidR="00BF6EAB" w:rsidRPr="00B366EF" w:rsidRDefault="00BF6EAB" w:rsidP="00BF6EAB">
      <w:pPr>
        <w:pStyle w:val="Normal12Hanging"/>
        <w:jc w:val="right"/>
        <w:rPr>
          <w:rFonts w:eastAsia="MS Outlook"/>
          <w:szCs w:val="24"/>
        </w:rPr>
      </w:pPr>
      <w:r w:rsidRPr="00B366EF">
        <w:rPr>
          <w:rFonts w:eastAsia="MS Outlook"/>
          <w:szCs w:val="24"/>
        </w:rPr>
        <w:lastRenderedPageBreak/>
        <w:t>NORMATĪVĀS REZOLŪCIJAS PIELIKUMS</w:t>
      </w:r>
    </w:p>
    <w:p w14:paraId="45A79F49" w14:textId="77777777" w:rsidR="00BF6EAB" w:rsidRPr="00B366EF" w:rsidRDefault="00BF6EAB" w:rsidP="00BF6EAB">
      <w:pPr>
        <w:rPr>
          <w:b/>
          <w:bCs/>
        </w:rPr>
      </w:pPr>
      <w:r w:rsidRPr="00B366EF">
        <w:rPr>
          <w:b/>
        </w:rPr>
        <w:t xml:space="preserve">Eiropas Parlamenta, Padomes un Komisijas kopīgs paziņojums par tērauda ražojumu importu no Krievijas </w:t>
      </w:r>
    </w:p>
    <w:p w14:paraId="4A967E86" w14:textId="77777777" w:rsidR="00BF6EAB" w:rsidRPr="00B366EF" w:rsidRDefault="00BF6EAB" w:rsidP="00BF6EAB"/>
    <w:p w14:paraId="0A80ADB4" w14:textId="77777777" w:rsidR="00BF6EAB" w:rsidRPr="00B366EF" w:rsidRDefault="00BF6EAB" w:rsidP="00BF6EAB">
      <w:r w:rsidRPr="00B366EF">
        <w:t>Kopš kara sākuma Savienība un tās dalībvalstis ir veikušas vēl nepieredzētus pasākumus, lai mazinātu ekonomisko atkarību no Krievijas, un strādājušas pie tā, lai nodrošinātu, ka Savienības saimnieciskās darbības neveicina Krievijas spējas turpināt karu.</w:t>
      </w:r>
    </w:p>
    <w:p w14:paraId="05948FC3" w14:textId="77777777" w:rsidR="00BF6EAB" w:rsidRPr="00B366EF" w:rsidRDefault="00BF6EAB" w:rsidP="00BF6EAB"/>
    <w:p w14:paraId="2F5BD640" w14:textId="77777777" w:rsidR="00BF6EAB" w:rsidRPr="00B366EF" w:rsidRDefault="00BF6EAB" w:rsidP="00BF6EAB">
      <w:r w:rsidRPr="00B366EF">
        <w:t>Šie pasākumi ir ievērojami samazinājuši tirdzniecības plūsmas dažādās nozarēs, tostarp tērauda nozarē, paātrinājuši atsaistīšanu un veicinājuši Savienības noturību, vienlaikus arī apliecinot Savienības spēju rīkoties vienoti un izlēmīgi, ja ir apdraudētas tās vērtības un stratēģiskās intereses.</w:t>
      </w:r>
    </w:p>
    <w:p w14:paraId="713727BE" w14:textId="77777777" w:rsidR="00BF6EAB" w:rsidRPr="00B366EF" w:rsidRDefault="00BF6EAB" w:rsidP="00BF6EAB"/>
    <w:p w14:paraId="6BFCA3B3" w14:textId="77777777" w:rsidR="00BF6EAB" w:rsidRPr="00B366EF" w:rsidRDefault="00BF6EAB" w:rsidP="00BF6EAB">
      <w:r w:rsidRPr="00B366EF">
        <w:t>Vienlaikus Savienībai arī turpmāk ir jāpievērš uzmanība tām jomām, kurās ir saglabājusies atkarība, jo īpaši attiecībā uz konkrētiem tērauda ražojumiem, kuru imports vēl nav pilnībā aizliegts.</w:t>
      </w:r>
    </w:p>
    <w:p w14:paraId="5620F7A5" w14:textId="77777777" w:rsidR="00BF6EAB" w:rsidRPr="00B366EF" w:rsidRDefault="00BF6EAB" w:rsidP="00BF6EAB"/>
    <w:p w14:paraId="49C96B41" w14:textId="77777777" w:rsidR="00BF6EAB" w:rsidRPr="00B366EF" w:rsidRDefault="00BF6EAB" w:rsidP="00BF6EAB">
      <w:r w:rsidRPr="00B366EF">
        <w:t>Konkrētāk, saskaņā ar pārejas režīmu, kas noteikts attiecīgajos Padomes pieņemtajos ierobežojošajos pasākumos</w:t>
      </w:r>
      <w:r w:rsidRPr="00B366EF">
        <w:rPr>
          <w:rStyle w:val="FootnoteReference"/>
        </w:rPr>
        <w:footnoteReference w:id="1"/>
      </w:r>
      <w:r w:rsidRPr="00B366EF">
        <w:t>, tērauda nozarē līdz 2028. gada 30. septembrim ierobežotā apmērā turpināsies Krievijas izcelsmes ražojumu imports. Lai nodrošinātu pakāpenisku un stabilu diversifikāciju, šis imports tiek ierobežots ar kvotām, kuru apjomi katru gadu samazinās.</w:t>
      </w:r>
    </w:p>
    <w:p w14:paraId="4F246F2F" w14:textId="77777777" w:rsidR="00BF6EAB" w:rsidRPr="00B366EF" w:rsidRDefault="00BF6EAB" w:rsidP="00BF6EAB"/>
    <w:p w14:paraId="43CA3E5B" w14:textId="77777777" w:rsidR="00BF6EAB" w:rsidRPr="00B366EF" w:rsidRDefault="00BF6EAB" w:rsidP="00BF6EAB">
      <w:r w:rsidRPr="00B366EF">
        <w:t>Eiropas Parlaments, Padome un Komisija atgādina par ierobežojošajiem pasākumiem piemērojamo institucionālo satvaru, vienlaikus uzsverot, ka attiecīgie Padomes pieņemtie ierobežojošie pasākumi ir pamatā virzībai uz atlikušo Krievijas tērauda ražojumu importa, jo īpaši tērauda plātņu, pilnīgu izbeigšanu līdz 2028. gada 30. septembrim.</w:t>
      </w:r>
    </w:p>
    <w:p w14:paraId="40C7128F" w14:textId="77777777" w:rsidR="00BF6EAB" w:rsidRPr="00B366EF" w:rsidRDefault="00BF6EAB" w:rsidP="00BF6EAB"/>
    <w:p w14:paraId="301FC833" w14:textId="77777777" w:rsidR="00BF6EAB" w:rsidRPr="00B366EF" w:rsidRDefault="00BF6EAB" w:rsidP="00BF6EAB">
      <w:pPr>
        <w:pStyle w:val="NormalHanging12a"/>
      </w:pPr>
    </w:p>
    <w:sectPr w:rsidR="00BF6EAB" w:rsidRPr="00B366EF" w:rsidSect="005E5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1962C" w14:textId="77777777" w:rsidR="007E5C5F" w:rsidRPr="005E559B" w:rsidRDefault="007E5C5F">
      <w:r w:rsidRPr="005E559B">
        <w:separator/>
      </w:r>
    </w:p>
  </w:endnote>
  <w:endnote w:type="continuationSeparator" w:id="0">
    <w:p w14:paraId="26D5C5EA" w14:textId="77777777" w:rsidR="007E5C5F" w:rsidRPr="005E559B" w:rsidRDefault="007E5C5F">
      <w:r w:rsidRPr="005E55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Outlook">
    <w:panose1 w:val="0501010001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7441" w14:textId="77777777" w:rsidR="00064002" w:rsidRPr="005E55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BD32" w14:textId="77777777" w:rsidR="00064002" w:rsidRPr="005E55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5E7A" w14:textId="77777777" w:rsidR="00064002" w:rsidRPr="005E55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688D3" w14:textId="77777777" w:rsidR="007E5C5F" w:rsidRPr="005E559B" w:rsidRDefault="007E5C5F">
      <w:r w:rsidRPr="005E559B">
        <w:separator/>
      </w:r>
    </w:p>
  </w:footnote>
  <w:footnote w:type="continuationSeparator" w:id="0">
    <w:p w14:paraId="65230E45" w14:textId="77777777" w:rsidR="007E5C5F" w:rsidRPr="005E559B" w:rsidRDefault="007E5C5F">
      <w:r w:rsidRPr="005E559B">
        <w:continuationSeparator/>
      </w:r>
    </w:p>
  </w:footnote>
  <w:footnote w:id="1">
    <w:p w14:paraId="4E50149C" w14:textId="719E6B7B" w:rsidR="00BF6EAB" w:rsidRPr="00907141" w:rsidRDefault="00BF6EAB" w:rsidP="00BF6EAB">
      <w:pPr>
        <w:pStyle w:val="FootnoteText"/>
        <w:rPr>
          <w:sz w:val="24"/>
          <w:szCs w:val="24"/>
          <w:lang w:val="lv-LV"/>
        </w:rPr>
      </w:pPr>
      <w:r w:rsidRPr="00907141">
        <w:rPr>
          <w:rStyle w:val="FootnoteReference"/>
          <w:sz w:val="24"/>
          <w:szCs w:val="24"/>
        </w:rPr>
        <w:footnoteRef/>
      </w:r>
      <w:r w:rsidRPr="00907141">
        <w:rPr>
          <w:sz w:val="24"/>
          <w:szCs w:val="24"/>
          <w:lang w:val="lv-LV"/>
        </w:rPr>
        <w:t xml:space="preserve"> </w:t>
      </w:r>
      <w:r w:rsidRPr="00907141">
        <w:rPr>
          <w:sz w:val="24"/>
          <w:szCs w:val="24"/>
          <w:lang w:val="lv-LV"/>
        </w:rPr>
        <w:tab/>
        <w:t xml:space="preserve">Padomes 2014. gada 31. jūlija Lēmums 2014/512/KĀDP par ierobežojošiem pasākumiem saistībā ar Krievijas darbībām, kas destabilizē situāciju </w:t>
      </w:r>
      <w:r w:rsidRPr="00D765D1">
        <w:rPr>
          <w:sz w:val="24"/>
          <w:szCs w:val="24"/>
          <w:lang w:val="lv-LV"/>
        </w:rPr>
        <w:t>Ukrainā</w:t>
      </w:r>
      <w:r w:rsidR="00D765D1" w:rsidRPr="00D765D1">
        <w:rPr>
          <w:sz w:val="24"/>
          <w:szCs w:val="24"/>
          <w:lang w:val="lv-LV"/>
        </w:rPr>
        <w:t xml:space="preserve"> </w:t>
      </w:r>
      <w:r w:rsidR="00D765D1" w:rsidRPr="00D765D1">
        <w:rPr>
          <w:sz w:val="24"/>
          <w:szCs w:val="24"/>
          <w:lang w:val="en-GB"/>
        </w:rPr>
        <w:t>(O</w:t>
      </w:r>
      <w:r w:rsidR="00D765D1" w:rsidRPr="00D765D1">
        <w:rPr>
          <w:sz w:val="24"/>
          <w:szCs w:val="24"/>
          <w:lang w:val="en-GB"/>
        </w:rPr>
        <w:t>V</w:t>
      </w:r>
      <w:r w:rsidR="00D765D1" w:rsidRPr="00D765D1">
        <w:rPr>
          <w:sz w:val="24"/>
          <w:szCs w:val="24"/>
          <w:lang w:val="en-GB"/>
        </w:rPr>
        <w:t xml:space="preserve"> L 229, 31.7.2014</w:t>
      </w:r>
      <w:r w:rsidR="00D765D1" w:rsidRPr="00D765D1">
        <w:rPr>
          <w:sz w:val="24"/>
          <w:szCs w:val="24"/>
          <w:lang w:val="en-GB"/>
        </w:rPr>
        <w:t>.</w:t>
      </w:r>
      <w:r w:rsidR="00D765D1" w:rsidRPr="00D765D1">
        <w:rPr>
          <w:sz w:val="24"/>
          <w:szCs w:val="24"/>
          <w:lang w:val="en-GB"/>
        </w:rPr>
        <w:t>, 13</w:t>
      </w:r>
      <w:r w:rsidR="00D765D1" w:rsidRPr="00D765D1">
        <w:rPr>
          <w:sz w:val="24"/>
          <w:szCs w:val="24"/>
          <w:lang w:val="en-GB"/>
        </w:rPr>
        <w:t xml:space="preserve">. </w:t>
      </w:r>
      <w:proofErr w:type="spellStart"/>
      <w:r w:rsidR="00D765D1" w:rsidRPr="00D765D1">
        <w:rPr>
          <w:sz w:val="24"/>
          <w:szCs w:val="24"/>
          <w:lang w:val="en-GB"/>
        </w:rPr>
        <w:t>lpp</w:t>
      </w:r>
      <w:proofErr w:type="spellEnd"/>
      <w:r w:rsidR="00D765D1" w:rsidRPr="00D765D1">
        <w:rPr>
          <w:sz w:val="24"/>
          <w:szCs w:val="24"/>
          <w:lang w:val="en-GB"/>
        </w:rPr>
        <w:t>.</w:t>
      </w:r>
      <w:r w:rsidR="00D765D1" w:rsidRPr="00D765D1">
        <w:rPr>
          <w:sz w:val="24"/>
          <w:szCs w:val="24"/>
          <w:lang w:val="en-GB"/>
        </w:rPr>
        <w:t xml:space="preserve">, ELI: </w:t>
      </w:r>
      <w:hyperlink r:id="rId1" w:history="1">
        <w:r w:rsidR="00D765D1" w:rsidRPr="00D765D1">
          <w:rPr>
            <w:rStyle w:val="Hyperlink"/>
            <w:sz w:val="24"/>
            <w:szCs w:val="24"/>
            <w:lang w:val="en-GB"/>
          </w:rPr>
          <w:t>http://data.europa.eu/eli/dec/2014/512/oj</w:t>
        </w:r>
      </w:hyperlink>
      <w:r w:rsidR="00D765D1" w:rsidRPr="00D765D1">
        <w:rPr>
          <w:sz w:val="24"/>
          <w:szCs w:val="24"/>
          <w:lang w:val="en-GB"/>
        </w:rPr>
        <w:t>)</w:t>
      </w:r>
      <w:r w:rsidRPr="00D765D1">
        <w:rPr>
          <w:sz w:val="24"/>
          <w:szCs w:val="24"/>
          <w:lang w:val="lv-LV"/>
        </w:rPr>
        <w:t>, un Padomes 2014. gada 31. jūlija Regula (ES) Nr. 833/2014 par ierobežojošiem pasākumiem saistībā ar Krievijas darbībām, kas destabilizē situāciju Ukrainā</w:t>
      </w:r>
      <w:r w:rsidR="00D765D1" w:rsidRPr="00D765D1">
        <w:rPr>
          <w:sz w:val="24"/>
          <w:szCs w:val="24"/>
          <w:lang w:val="lv-LV"/>
        </w:rPr>
        <w:t xml:space="preserve"> </w:t>
      </w:r>
      <w:r w:rsidR="00D765D1" w:rsidRPr="00D765D1">
        <w:rPr>
          <w:sz w:val="24"/>
          <w:szCs w:val="24"/>
          <w:lang w:val="en-GB"/>
        </w:rPr>
        <w:t>(O</w:t>
      </w:r>
      <w:r w:rsidR="00D765D1" w:rsidRPr="00D765D1">
        <w:rPr>
          <w:sz w:val="24"/>
          <w:szCs w:val="24"/>
          <w:lang w:val="en-GB"/>
        </w:rPr>
        <w:t>V</w:t>
      </w:r>
      <w:r w:rsidR="00D765D1" w:rsidRPr="00D765D1">
        <w:rPr>
          <w:sz w:val="24"/>
          <w:szCs w:val="24"/>
          <w:lang w:val="en-GB"/>
        </w:rPr>
        <w:t xml:space="preserve"> L 229, 31.7.2014</w:t>
      </w:r>
      <w:r w:rsidR="00D765D1" w:rsidRPr="00D765D1">
        <w:rPr>
          <w:sz w:val="24"/>
          <w:szCs w:val="24"/>
          <w:lang w:val="en-GB"/>
        </w:rPr>
        <w:t>.</w:t>
      </w:r>
      <w:r w:rsidR="00D765D1" w:rsidRPr="00D765D1">
        <w:rPr>
          <w:sz w:val="24"/>
          <w:szCs w:val="24"/>
          <w:lang w:val="en-GB"/>
        </w:rPr>
        <w:t>, 1</w:t>
      </w:r>
      <w:r w:rsidR="00D765D1" w:rsidRPr="00D765D1">
        <w:rPr>
          <w:sz w:val="24"/>
          <w:szCs w:val="24"/>
          <w:lang w:val="en-GB"/>
        </w:rPr>
        <w:t xml:space="preserve">. </w:t>
      </w:r>
      <w:proofErr w:type="spellStart"/>
      <w:r w:rsidR="00D765D1" w:rsidRPr="00D765D1">
        <w:rPr>
          <w:sz w:val="24"/>
          <w:szCs w:val="24"/>
          <w:lang w:val="en-GB"/>
        </w:rPr>
        <w:t>lpp</w:t>
      </w:r>
      <w:proofErr w:type="spellEnd"/>
      <w:r w:rsidR="00D765D1" w:rsidRPr="00D765D1">
        <w:rPr>
          <w:sz w:val="24"/>
          <w:szCs w:val="24"/>
          <w:lang w:val="en-GB"/>
        </w:rPr>
        <w:t>.</w:t>
      </w:r>
      <w:r w:rsidR="00D765D1" w:rsidRPr="00D765D1">
        <w:rPr>
          <w:sz w:val="24"/>
          <w:szCs w:val="24"/>
          <w:lang w:val="en-GB"/>
        </w:rPr>
        <w:t xml:space="preserve">, ELI: </w:t>
      </w:r>
      <w:hyperlink r:id="rId2" w:history="1">
        <w:r w:rsidR="00D765D1" w:rsidRPr="00D765D1">
          <w:rPr>
            <w:rStyle w:val="Hyperlink"/>
            <w:sz w:val="24"/>
            <w:szCs w:val="24"/>
            <w:lang w:val="en-GB"/>
          </w:rPr>
          <w:t>http://data.europa.eu/eli/reg/2014/833/oj</w:t>
        </w:r>
      </w:hyperlink>
      <w:r w:rsidR="00D765D1" w:rsidRPr="00D765D1">
        <w:rPr>
          <w:sz w:val="24"/>
          <w:szCs w:val="24"/>
          <w:lang w:val="en-GB"/>
        </w:rPr>
        <w:t>)</w:t>
      </w:r>
      <w:r w:rsidRPr="00D765D1">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7EAA" w14:textId="77777777" w:rsidR="00064002" w:rsidRPr="005E55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B538" w14:textId="77777777" w:rsidR="00064002" w:rsidRPr="005E55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59B80" w14:textId="77777777" w:rsidR="00064002" w:rsidRPr="005E55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1474712">
    <w:abstractNumId w:val="0"/>
  </w:num>
  <w:num w:numId="2" w16cid:durableId="16619295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LV"/>
    <w:docVar w:name="dvnumam" w:val="0"/>
    <w:docVar w:name="dvpe" w:val="779.727"/>
    <w:docVar w:name="dvrapporteur" w:val="Referente: "/>
    <w:docVar w:name="dvstar" w:val="***I"/>
    <w:docVar w:name="dvtitre" w:val="Eiropas Parlamenta 2026. gada XX. XXX normatīvā rezolūcija par priekšlikumu Eiropas Parlamenta un Padomes regulai, ar ko risina negatīvās ar tirdzniecību saistītās sekas, kuras Savienības tirgū izraisījis globālais jaudas pārpalikums(COM(2025)0726 – C10-0245/2025 – 2025/0726(COD))"/>
  </w:docVars>
  <w:rsids>
    <w:rsidRoot w:val="007E5C5F"/>
    <w:rsid w:val="00002272"/>
    <w:rsid w:val="00064002"/>
    <w:rsid w:val="000677B9"/>
    <w:rsid w:val="000831BA"/>
    <w:rsid w:val="000A42CC"/>
    <w:rsid w:val="000E7DD9"/>
    <w:rsid w:val="000F46C4"/>
    <w:rsid w:val="0010095E"/>
    <w:rsid w:val="00125B37"/>
    <w:rsid w:val="00187494"/>
    <w:rsid w:val="001F32AE"/>
    <w:rsid w:val="00205714"/>
    <w:rsid w:val="002767FF"/>
    <w:rsid w:val="002B18FE"/>
    <w:rsid w:val="002B5493"/>
    <w:rsid w:val="002F165F"/>
    <w:rsid w:val="00343214"/>
    <w:rsid w:val="00361C00"/>
    <w:rsid w:val="00370110"/>
    <w:rsid w:val="00395FA1"/>
    <w:rsid w:val="003A2023"/>
    <w:rsid w:val="003E15D4"/>
    <w:rsid w:val="003E4125"/>
    <w:rsid w:val="003F4836"/>
    <w:rsid w:val="0041032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59B"/>
    <w:rsid w:val="005F1B17"/>
    <w:rsid w:val="006037C0"/>
    <w:rsid w:val="00617349"/>
    <w:rsid w:val="006631B6"/>
    <w:rsid w:val="00680577"/>
    <w:rsid w:val="006F74FA"/>
    <w:rsid w:val="00731ADD"/>
    <w:rsid w:val="00734777"/>
    <w:rsid w:val="00747932"/>
    <w:rsid w:val="00751A4A"/>
    <w:rsid w:val="00756632"/>
    <w:rsid w:val="00762C74"/>
    <w:rsid w:val="00786EC0"/>
    <w:rsid w:val="007D1690"/>
    <w:rsid w:val="007E22AD"/>
    <w:rsid w:val="007E3BA0"/>
    <w:rsid w:val="007E5C5F"/>
    <w:rsid w:val="00817416"/>
    <w:rsid w:val="00842779"/>
    <w:rsid w:val="00865F67"/>
    <w:rsid w:val="00881A7B"/>
    <w:rsid w:val="008840E5"/>
    <w:rsid w:val="00887B3E"/>
    <w:rsid w:val="008C2AC6"/>
    <w:rsid w:val="00907141"/>
    <w:rsid w:val="0092533D"/>
    <w:rsid w:val="009307ED"/>
    <w:rsid w:val="00930C23"/>
    <w:rsid w:val="0093193B"/>
    <w:rsid w:val="00941965"/>
    <w:rsid w:val="009509D8"/>
    <w:rsid w:val="00950B64"/>
    <w:rsid w:val="00981893"/>
    <w:rsid w:val="009D7500"/>
    <w:rsid w:val="00A1687D"/>
    <w:rsid w:val="00A43E52"/>
    <w:rsid w:val="00A4678D"/>
    <w:rsid w:val="00A7771F"/>
    <w:rsid w:val="00A778C7"/>
    <w:rsid w:val="00AB441E"/>
    <w:rsid w:val="00AB6293"/>
    <w:rsid w:val="00AE0928"/>
    <w:rsid w:val="00AE33E3"/>
    <w:rsid w:val="00AF3B82"/>
    <w:rsid w:val="00B12E95"/>
    <w:rsid w:val="00B22876"/>
    <w:rsid w:val="00B366EF"/>
    <w:rsid w:val="00B558F0"/>
    <w:rsid w:val="00BD48FE"/>
    <w:rsid w:val="00BD7BD8"/>
    <w:rsid w:val="00BE6ADC"/>
    <w:rsid w:val="00BF6EAB"/>
    <w:rsid w:val="00C05BFE"/>
    <w:rsid w:val="00C23CD4"/>
    <w:rsid w:val="00C61C0C"/>
    <w:rsid w:val="00C65AC3"/>
    <w:rsid w:val="00C941CB"/>
    <w:rsid w:val="00CC2357"/>
    <w:rsid w:val="00CF071A"/>
    <w:rsid w:val="00D058B8"/>
    <w:rsid w:val="00D23646"/>
    <w:rsid w:val="00D56C11"/>
    <w:rsid w:val="00D67A58"/>
    <w:rsid w:val="00D765D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61AEB"/>
  <w15:chartTrackingRefBased/>
  <w15:docId w15:val="{C0BA3BB3-72C1-4260-9191-C1D5D9E5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67A58"/>
    <w:rPr>
      <w:b/>
      <w:kern w:val="28"/>
      <w:sz w:val="28"/>
      <w:lang w:val="fr-FR" w:eastAsia="fr-FR"/>
    </w:rPr>
  </w:style>
  <w:style w:type="character" w:customStyle="1" w:styleId="Heading2Char">
    <w:name w:val="Heading 2 Char"/>
    <w:basedOn w:val="DefaultParagraphFont"/>
    <w:link w:val="Heading2"/>
    <w:semiHidden/>
    <w:rsid w:val="00D67A58"/>
    <w:rPr>
      <w:sz w:val="24"/>
      <w:lang w:val="fr-FR" w:eastAsia="fr-FR"/>
    </w:rPr>
  </w:style>
  <w:style w:type="character" w:customStyle="1" w:styleId="Heading3Char">
    <w:name w:val="Heading 3 Char"/>
    <w:basedOn w:val="DefaultParagraphFont"/>
    <w:link w:val="Heading3"/>
    <w:semiHidden/>
    <w:rsid w:val="00D67A58"/>
    <w:rPr>
      <w:rFonts w:ascii="Arial" w:hAnsi="Arial"/>
      <w:sz w:val="24"/>
      <w:lang w:val="fr-FR" w:eastAsia="fr-FR"/>
    </w:rPr>
  </w:style>
  <w:style w:type="character" w:customStyle="1" w:styleId="Heading4Char">
    <w:name w:val="Heading 4 Char"/>
    <w:basedOn w:val="DefaultParagraphFont"/>
    <w:link w:val="Heading4"/>
    <w:semiHidden/>
    <w:rsid w:val="00D67A58"/>
    <w:rPr>
      <w:sz w:val="24"/>
      <w:lang w:val="en-US" w:eastAsia="fr-FR"/>
    </w:rPr>
  </w:style>
  <w:style w:type="character" w:customStyle="1" w:styleId="Heading5Char">
    <w:name w:val="Heading 5 Char"/>
    <w:basedOn w:val="DefaultParagraphFont"/>
    <w:link w:val="Heading5"/>
    <w:semiHidden/>
    <w:rsid w:val="00D67A58"/>
    <w:rPr>
      <w:sz w:val="24"/>
      <w:lang w:val="en-US" w:eastAsia="fr-FR"/>
    </w:rPr>
  </w:style>
  <w:style w:type="character" w:customStyle="1" w:styleId="Heading6Char">
    <w:name w:val="Heading 6 Char"/>
    <w:basedOn w:val="DefaultParagraphFont"/>
    <w:link w:val="Heading6"/>
    <w:semiHidden/>
    <w:rsid w:val="00D67A58"/>
    <w:rPr>
      <w:i/>
      <w:sz w:val="22"/>
      <w:lang w:val="lv-LV"/>
    </w:rPr>
  </w:style>
  <w:style w:type="character" w:customStyle="1" w:styleId="Heading7Char">
    <w:name w:val="Heading 7 Char"/>
    <w:basedOn w:val="DefaultParagraphFont"/>
    <w:link w:val="Heading7"/>
    <w:semiHidden/>
    <w:rsid w:val="00D67A58"/>
    <w:rPr>
      <w:rFonts w:ascii="Arial" w:hAnsi="Arial"/>
      <w:sz w:val="24"/>
      <w:lang w:val="lv-LV"/>
    </w:rPr>
  </w:style>
  <w:style w:type="character" w:customStyle="1" w:styleId="Heading8Char">
    <w:name w:val="Heading 8 Char"/>
    <w:basedOn w:val="DefaultParagraphFont"/>
    <w:link w:val="Heading8"/>
    <w:semiHidden/>
    <w:rsid w:val="00D67A58"/>
    <w:rPr>
      <w:rFonts w:ascii="Arial" w:hAnsi="Arial"/>
      <w:i/>
      <w:sz w:val="24"/>
      <w:lang w:val="lv-LV"/>
    </w:rPr>
  </w:style>
  <w:style w:type="character" w:customStyle="1" w:styleId="Heading9Char">
    <w:name w:val="Heading 9 Char"/>
    <w:basedOn w:val="DefaultParagraphFont"/>
    <w:link w:val="Heading9"/>
    <w:semiHidden/>
    <w:rsid w:val="00D67A58"/>
    <w:rPr>
      <w:rFonts w:ascii="Arial" w:hAnsi="Arial"/>
      <w:b/>
      <w:i/>
      <w:sz w:val="18"/>
      <w:lang w:val="lv-LV"/>
    </w:rPr>
  </w:style>
  <w:style w:type="paragraph" w:styleId="TOCHeading">
    <w:name w:val="TOC Heading"/>
    <w:basedOn w:val="Normal"/>
    <w:next w:val="Normal"/>
    <w:uiPriority w:val="39"/>
    <w:unhideWhenUsed/>
    <w:qFormat/>
    <w:rsid w:val="00D67A58"/>
    <w:pPr>
      <w:widowControl/>
      <w:spacing w:after="240"/>
    </w:pPr>
    <w:rPr>
      <w:lang w:val="en-GB"/>
    </w:rPr>
  </w:style>
  <w:style w:type="paragraph" w:customStyle="1" w:styleId="EPFooter2">
    <w:name w:val="EPFooter2"/>
    <w:basedOn w:val="Normal"/>
    <w:next w:val="Normal"/>
    <w:rsid w:val="00D67A5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67A58"/>
    <w:pPr>
      <w:keepNext/>
      <w:spacing w:after="240"/>
      <w:jc w:val="right"/>
    </w:pPr>
    <w:rPr>
      <w:rFonts w:ascii="Arial" w:hAnsi="Arial"/>
      <w:b/>
    </w:rPr>
  </w:style>
  <w:style w:type="paragraph" w:customStyle="1" w:styleId="Normal6a">
    <w:name w:val="Normal6a"/>
    <w:basedOn w:val="Normal"/>
    <w:rsid w:val="00D67A58"/>
    <w:pPr>
      <w:spacing w:after="120"/>
    </w:pPr>
  </w:style>
  <w:style w:type="paragraph" w:customStyle="1" w:styleId="PageHeading">
    <w:name w:val="PageHeading"/>
    <w:basedOn w:val="Normal"/>
    <w:qFormat/>
    <w:rsid w:val="00D67A58"/>
    <w:pPr>
      <w:keepNext/>
      <w:spacing w:after="480"/>
      <w:jc w:val="center"/>
    </w:pPr>
    <w:rPr>
      <w:rFonts w:ascii="Arial" w:hAnsi="Arial" w:cs="Arial"/>
      <w:b/>
    </w:rPr>
  </w:style>
  <w:style w:type="paragraph" w:customStyle="1" w:styleId="NormalBold">
    <w:name w:val="NormalBold"/>
    <w:basedOn w:val="Normal"/>
    <w:link w:val="NormalBoldChar"/>
    <w:rsid w:val="00D67A58"/>
    <w:rPr>
      <w:b/>
    </w:rPr>
  </w:style>
  <w:style w:type="paragraph" w:customStyle="1" w:styleId="NormalBold12a">
    <w:name w:val="NormalBold12a"/>
    <w:basedOn w:val="Normal"/>
    <w:rsid w:val="00D67A58"/>
    <w:pPr>
      <w:spacing w:after="240"/>
    </w:pPr>
    <w:rPr>
      <w:b/>
    </w:rPr>
  </w:style>
  <w:style w:type="paragraph" w:customStyle="1" w:styleId="AmJustText">
    <w:name w:val="AmJustText"/>
    <w:basedOn w:val="Normal"/>
    <w:rsid w:val="00D67A58"/>
    <w:pPr>
      <w:spacing w:after="240"/>
    </w:pPr>
    <w:rPr>
      <w:i/>
    </w:rPr>
  </w:style>
  <w:style w:type="paragraph" w:customStyle="1" w:styleId="NormalHanging12a">
    <w:name w:val="NormalHanging12a"/>
    <w:basedOn w:val="Normal"/>
    <w:rsid w:val="00D67A58"/>
    <w:pPr>
      <w:spacing w:after="240"/>
      <w:ind w:left="567" w:hanging="567"/>
    </w:pPr>
  </w:style>
  <w:style w:type="paragraph" w:customStyle="1" w:styleId="CoverNormal24a">
    <w:name w:val="CoverNormal24a"/>
    <w:basedOn w:val="Normal"/>
    <w:rsid w:val="00D67A58"/>
    <w:pPr>
      <w:spacing w:after="480"/>
      <w:ind w:left="1417"/>
    </w:pPr>
  </w:style>
  <w:style w:type="paragraph" w:customStyle="1" w:styleId="CoverNormal">
    <w:name w:val="CoverNormal"/>
    <w:basedOn w:val="Normal"/>
    <w:rsid w:val="00D67A58"/>
    <w:pPr>
      <w:ind w:left="1418"/>
    </w:pPr>
  </w:style>
  <w:style w:type="paragraph" w:customStyle="1" w:styleId="AmCrossRef">
    <w:name w:val="AmCrossRef"/>
    <w:basedOn w:val="Normal"/>
    <w:rsid w:val="00D67A58"/>
    <w:pPr>
      <w:spacing w:before="240" w:after="240"/>
      <w:jc w:val="center"/>
    </w:pPr>
    <w:rPr>
      <w:i/>
    </w:rPr>
  </w:style>
  <w:style w:type="paragraph" w:customStyle="1" w:styleId="AmJustTitle">
    <w:name w:val="AmJustTitle"/>
    <w:basedOn w:val="Normal"/>
    <w:next w:val="AmJustText"/>
    <w:rsid w:val="00D67A58"/>
    <w:pPr>
      <w:keepNext/>
      <w:spacing w:before="240" w:after="240"/>
      <w:jc w:val="center"/>
    </w:pPr>
    <w:rPr>
      <w:i/>
    </w:rPr>
  </w:style>
  <w:style w:type="paragraph" w:customStyle="1" w:styleId="CoverReference">
    <w:name w:val="CoverReference"/>
    <w:basedOn w:val="Normal"/>
    <w:rsid w:val="00D67A58"/>
    <w:pPr>
      <w:spacing w:before="1080"/>
      <w:jc w:val="right"/>
    </w:pPr>
    <w:rPr>
      <w:rFonts w:ascii="Arial" w:hAnsi="Arial" w:cs="Arial"/>
      <w:b/>
    </w:rPr>
  </w:style>
  <w:style w:type="paragraph" w:customStyle="1" w:styleId="CoverDocType">
    <w:name w:val="CoverDocType"/>
    <w:basedOn w:val="Normal"/>
    <w:rsid w:val="00D67A58"/>
    <w:pPr>
      <w:ind w:left="1418"/>
    </w:pPr>
    <w:rPr>
      <w:rFonts w:ascii="Arial" w:hAnsi="Arial"/>
      <w:b/>
      <w:sz w:val="48"/>
    </w:rPr>
  </w:style>
  <w:style w:type="paragraph" w:customStyle="1" w:styleId="CoverDocType24a">
    <w:name w:val="CoverDocType24a"/>
    <w:basedOn w:val="Normal"/>
    <w:rsid w:val="00D67A58"/>
    <w:pPr>
      <w:spacing w:after="480"/>
      <w:ind w:left="1418"/>
    </w:pPr>
    <w:rPr>
      <w:rFonts w:ascii="Arial" w:hAnsi="Arial"/>
      <w:b/>
      <w:sz w:val="48"/>
    </w:rPr>
  </w:style>
  <w:style w:type="paragraph" w:customStyle="1" w:styleId="CoverDate">
    <w:name w:val="CoverDate"/>
    <w:basedOn w:val="Normal"/>
    <w:rsid w:val="00D67A58"/>
    <w:pPr>
      <w:spacing w:before="240" w:after="1200"/>
    </w:pPr>
  </w:style>
  <w:style w:type="paragraph" w:styleId="Header">
    <w:name w:val="header"/>
    <w:basedOn w:val="Normal"/>
    <w:link w:val="HeaderChar"/>
    <w:rsid w:val="00D67A58"/>
    <w:pPr>
      <w:tabs>
        <w:tab w:val="center" w:pos="4513"/>
        <w:tab w:val="right" w:pos="9026"/>
      </w:tabs>
    </w:pPr>
  </w:style>
  <w:style w:type="character" w:customStyle="1" w:styleId="HeaderChar">
    <w:name w:val="Header Char"/>
    <w:basedOn w:val="DefaultParagraphFont"/>
    <w:link w:val="Header"/>
    <w:rsid w:val="00D67A58"/>
    <w:rPr>
      <w:sz w:val="24"/>
      <w:lang w:val="lv-LV"/>
    </w:rPr>
  </w:style>
  <w:style w:type="paragraph" w:customStyle="1" w:styleId="AmOrLang">
    <w:name w:val="AmOrLang"/>
    <w:basedOn w:val="Normal"/>
    <w:rsid w:val="00D67A58"/>
    <w:pPr>
      <w:spacing w:before="240" w:after="240"/>
      <w:jc w:val="right"/>
    </w:pPr>
  </w:style>
  <w:style w:type="paragraph" w:customStyle="1" w:styleId="AmColumnHeading">
    <w:name w:val="AmColumnHeading"/>
    <w:basedOn w:val="Normal"/>
    <w:rsid w:val="00D67A58"/>
    <w:pPr>
      <w:spacing w:after="240"/>
      <w:jc w:val="center"/>
    </w:pPr>
    <w:rPr>
      <w:i/>
    </w:rPr>
  </w:style>
  <w:style w:type="paragraph" w:customStyle="1" w:styleId="AmNumberTabs">
    <w:name w:val="AmNumberTabs"/>
    <w:basedOn w:val="Normal"/>
    <w:rsid w:val="00D67A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67A58"/>
    <w:pPr>
      <w:spacing w:before="240"/>
    </w:pPr>
    <w:rPr>
      <w:b/>
    </w:rPr>
  </w:style>
  <w:style w:type="paragraph" w:customStyle="1" w:styleId="EPBody">
    <w:name w:val="EPBody"/>
    <w:basedOn w:val="Normal"/>
    <w:rsid w:val="00D67A58"/>
    <w:pPr>
      <w:jc w:val="center"/>
    </w:pPr>
    <w:rPr>
      <w:rFonts w:ascii="Arial" w:hAnsi="Arial" w:cs="Arial"/>
      <w:i/>
      <w:sz w:val="22"/>
      <w:szCs w:val="22"/>
    </w:rPr>
  </w:style>
  <w:style w:type="paragraph" w:customStyle="1" w:styleId="EPFooter">
    <w:name w:val="EPFooter"/>
    <w:basedOn w:val="Normal"/>
    <w:rsid w:val="00D67A58"/>
    <w:pPr>
      <w:tabs>
        <w:tab w:val="center" w:pos="4535"/>
        <w:tab w:val="right" w:pos="9071"/>
      </w:tabs>
      <w:spacing w:before="240" w:after="240"/>
    </w:pPr>
    <w:rPr>
      <w:color w:val="010000"/>
      <w:sz w:val="22"/>
    </w:rPr>
  </w:style>
  <w:style w:type="paragraph" w:customStyle="1" w:styleId="EPComma">
    <w:name w:val="EPComma"/>
    <w:basedOn w:val="Normal"/>
    <w:rsid w:val="00D67A58"/>
    <w:pPr>
      <w:spacing w:before="480" w:after="240"/>
    </w:pPr>
  </w:style>
  <w:style w:type="paragraph" w:customStyle="1" w:styleId="Lgendesigne">
    <w:name w:val="Légende signe"/>
    <w:basedOn w:val="Normal"/>
    <w:rsid w:val="00D67A58"/>
    <w:pPr>
      <w:tabs>
        <w:tab w:val="right" w:pos="454"/>
        <w:tab w:val="left" w:pos="737"/>
      </w:tabs>
      <w:ind w:left="737" w:hanging="737"/>
    </w:pPr>
    <w:rPr>
      <w:snapToGrid w:val="0"/>
      <w:sz w:val="18"/>
      <w:lang w:eastAsia="en-US"/>
    </w:rPr>
  </w:style>
  <w:style w:type="paragraph" w:customStyle="1" w:styleId="Lgendetitre">
    <w:name w:val="Légende titre"/>
    <w:basedOn w:val="Normal"/>
    <w:rsid w:val="00D67A58"/>
    <w:pPr>
      <w:spacing w:before="240" w:after="240"/>
    </w:pPr>
    <w:rPr>
      <w:b/>
      <w:i/>
      <w:snapToGrid w:val="0"/>
      <w:lang w:eastAsia="en-US"/>
    </w:rPr>
  </w:style>
  <w:style w:type="paragraph" w:customStyle="1" w:styleId="Lgendestandard">
    <w:name w:val="Légende standard"/>
    <w:basedOn w:val="Normal"/>
    <w:rsid w:val="00D67A58"/>
    <w:rPr>
      <w:sz w:val="18"/>
    </w:rPr>
  </w:style>
  <w:style w:type="character" w:customStyle="1" w:styleId="NormalBoldChar">
    <w:name w:val="NormalBold Char"/>
    <w:basedOn w:val="DefaultParagraphFont"/>
    <w:link w:val="NormalBold"/>
    <w:locked/>
    <w:rsid w:val="00D67A58"/>
    <w:rPr>
      <w:b/>
      <w:sz w:val="24"/>
      <w:lang w:val="lv-LV"/>
    </w:rPr>
  </w:style>
  <w:style w:type="character" w:styleId="Hyperlink">
    <w:name w:val="Hyperlink"/>
    <w:basedOn w:val="DefaultParagraphFont"/>
    <w:unhideWhenUsed/>
    <w:rsid w:val="00D67A58"/>
    <w:rPr>
      <w:color w:val="467886"/>
      <w:u w:val="single"/>
    </w:rPr>
  </w:style>
  <w:style w:type="character" w:styleId="Emphasis">
    <w:name w:val="Emphasis"/>
    <w:basedOn w:val="DefaultParagraphFont"/>
    <w:uiPriority w:val="20"/>
    <w:qFormat/>
    <w:rsid w:val="00D67A58"/>
    <w:rPr>
      <w:i/>
      <w:iCs/>
    </w:rPr>
  </w:style>
  <w:style w:type="paragraph" w:styleId="Footer">
    <w:name w:val="footer"/>
    <w:basedOn w:val="Normal"/>
    <w:link w:val="FooterChar"/>
    <w:uiPriority w:val="99"/>
    <w:rsid w:val="00D67A58"/>
    <w:pPr>
      <w:tabs>
        <w:tab w:val="center" w:pos="4513"/>
        <w:tab w:val="right" w:pos="9026"/>
      </w:tabs>
    </w:pPr>
  </w:style>
  <w:style w:type="character" w:customStyle="1" w:styleId="FooterChar">
    <w:name w:val="Footer Char"/>
    <w:basedOn w:val="DefaultParagraphFont"/>
    <w:link w:val="Footer"/>
    <w:uiPriority w:val="99"/>
    <w:rsid w:val="00D67A58"/>
    <w:rPr>
      <w:sz w:val="24"/>
      <w:lang w:val="lv-LV"/>
    </w:rPr>
  </w:style>
  <w:style w:type="paragraph" w:customStyle="1" w:styleId="Default">
    <w:name w:val="Default"/>
    <w:rsid w:val="00D67A58"/>
    <w:pPr>
      <w:autoSpaceDE w:val="0"/>
      <w:autoSpaceDN w:val="0"/>
      <w:adjustRightInd w:val="0"/>
    </w:pPr>
    <w:rPr>
      <w:color w:val="000000"/>
      <w:sz w:val="24"/>
      <w:szCs w:val="24"/>
      <w:lang w:val="lv-LV"/>
    </w:rPr>
  </w:style>
  <w:style w:type="character" w:customStyle="1" w:styleId="Normal6Char">
    <w:name w:val="Normal6 Char"/>
    <w:basedOn w:val="DefaultParagraphFont"/>
    <w:link w:val="Normal6"/>
    <w:locked/>
    <w:rsid w:val="00D67A58"/>
    <w:rPr>
      <w:b/>
      <w:bCs/>
      <w:i/>
      <w:iCs/>
      <w:sz w:val="24"/>
      <w:lang w:val="lv-LV"/>
    </w:rPr>
  </w:style>
  <w:style w:type="paragraph" w:customStyle="1" w:styleId="Normal6">
    <w:name w:val="Normal6"/>
    <w:basedOn w:val="Normal"/>
    <w:link w:val="Normal6Char"/>
    <w:rsid w:val="00D67A58"/>
    <w:pPr>
      <w:spacing w:after="120"/>
    </w:pPr>
    <w:rPr>
      <w:b/>
      <w:bCs/>
      <w:i/>
      <w:iCs/>
    </w:rPr>
  </w:style>
  <w:style w:type="paragraph" w:customStyle="1" w:styleId="ColumnHeading">
    <w:name w:val="ColumnHeading"/>
    <w:basedOn w:val="Normal"/>
    <w:rsid w:val="00D67A58"/>
    <w:pPr>
      <w:spacing w:after="240"/>
      <w:jc w:val="center"/>
    </w:pPr>
    <w:rPr>
      <w:i/>
    </w:rPr>
  </w:style>
  <w:style w:type="paragraph" w:customStyle="1" w:styleId="AMNumberTabs0">
    <w:name w:val="AMNumberTabs"/>
    <w:basedOn w:val="Normal"/>
    <w:rsid w:val="00D67A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67A58"/>
    <w:pPr>
      <w:jc w:val="right"/>
    </w:pPr>
    <w:rPr>
      <w:lang w:val="lv-LV"/>
    </w:rPr>
  </w:style>
  <w:style w:type="paragraph" w:styleId="Revision">
    <w:name w:val="Revision"/>
    <w:hidden/>
    <w:uiPriority w:val="99"/>
    <w:semiHidden/>
    <w:rsid w:val="00D67A58"/>
    <w:rPr>
      <w:sz w:val="24"/>
      <w:lang w:val="lv-LV"/>
    </w:rPr>
  </w:style>
  <w:style w:type="character" w:styleId="CommentReference">
    <w:name w:val="annotation reference"/>
    <w:basedOn w:val="DefaultParagraphFont"/>
    <w:uiPriority w:val="99"/>
    <w:rsid w:val="00D67A58"/>
    <w:rPr>
      <w:sz w:val="16"/>
      <w:szCs w:val="16"/>
    </w:rPr>
  </w:style>
  <w:style w:type="paragraph" w:styleId="CommentText">
    <w:name w:val="annotation text"/>
    <w:basedOn w:val="Normal"/>
    <w:link w:val="CommentTextChar"/>
    <w:uiPriority w:val="99"/>
    <w:rsid w:val="00D67A58"/>
    <w:rPr>
      <w:sz w:val="20"/>
    </w:rPr>
  </w:style>
  <w:style w:type="character" w:customStyle="1" w:styleId="CommentTextChar">
    <w:name w:val="Comment Text Char"/>
    <w:basedOn w:val="DefaultParagraphFont"/>
    <w:link w:val="CommentText"/>
    <w:uiPriority w:val="99"/>
    <w:rsid w:val="00D67A58"/>
    <w:rPr>
      <w:lang w:val="lv-LV"/>
    </w:rPr>
  </w:style>
  <w:style w:type="paragraph" w:styleId="CommentSubject">
    <w:name w:val="annotation subject"/>
    <w:basedOn w:val="CommentText"/>
    <w:next w:val="CommentText"/>
    <w:link w:val="CommentSubjectChar"/>
    <w:unhideWhenUsed/>
    <w:rsid w:val="00D67A58"/>
    <w:rPr>
      <w:b/>
      <w:bCs/>
    </w:rPr>
  </w:style>
  <w:style w:type="character" w:customStyle="1" w:styleId="CommentSubjectChar">
    <w:name w:val="Comment Subject Char"/>
    <w:basedOn w:val="CommentTextChar"/>
    <w:link w:val="CommentSubject"/>
    <w:rsid w:val="00D67A58"/>
    <w:rPr>
      <w:b/>
      <w:bCs/>
      <w:lang w:val="lv-LV"/>
    </w:rPr>
  </w:style>
  <w:style w:type="character" w:styleId="UnresolvedMention">
    <w:name w:val="Unresolved Mention"/>
    <w:basedOn w:val="DefaultParagraphFont"/>
    <w:uiPriority w:val="99"/>
    <w:semiHidden/>
    <w:unhideWhenUsed/>
    <w:rsid w:val="00D67A58"/>
    <w:rPr>
      <w:color w:val="605E5C"/>
      <w:shd w:val="clear" w:color="auto" w:fill="E1DFDD"/>
    </w:rPr>
  </w:style>
  <w:style w:type="paragraph" w:styleId="ListParagraph">
    <w:name w:val="List Paragraph"/>
    <w:basedOn w:val="Normal"/>
    <w:uiPriority w:val="34"/>
    <w:qFormat/>
    <w:rsid w:val="00D67A58"/>
    <w:pPr>
      <w:ind w:left="720"/>
      <w:contextualSpacing/>
    </w:pPr>
  </w:style>
  <w:style w:type="paragraph" w:styleId="BodyText">
    <w:name w:val="Body Text"/>
    <w:basedOn w:val="Normal"/>
    <w:link w:val="BodyTextChar"/>
    <w:uiPriority w:val="1"/>
    <w:unhideWhenUsed/>
    <w:qFormat/>
    <w:rsid w:val="00D67A58"/>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D67A58"/>
    <w:rPr>
      <w:sz w:val="24"/>
      <w:szCs w:val="24"/>
      <w:lang w:val="lv-LV" w:eastAsia="en-US"/>
    </w:rPr>
  </w:style>
  <w:style w:type="paragraph" w:customStyle="1" w:styleId="Normal12a">
    <w:name w:val="Normal12a"/>
    <w:basedOn w:val="Normal"/>
    <w:rsid w:val="00D67A58"/>
    <w:pPr>
      <w:spacing w:after="240"/>
    </w:pPr>
  </w:style>
  <w:style w:type="paragraph" w:customStyle="1" w:styleId="PageHeadingNotTOC">
    <w:name w:val="PageHeadingNotTOC"/>
    <w:basedOn w:val="Normal"/>
    <w:rsid w:val="00D67A58"/>
    <w:pPr>
      <w:keepNext/>
      <w:spacing w:after="480"/>
      <w:jc w:val="center"/>
    </w:pPr>
    <w:rPr>
      <w:rFonts w:ascii="Arial" w:hAnsi="Arial" w:cs="Arial"/>
      <w:b/>
    </w:rPr>
  </w:style>
  <w:style w:type="paragraph" w:customStyle="1" w:styleId="AmHeadingPA">
    <w:name w:val="AmHeadingPA"/>
    <w:basedOn w:val="Normal"/>
    <w:next w:val="Normal"/>
    <w:rsid w:val="00D67A58"/>
    <w:pPr>
      <w:spacing w:before="480" w:after="240"/>
      <w:jc w:val="center"/>
    </w:pPr>
    <w:rPr>
      <w:rFonts w:ascii="Arial" w:hAnsi="Arial"/>
      <w:b/>
      <w:caps/>
      <w:snapToGrid w:val="0"/>
      <w:szCs w:val="24"/>
      <w:lang w:eastAsia="en-US"/>
    </w:rPr>
  </w:style>
  <w:style w:type="paragraph" w:customStyle="1" w:styleId="Normal24a">
    <w:name w:val="Normal24a"/>
    <w:basedOn w:val="Normal"/>
    <w:rsid w:val="00D67A58"/>
    <w:pPr>
      <w:spacing w:after="480"/>
    </w:pPr>
    <w:rPr>
      <w:szCs w:val="24"/>
    </w:rPr>
  </w:style>
  <w:style w:type="paragraph" w:customStyle="1" w:styleId="NormalBoldCenter">
    <w:name w:val="NormalBoldCenter"/>
    <w:basedOn w:val="Normal"/>
    <w:rsid w:val="00D67A58"/>
    <w:pPr>
      <w:jc w:val="center"/>
    </w:pPr>
    <w:rPr>
      <w:b/>
      <w:szCs w:val="24"/>
    </w:rPr>
  </w:style>
  <w:style w:type="paragraph" w:customStyle="1" w:styleId="Footprint12b">
    <w:name w:val="Footprint12b"/>
    <w:basedOn w:val="Normal"/>
    <w:rsid w:val="00D67A58"/>
    <w:pPr>
      <w:spacing w:before="240"/>
    </w:pPr>
    <w:rPr>
      <w:szCs w:val="24"/>
    </w:rPr>
  </w:style>
  <w:style w:type="paragraph" w:customStyle="1" w:styleId="NormalSingle">
    <w:name w:val="NormalSingle"/>
    <w:basedOn w:val="Normal"/>
    <w:qFormat/>
    <w:rsid w:val="00D67A58"/>
    <w:rPr>
      <w:szCs w:val="24"/>
    </w:rPr>
  </w:style>
  <w:style w:type="paragraph" w:customStyle="1" w:styleId="RollCallSymbols14pt">
    <w:name w:val="RollCallSymbols14pt"/>
    <w:basedOn w:val="Normal"/>
    <w:rsid w:val="00D67A5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67A58"/>
    <w:pPr>
      <w:tabs>
        <w:tab w:val="center" w:pos="284"/>
        <w:tab w:val="left" w:pos="426"/>
      </w:tabs>
    </w:pPr>
    <w:rPr>
      <w:snapToGrid w:val="0"/>
      <w:lang w:eastAsia="en-US"/>
    </w:rPr>
  </w:style>
  <w:style w:type="paragraph" w:customStyle="1" w:styleId="RollCallVotes">
    <w:name w:val="RollCallVotes"/>
    <w:basedOn w:val="Normal"/>
    <w:rsid w:val="00D67A58"/>
    <w:pPr>
      <w:spacing w:before="120" w:after="120"/>
      <w:jc w:val="center"/>
    </w:pPr>
    <w:rPr>
      <w:b/>
      <w:bCs/>
      <w:snapToGrid w:val="0"/>
      <w:sz w:val="16"/>
      <w:lang w:eastAsia="en-US"/>
    </w:rPr>
  </w:style>
  <w:style w:type="paragraph" w:customStyle="1" w:styleId="RollCallTable">
    <w:name w:val="RollCallTable"/>
    <w:basedOn w:val="Normal"/>
    <w:rsid w:val="00D67A58"/>
    <w:pPr>
      <w:spacing w:before="120" w:after="120"/>
    </w:pPr>
    <w:rPr>
      <w:snapToGrid w:val="0"/>
      <w:sz w:val="16"/>
      <w:lang w:eastAsia="en-US"/>
    </w:rPr>
  </w:style>
  <w:style w:type="paragraph" w:customStyle="1" w:styleId="Normal12Hanging">
    <w:name w:val="Normal12Hanging"/>
    <w:basedOn w:val="Normal"/>
    <w:link w:val="Normal12HangingChar"/>
    <w:rsid w:val="003A2023"/>
    <w:pPr>
      <w:spacing w:after="240"/>
      <w:ind w:left="357" w:hanging="357"/>
    </w:pPr>
  </w:style>
  <w:style w:type="character" w:customStyle="1" w:styleId="Normal12HangingChar">
    <w:name w:val="Normal12Hanging Char"/>
    <w:basedOn w:val="DefaultParagraphFont"/>
    <w:link w:val="Normal12Hanging"/>
    <w:rsid w:val="003A2023"/>
    <w:rPr>
      <w:sz w:val="24"/>
      <w:lang w:val="lv-LV"/>
    </w:rPr>
  </w:style>
  <w:style w:type="paragraph" w:customStyle="1" w:styleId="AmDocTypeTab">
    <w:name w:val="AmDocTypeTab"/>
    <w:basedOn w:val="Normal"/>
    <w:rsid w:val="00907141"/>
    <w:pPr>
      <w:tabs>
        <w:tab w:val="right" w:pos="9072"/>
      </w:tabs>
    </w:pPr>
    <w:rPr>
      <w:b/>
    </w:rPr>
  </w:style>
  <w:style w:type="paragraph" w:customStyle="1" w:styleId="NormalCenter12a">
    <w:name w:val="NormalCenter12a"/>
    <w:basedOn w:val="Normal"/>
    <w:rsid w:val="00907141"/>
    <w:pPr>
      <w:spacing w:after="240"/>
      <w:jc w:val="center"/>
    </w:pPr>
  </w:style>
  <w:style w:type="paragraph" w:customStyle="1" w:styleId="AmDateTab">
    <w:name w:val="AmDateTab"/>
    <w:basedOn w:val="Normal"/>
    <w:rsid w:val="00907141"/>
    <w:pPr>
      <w:tabs>
        <w:tab w:val="right" w:pos="9072"/>
      </w:tabs>
    </w:pPr>
  </w:style>
  <w:style w:type="paragraph" w:customStyle="1" w:styleId="AmHeadingConsam">
    <w:name w:val="AmHeadingConsam"/>
    <w:basedOn w:val="Normal"/>
    <w:next w:val="NormalCenter12a"/>
    <w:rsid w:val="00907141"/>
    <w:pPr>
      <w:spacing w:before="720" w:after="240"/>
      <w:jc w:val="center"/>
    </w:pPr>
  </w:style>
  <w:style w:type="numbering" w:customStyle="1" w:styleId="NoList1">
    <w:name w:val="No List1"/>
    <w:next w:val="NoList"/>
    <w:uiPriority w:val="99"/>
    <w:semiHidden/>
    <w:unhideWhenUsed/>
    <w:rsid w:val="00907141"/>
  </w:style>
  <w:style w:type="paragraph" w:customStyle="1" w:styleId="Institutionquiagit">
    <w:name w:val="Institution qui agit"/>
    <w:basedOn w:val="Normal"/>
    <w:next w:val="Normal"/>
    <w:rsid w:val="00907141"/>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907141"/>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907141"/>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907141"/>
    <w:pPr>
      <w:widowControl/>
      <w:spacing w:after="240" w:line="360" w:lineRule="auto"/>
      <w:ind w:left="5102"/>
    </w:pPr>
    <w:rPr>
      <w:szCs w:val="24"/>
      <w:lang w:eastAsia="en-US"/>
    </w:rPr>
  </w:style>
  <w:style w:type="paragraph" w:customStyle="1" w:styleId="Statut">
    <w:name w:val="Statut"/>
    <w:basedOn w:val="Normal"/>
    <w:next w:val="Normal"/>
    <w:rsid w:val="00907141"/>
    <w:pPr>
      <w:widowControl/>
      <w:spacing w:before="840" w:line="360" w:lineRule="auto"/>
      <w:jc w:val="center"/>
    </w:pPr>
    <w:rPr>
      <w:szCs w:val="24"/>
      <w:lang w:eastAsia="en-US"/>
    </w:rPr>
  </w:style>
  <w:style w:type="paragraph" w:customStyle="1" w:styleId="Typedudocument">
    <w:name w:val="Type du document"/>
    <w:basedOn w:val="Normal"/>
    <w:next w:val="Normal"/>
    <w:rsid w:val="00907141"/>
    <w:pPr>
      <w:widowControl/>
      <w:spacing w:before="360" w:line="360" w:lineRule="auto"/>
      <w:jc w:val="center"/>
    </w:pPr>
    <w:rPr>
      <w:b/>
      <w:szCs w:val="24"/>
      <w:lang w:eastAsia="en-US"/>
    </w:rPr>
  </w:style>
  <w:style w:type="paragraph" w:customStyle="1" w:styleId="Titreobjet">
    <w:name w:val="Titre objet"/>
    <w:basedOn w:val="Normal"/>
    <w:next w:val="Normal"/>
    <w:rsid w:val="00907141"/>
    <w:pPr>
      <w:widowControl/>
      <w:spacing w:before="360" w:after="360" w:line="360" w:lineRule="auto"/>
      <w:jc w:val="center"/>
    </w:pPr>
    <w:rPr>
      <w:b/>
      <w:szCs w:val="24"/>
      <w:lang w:eastAsia="en-US"/>
    </w:rPr>
  </w:style>
  <w:style w:type="paragraph" w:customStyle="1" w:styleId="Normal3a">
    <w:name w:val="Normal3a"/>
    <w:basedOn w:val="Normal"/>
    <w:rsid w:val="00907141"/>
    <w:pPr>
      <w:widowControl/>
      <w:spacing w:after="60"/>
    </w:pPr>
    <w:rPr>
      <w:szCs w:val="24"/>
      <w:lang w:eastAsia="en-US"/>
    </w:rPr>
  </w:style>
  <w:style w:type="paragraph" w:customStyle="1" w:styleId="FootnoteTextForceStyle">
    <w:name w:val="Footnote Text ForceStyle"/>
    <w:rsid w:val="00907141"/>
    <w:pPr>
      <w:keepLines/>
      <w:spacing w:line="240" w:lineRule="exact"/>
      <w:ind w:left="850" w:hanging="850"/>
    </w:pPr>
    <w:rPr>
      <w:sz w:val="24"/>
      <w:lang w:val="lv-LV" w:eastAsia="en-US"/>
    </w:rPr>
  </w:style>
  <w:style w:type="character" w:customStyle="1" w:styleId="Footer2">
    <w:name w:val="Footer2"/>
    <w:rsid w:val="00907141"/>
    <w:rPr>
      <w:rFonts w:ascii="Arial" w:hAnsi="Arial"/>
      <w:b/>
      <w:sz w:val="48"/>
    </w:rPr>
  </w:style>
  <w:style w:type="paragraph" w:customStyle="1" w:styleId="Considrant">
    <w:name w:val="Considérant"/>
    <w:basedOn w:val="Normal"/>
    <w:rsid w:val="00907141"/>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907141"/>
    <w:pPr>
      <w:widowControl/>
      <w:jc w:val="center"/>
    </w:pPr>
    <w:rPr>
      <w:szCs w:val="24"/>
      <w:lang w:eastAsia="en-US"/>
    </w:rPr>
  </w:style>
  <w:style w:type="paragraph" w:customStyle="1" w:styleId="Footer1">
    <w:name w:val="Footer1"/>
    <w:basedOn w:val="Normal"/>
    <w:rsid w:val="00907141"/>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907141"/>
    <w:pPr>
      <w:keepNext/>
      <w:widowControl/>
      <w:tabs>
        <w:tab w:val="left" w:pos="4252"/>
      </w:tabs>
      <w:spacing w:before="720"/>
      <w:jc w:val="both"/>
    </w:pPr>
    <w:rPr>
      <w:i/>
      <w:szCs w:val="24"/>
      <w:lang w:eastAsia="en-US"/>
    </w:rPr>
  </w:style>
  <w:style w:type="paragraph" w:customStyle="1" w:styleId="SignaturePersonne">
    <w:name w:val="Signature Personne"/>
    <w:basedOn w:val="Normal"/>
    <w:rsid w:val="00907141"/>
    <w:pPr>
      <w:widowControl/>
      <w:tabs>
        <w:tab w:val="left" w:pos="4252"/>
      </w:tabs>
      <w:spacing w:line="360" w:lineRule="auto"/>
    </w:pPr>
    <w:rPr>
      <w:i/>
      <w:szCs w:val="24"/>
      <w:lang w:eastAsia="en-US"/>
    </w:rPr>
  </w:style>
  <w:style w:type="paragraph" w:customStyle="1" w:styleId="Fait">
    <w:name w:val="Fait à"/>
    <w:basedOn w:val="Normal"/>
    <w:rsid w:val="00907141"/>
    <w:pPr>
      <w:keepNext/>
      <w:widowControl/>
      <w:spacing w:before="120" w:line="360" w:lineRule="auto"/>
    </w:pPr>
    <w:rPr>
      <w:szCs w:val="24"/>
      <w:lang w:eastAsia="en-US"/>
    </w:rPr>
  </w:style>
  <w:style w:type="paragraph" w:customStyle="1" w:styleId="TableText">
    <w:name w:val="Table Text"/>
    <w:basedOn w:val="Normal"/>
    <w:rsid w:val="00907141"/>
    <w:pPr>
      <w:widowControl/>
      <w:spacing w:before="60" w:after="60"/>
    </w:pPr>
    <w:rPr>
      <w:szCs w:val="24"/>
      <w:lang w:eastAsia="en-US"/>
    </w:rPr>
  </w:style>
  <w:style w:type="paragraph" w:customStyle="1" w:styleId="Applicationdirecte">
    <w:name w:val="Application directe"/>
    <w:basedOn w:val="Normal"/>
    <w:next w:val="Normal"/>
    <w:rsid w:val="00907141"/>
    <w:pPr>
      <w:widowControl/>
      <w:spacing w:before="120" w:after="120" w:line="360" w:lineRule="auto"/>
    </w:pPr>
    <w:rPr>
      <w:szCs w:val="24"/>
      <w:lang w:eastAsia="en-US"/>
    </w:rPr>
  </w:style>
  <w:style w:type="paragraph" w:customStyle="1" w:styleId="Normale">
    <w:name w:val="Normale"/>
    <w:rsid w:val="00907141"/>
    <w:pPr>
      <w:spacing w:before="120" w:after="120" w:line="360" w:lineRule="auto"/>
    </w:pPr>
    <w:rPr>
      <w:sz w:val="24"/>
      <w:lang w:val="lv-LV" w:eastAsia="en-US"/>
    </w:rPr>
  </w:style>
  <w:style w:type="character" w:customStyle="1" w:styleId="CMissingStyle">
    <w:name w:val="C_MissingStyle"/>
    <w:rsid w:val="00907141"/>
    <w:rPr>
      <w:color w:val="FFFFFF"/>
      <w:sz w:val="22"/>
      <w:shd w:val="clear" w:color="000000" w:fill="000000"/>
    </w:rPr>
  </w:style>
  <w:style w:type="paragraph" w:customStyle="1" w:styleId="PMissingStyle">
    <w:name w:val="P_MissingStyle"/>
    <w:basedOn w:val="Normal"/>
    <w:rsid w:val="00907141"/>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907141"/>
    <w:rPr>
      <w:color w:val="0000FF"/>
      <w:u w:val="single"/>
    </w:rPr>
  </w:style>
  <w:style w:type="character" w:customStyle="1" w:styleId="FooterChar1">
    <w:name w:val="Footer Char1"/>
    <w:basedOn w:val="DefaultParagraphFont"/>
    <w:rsid w:val="009071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478</Words>
  <Characters>3497</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2026-07-03T07:28:00Z</dcterms:created>
  <dcterms:modified xsi:type="dcterms:W3CDTF">2026-07-03T07:28:00Z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P10_TA(2026)0170_</vt:lpwstr>
  </property>
  <property fmtid="{D5CDD505-2E9C-101B-9397-08002B2CF9AE}" pid="4" name="&lt;Type&gt;">
    <vt:lpwstr>RR</vt:lpwstr>
  </property>
</Properties>
</file>