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75235" w14:paraId="0FDA79E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EAE977A" w14:textId="77777777" w:rsidR="00751A4A" w:rsidRPr="00C75235" w:rsidRDefault="009B3BBD" w:rsidP="0010095E">
            <w:pPr>
              <w:pStyle w:val="EPName"/>
            </w:pPr>
            <w:r w:rsidRPr="00C75235">
              <w:t>Parlament Ewropew</w:t>
            </w:r>
          </w:p>
          <w:p w14:paraId="1AF61284" w14:textId="77777777" w:rsidR="00751A4A" w:rsidRPr="00C7523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75235">
              <w:t>2024</w:t>
            </w:r>
            <w:r w:rsidR="00817416" w:rsidRPr="00C75235">
              <w:t>-202</w:t>
            </w:r>
            <w:r w:rsidRPr="00C75235">
              <w:t>9</w:t>
            </w:r>
          </w:p>
        </w:tc>
        <w:tc>
          <w:tcPr>
            <w:tcW w:w="2268" w:type="dxa"/>
            <w:shd w:val="clear" w:color="auto" w:fill="auto"/>
          </w:tcPr>
          <w:p w14:paraId="6D311AB5" w14:textId="77777777" w:rsidR="00751A4A" w:rsidRPr="00C75235" w:rsidRDefault="00187494" w:rsidP="0010095E">
            <w:pPr>
              <w:pStyle w:val="EPLogo"/>
            </w:pPr>
            <w:r w:rsidRPr="00F16FD6">
              <w:rPr>
                <w:noProof/>
                <w:lang w:eastAsia="ja-JP"/>
              </w:rPr>
              <w:drawing>
                <wp:inline distT="0" distB="0" distL="0" distR="0" wp14:anchorId="37A057AF" wp14:editId="1D50A49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837F57" w14:textId="77777777" w:rsidR="00D058B8" w:rsidRPr="00C75235" w:rsidRDefault="00D058B8" w:rsidP="004C5D52">
      <w:pPr>
        <w:pStyle w:val="LineTop"/>
      </w:pPr>
    </w:p>
    <w:p w14:paraId="0EB90014" w14:textId="77777777" w:rsidR="00680577" w:rsidRPr="00C75235" w:rsidRDefault="009B3BBD" w:rsidP="00680577">
      <w:pPr>
        <w:pStyle w:val="EPBodyTA1"/>
      </w:pPr>
      <w:r w:rsidRPr="00C75235">
        <w:t>TESTI ADOTTATI</w:t>
      </w:r>
    </w:p>
    <w:p w14:paraId="6A44C014" w14:textId="77777777" w:rsidR="00D058B8" w:rsidRPr="00C75235" w:rsidRDefault="00D058B8" w:rsidP="00D058B8">
      <w:pPr>
        <w:pStyle w:val="LineBottom"/>
      </w:pPr>
    </w:p>
    <w:p w14:paraId="6A899DAC" w14:textId="16C96AC3" w:rsidR="009B3BBD" w:rsidRPr="00C75235" w:rsidRDefault="009B3BBD" w:rsidP="009B3BBD">
      <w:pPr>
        <w:pStyle w:val="ATHeading1"/>
      </w:pPr>
      <w:bookmarkStart w:id="0" w:name="TANumber"/>
      <w:r w:rsidRPr="00C75235">
        <w:t>P10_TA(2026)0</w:t>
      </w:r>
      <w:bookmarkEnd w:id="0"/>
      <w:r w:rsidR="00617240">
        <w:t>170</w:t>
      </w:r>
    </w:p>
    <w:p w14:paraId="3C72CA98" w14:textId="77777777" w:rsidR="009B3BBD" w:rsidRPr="00C75235" w:rsidRDefault="009B3BBD" w:rsidP="009B3BBD">
      <w:pPr>
        <w:pStyle w:val="ATHeading2"/>
      </w:pPr>
      <w:bookmarkStart w:id="1" w:name="title"/>
      <w:r w:rsidRPr="00C75235">
        <w:t>L-effetti negattivi relatati mal-kummerċ tal-kapaċità żejda globali fuq is-suq tal-azzar tal-Unjoni</w:t>
      </w:r>
      <w:bookmarkEnd w:id="1"/>
    </w:p>
    <w:p w14:paraId="1AD2ED68" w14:textId="77777777" w:rsidR="009B3BBD" w:rsidRPr="00C75235" w:rsidRDefault="009B3BBD" w:rsidP="009B3BBD">
      <w:pPr>
        <w:rPr>
          <w:i/>
          <w:vanish/>
        </w:rPr>
      </w:pPr>
      <w:r w:rsidRPr="00C75235">
        <w:rPr>
          <w:i/>
        </w:rPr>
        <w:fldChar w:fldCharType="begin"/>
      </w:r>
      <w:r w:rsidRPr="00C75235">
        <w:rPr>
          <w:i/>
        </w:rPr>
        <w:instrText xml:space="preserve"> TC"(</w:instrText>
      </w:r>
      <w:bookmarkStart w:id="2" w:name="DocNumber"/>
      <w:r w:rsidRPr="00C75235">
        <w:rPr>
          <w:i/>
        </w:rPr>
        <w:instrText>A10-0012/2026</w:instrText>
      </w:r>
      <w:bookmarkEnd w:id="2"/>
      <w:r w:rsidRPr="00C75235">
        <w:rPr>
          <w:i/>
        </w:rPr>
        <w:instrText xml:space="preserve"> - Rapporteur: Karin Karlsbro)"\l3 \n&gt; \* MERGEFORMAT </w:instrText>
      </w:r>
      <w:r w:rsidRPr="00C75235">
        <w:rPr>
          <w:i/>
        </w:rPr>
        <w:fldChar w:fldCharType="end"/>
      </w:r>
    </w:p>
    <w:p w14:paraId="28EA6D7F" w14:textId="77777777" w:rsidR="009B3BBD" w:rsidRPr="00C75235" w:rsidRDefault="009B3BBD" w:rsidP="009B3BBD">
      <w:pPr>
        <w:rPr>
          <w:vanish/>
        </w:rPr>
      </w:pPr>
      <w:bookmarkStart w:id="3" w:name="Commission"/>
      <w:r w:rsidRPr="00C75235">
        <w:rPr>
          <w:vanish/>
        </w:rPr>
        <w:t>Kumitat għall-Kummerċ Internazzjonali</w:t>
      </w:r>
      <w:bookmarkEnd w:id="3"/>
    </w:p>
    <w:p w14:paraId="44777C40" w14:textId="77777777" w:rsidR="009B3BBD" w:rsidRPr="00C75235" w:rsidRDefault="009B3BBD" w:rsidP="009B3BBD">
      <w:pPr>
        <w:rPr>
          <w:vanish/>
        </w:rPr>
      </w:pPr>
      <w:bookmarkStart w:id="4" w:name="PE"/>
      <w:r w:rsidRPr="00C75235">
        <w:rPr>
          <w:vanish/>
        </w:rPr>
        <w:t>PE779.727</w:t>
      </w:r>
      <w:bookmarkEnd w:id="4"/>
    </w:p>
    <w:p w14:paraId="36E6784B" w14:textId="58E38E4A" w:rsidR="009B3BBD" w:rsidRPr="00C75235" w:rsidRDefault="009B3BBD" w:rsidP="009B3BBD">
      <w:pPr>
        <w:pStyle w:val="ATHeading3"/>
      </w:pPr>
      <w:bookmarkStart w:id="5" w:name="Sujet"/>
      <w:r w:rsidRPr="00C75235">
        <w:t xml:space="preserve">Riżoluzzjoni </w:t>
      </w:r>
      <w:proofErr w:type="spellStart"/>
      <w:r w:rsidRPr="00C75235">
        <w:t>leġiżlattiva</w:t>
      </w:r>
      <w:proofErr w:type="spellEnd"/>
      <w:r w:rsidRPr="00C75235">
        <w:t xml:space="preserve"> tal-Parlament Ewropew </w:t>
      </w:r>
      <w:r w:rsidR="004D6FB5" w:rsidRPr="00C75235">
        <w:t>tad-19 ta’ Mejju</w:t>
      </w:r>
      <w:r w:rsidRPr="00C75235">
        <w:t xml:space="preserve"> 2026 dwar il-proposta għal Regolament tal-Parlament Ewropew u tal-Kunsill li jindirizza l-effetti negattivi relatati mal-kummerċ tal-kapaċità żejda globali fuq is-suq tal-azzar tal-Unjoni</w:t>
      </w:r>
      <w:bookmarkEnd w:id="5"/>
      <w:r w:rsidRPr="00C75235">
        <w:t xml:space="preserve"> </w:t>
      </w:r>
      <w:bookmarkStart w:id="6" w:name="References"/>
      <w:r w:rsidRPr="00C75235">
        <w:t>(COM(2025)0726 – C10-0245/2025 – 2025/0726(COD))</w:t>
      </w:r>
      <w:bookmarkEnd w:id="6"/>
    </w:p>
    <w:p w14:paraId="69792CD4" w14:textId="77777777" w:rsidR="00397B7B" w:rsidRPr="00C75235" w:rsidRDefault="00397B7B" w:rsidP="00397B7B">
      <w:pPr>
        <w:pStyle w:val="NormalBold"/>
      </w:pPr>
      <w:r w:rsidRPr="00C75235">
        <w:t>(Proċedura leġiżlattiva ordinarja: l-ewwel qari)</w:t>
      </w:r>
    </w:p>
    <w:p w14:paraId="68B9B228" w14:textId="77777777" w:rsidR="00397B7B" w:rsidRPr="00C75235" w:rsidRDefault="00397B7B" w:rsidP="00397B7B">
      <w:pPr>
        <w:pStyle w:val="EPComma"/>
      </w:pPr>
      <w:r w:rsidRPr="00C75235">
        <w:rPr>
          <w:i/>
        </w:rPr>
        <w:t>Il-Parlament Ewropew</w:t>
      </w:r>
      <w:r w:rsidRPr="00C75235">
        <w:t>,</w:t>
      </w:r>
    </w:p>
    <w:p w14:paraId="36F48D03" w14:textId="77777777" w:rsidR="00397B7B" w:rsidRPr="00C75235" w:rsidRDefault="00397B7B" w:rsidP="00397B7B">
      <w:pPr>
        <w:pStyle w:val="NormalHanging12a"/>
      </w:pPr>
      <w:r w:rsidRPr="00C75235">
        <w:t>–</w:t>
      </w:r>
      <w:r w:rsidRPr="00C75235">
        <w:tab/>
        <w:t>wara li kkunsidra l-proposta tal-Kummissjoni lill-Parlament Ewropew u lill-Kunsill (COM(2025)0726),</w:t>
      </w:r>
    </w:p>
    <w:p w14:paraId="5ED275D1" w14:textId="77777777" w:rsidR="00397B7B" w:rsidRPr="00C75235" w:rsidRDefault="00397B7B" w:rsidP="00397B7B">
      <w:pPr>
        <w:pStyle w:val="NormalHanging12a"/>
      </w:pPr>
      <w:r w:rsidRPr="00C75235">
        <w:t>–</w:t>
      </w:r>
      <w:r w:rsidRPr="00C75235">
        <w:tab/>
        <w:t>wara li kkunsidra l-Artikolu 294(2) u l-Artikolu 207(2) tat-Trattat dwar il-Funzjonament tal-Unjoni Ewropea, skont liema artikoli l-Kummissjoni ppreżentat il-proposta lill-Parlament (C10</w:t>
      </w:r>
      <w:r w:rsidRPr="00C75235">
        <w:noBreakHyphen/>
        <w:t>0245/2025),</w:t>
      </w:r>
    </w:p>
    <w:p w14:paraId="4AFEC8F0" w14:textId="77777777" w:rsidR="00397B7B" w:rsidRPr="00C75235" w:rsidRDefault="00397B7B" w:rsidP="00397B7B">
      <w:pPr>
        <w:pStyle w:val="NormalHanging12a"/>
      </w:pPr>
      <w:r w:rsidRPr="00C75235">
        <w:t>–</w:t>
      </w:r>
      <w:r w:rsidRPr="00C75235">
        <w:tab/>
        <w:t>wara li kkunsidra l-Artikolu 294(3) tat-Trattat dwar il-Funzjonament tal-Unjoni Ewropea,</w:t>
      </w:r>
    </w:p>
    <w:p w14:paraId="5E0347F5" w14:textId="09B01122" w:rsidR="004D6FB5" w:rsidRPr="00C75235" w:rsidRDefault="004D6FB5" w:rsidP="00397B7B">
      <w:pPr>
        <w:pStyle w:val="NormalHanging12a"/>
      </w:pPr>
      <w:r w:rsidRPr="00C75235">
        <w:t>–</w:t>
      </w:r>
      <w:r w:rsidRPr="00C75235">
        <w:tab/>
        <w:t xml:space="preserve">wara li kkunsidra l-ftehim proviżorju approvat mill-kumitat responsabbli fis-sens tal-Artikolu 75(4) tar-Regoli ta' Proċedura tiegħu u l-impenn meħud mir-rappreżentant tal-Kunsill, permezz tal-ittra tat-23 </w:t>
      </w:r>
      <w:r w:rsidR="00814335">
        <w:t xml:space="preserve">ta’ </w:t>
      </w:r>
      <w:r w:rsidRPr="00C75235">
        <w:t>April 2026, li japprova l-pożizzjoni tal-Parlament, skont l-Artikolu 294(4) tat-Trattat dwar il-Funzjonament tal-Unjoni Ewropea,</w:t>
      </w:r>
    </w:p>
    <w:p w14:paraId="2B6F7C40" w14:textId="77777777" w:rsidR="00397B7B" w:rsidRPr="00C75235" w:rsidRDefault="00397B7B" w:rsidP="00397B7B">
      <w:pPr>
        <w:pStyle w:val="NormalHanging12a"/>
      </w:pPr>
      <w:r w:rsidRPr="00C75235">
        <w:t>–</w:t>
      </w:r>
      <w:r w:rsidRPr="00C75235">
        <w:tab/>
        <w:t>wara li kkunsidra l-Artikolu 60 tar-Regoli ta’ Proċedura tiegħu,</w:t>
      </w:r>
    </w:p>
    <w:p w14:paraId="6EFE6DA7" w14:textId="77777777" w:rsidR="00397B7B" w:rsidRPr="00C75235" w:rsidRDefault="00397B7B" w:rsidP="00397B7B">
      <w:pPr>
        <w:pStyle w:val="NormalHanging12a"/>
      </w:pPr>
      <w:r w:rsidRPr="00C75235">
        <w:t>–</w:t>
      </w:r>
      <w:r w:rsidRPr="00C75235">
        <w:tab/>
        <w:t>wara li kkunsidra l-opinjoni tal-Kumitat għall-Industrija, ir-Riċerka u l-Enerġija,</w:t>
      </w:r>
    </w:p>
    <w:p w14:paraId="31C187AB" w14:textId="77777777" w:rsidR="00397B7B" w:rsidRPr="00C75235" w:rsidRDefault="00397B7B" w:rsidP="00397B7B">
      <w:pPr>
        <w:pStyle w:val="NormalHanging12a"/>
      </w:pPr>
      <w:r w:rsidRPr="00C75235">
        <w:t>–</w:t>
      </w:r>
      <w:r w:rsidRPr="00C75235">
        <w:tab/>
        <w:t>wara li kkunsidra r-rapport tal-Kumitat għall-Kummerċ Internazzjonali (A10-0012/2026),</w:t>
      </w:r>
    </w:p>
    <w:p w14:paraId="687E8974" w14:textId="77777777" w:rsidR="00397B7B" w:rsidRPr="00C75235" w:rsidRDefault="00397B7B" w:rsidP="00397B7B">
      <w:pPr>
        <w:pStyle w:val="NormalHanging12a"/>
      </w:pPr>
      <w:r w:rsidRPr="00C75235">
        <w:t>1.</w:t>
      </w:r>
      <w:r w:rsidRPr="00C75235">
        <w:tab/>
        <w:t>Jadotta l-pożizzjoni fl-ewwel qari li tidher hawn taħt;</w:t>
      </w:r>
    </w:p>
    <w:p w14:paraId="7138599F" w14:textId="610E8E5B" w:rsidR="00C75235" w:rsidRPr="00C75235" w:rsidRDefault="00C75235" w:rsidP="00397B7B">
      <w:pPr>
        <w:pStyle w:val="NormalHanging12a"/>
      </w:pPr>
      <w:r w:rsidRPr="00C75235">
        <w:t>2.</w:t>
      </w:r>
      <w:r w:rsidRPr="00C75235">
        <w:tab/>
        <w:t>Japprova d-dikjarazzjoni konġunta tal-Parlament Ewropew</w:t>
      </w:r>
      <w:r w:rsidR="002F407A">
        <w:t>, tal-Kunsill</w:t>
      </w:r>
      <w:r w:rsidRPr="00C75235">
        <w:t xml:space="preserve"> u tal-Kummissjoni annessa ma’ din ir-riżoluzzjoni, li se tiġi ppubblikata fis-serje C ta’ </w:t>
      </w:r>
      <w:r w:rsidRPr="0005525C">
        <w:rPr>
          <w:i/>
          <w:iCs/>
        </w:rPr>
        <w:t>Il-Ġurnal Uffiċjali tal-Unjoni Ewropea</w:t>
      </w:r>
      <w:r w:rsidRPr="00C75235">
        <w:t>;</w:t>
      </w:r>
    </w:p>
    <w:p w14:paraId="596C1B47" w14:textId="311A90FF" w:rsidR="00397B7B" w:rsidRPr="00C75235" w:rsidRDefault="00C75235" w:rsidP="00397B7B">
      <w:pPr>
        <w:pStyle w:val="NormalHanging12a"/>
      </w:pPr>
      <w:r w:rsidRPr="00C75235">
        <w:t>3</w:t>
      </w:r>
      <w:r w:rsidR="00397B7B" w:rsidRPr="00C75235">
        <w:t>.</w:t>
      </w:r>
      <w:r w:rsidR="00397B7B" w:rsidRPr="00C75235">
        <w:tab/>
        <w:t xml:space="preserve">Jitlob lill-Kummissjoni terġa’ tirreferi l-kwistjoni lill-Parlament jekk tibdel il-proposta tagħha, temendaha b’mod sustanzjali jew ikollha l-ħsieb li temendaha b’mod </w:t>
      </w:r>
      <w:r w:rsidR="00397B7B" w:rsidRPr="00C75235">
        <w:lastRenderedPageBreak/>
        <w:t>sustanzjali;</w:t>
      </w:r>
    </w:p>
    <w:p w14:paraId="0D6074FE" w14:textId="63394547" w:rsidR="00C75235" w:rsidRPr="00C75235" w:rsidRDefault="00C75235" w:rsidP="00C75235">
      <w:pPr>
        <w:pStyle w:val="NormalHanging12a"/>
        <w:sectPr w:rsidR="00C75235" w:rsidRPr="00C75235" w:rsidSect="00ED5267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C75235">
        <w:t>4</w:t>
      </w:r>
      <w:r w:rsidR="00397B7B" w:rsidRPr="00C75235">
        <w:t>.</w:t>
      </w:r>
      <w:r w:rsidR="00397B7B" w:rsidRPr="00C75235">
        <w:tab/>
        <w:t>Jagħti istruzzjonijiet lill-President tiegħu biex tgħaddi l-pożizzjoni tal-Parlament lill-Kunsill u lill-Kummissjoni kif ukoll lill-parlamenti nazzjonali.</w:t>
      </w:r>
    </w:p>
    <w:p w14:paraId="751C8806" w14:textId="77777777" w:rsidR="00C75235" w:rsidRPr="00C75235" w:rsidRDefault="00C75235" w:rsidP="00C75235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C75235">
        <w:rPr>
          <w:rFonts w:eastAsia="Calibri"/>
          <w:b/>
          <w:bCs/>
          <w:color w:val="000000"/>
          <w:szCs w:val="24"/>
        </w:rPr>
        <w:lastRenderedPageBreak/>
        <w:t>P10_TC1-COD(2025)0726</w:t>
      </w:r>
    </w:p>
    <w:p w14:paraId="60CE27CF" w14:textId="1B02748A" w:rsidR="00C75235" w:rsidRPr="00975ADA" w:rsidRDefault="00C75235" w:rsidP="00C75235">
      <w:pPr>
        <w:pStyle w:val="NormalHanging12a"/>
        <w:ind w:left="0" w:firstLine="0"/>
        <w:rPr>
          <w:b/>
          <w:bCs/>
          <w:color w:val="000000"/>
        </w:rPr>
      </w:pPr>
      <w:r w:rsidRPr="00975ADA">
        <w:rPr>
          <w:b/>
          <w:bCs/>
        </w:rPr>
        <w:t xml:space="preserve">Pożizzjoni tal-Parlament Ewropew adottata fl-ewwel qari tad-19 ta' Mejju 2026 bil-ħsieb tal-adozzjoni tar-Regolament (UE) 2026/... tal-Parlament Ewropew u tal-Kunsill </w:t>
      </w:r>
      <w:r w:rsidRPr="00975ADA">
        <w:rPr>
          <w:b/>
          <w:bCs/>
          <w:color w:val="000000"/>
        </w:rPr>
        <w:t xml:space="preserve">li jindirizza l-effetti negattivi relatati mal-kummerċ tal-kapaċità żejda globali fuq is-suq tal-azzar tal-Unjoni u li jemenda r-Regolament </w:t>
      </w:r>
      <w:r w:rsidR="00F16FD6" w:rsidRPr="00975ADA">
        <w:rPr>
          <w:b/>
          <w:bCs/>
          <w:color w:val="000000"/>
        </w:rPr>
        <w:t xml:space="preserve">(UE) </w:t>
      </w:r>
      <w:r w:rsidRPr="00975ADA">
        <w:rPr>
          <w:b/>
          <w:bCs/>
          <w:color w:val="000000"/>
        </w:rPr>
        <w:t>2020/2170</w:t>
      </w:r>
    </w:p>
    <w:p w14:paraId="68E66E8F" w14:textId="6FCB544B" w:rsidR="00975ADA" w:rsidRPr="00C75235" w:rsidRDefault="00975ADA" w:rsidP="00975ADA">
      <w:pPr>
        <w:pStyle w:val="Institutionquiagit"/>
        <w:spacing w:before="240" w:after="0" w:line="240" w:lineRule="auto"/>
        <w:rPr>
          <w:b/>
          <w:bCs/>
          <w:color w:val="000000"/>
        </w:rPr>
      </w:pPr>
      <w:r w:rsidRPr="0050178C">
        <w:rPr>
          <w:i/>
        </w:rPr>
        <w:t>(</w:t>
      </w:r>
      <w:r>
        <w:rPr>
          <w:i/>
        </w:rPr>
        <w:t>Peress</w:t>
      </w:r>
      <w:r w:rsidRPr="0050178C">
        <w:rPr>
          <w:i/>
        </w:rPr>
        <w:t xml:space="preserve"> li ntlaħaq ftehim bejn il-Parlament u l-Kunsill,</w:t>
      </w:r>
      <w:r>
        <w:rPr>
          <w:i/>
        </w:rPr>
        <w:t xml:space="preserve"> il-pożizzjoni tal-Parlament </w:t>
      </w:r>
      <w:r w:rsidRPr="00975ADA">
        <w:rPr>
          <w:i/>
        </w:rPr>
        <w:t>t</w:t>
      </w:r>
      <w:r w:rsidRPr="0050178C">
        <w:rPr>
          <w:i/>
        </w:rPr>
        <w:t>aqbel mal-att leġislattiv finali,</w:t>
      </w:r>
      <w:r>
        <w:rPr>
          <w:i/>
        </w:rPr>
        <w:t xml:space="preserve"> r-Regolament (UE) </w:t>
      </w:r>
      <w:r w:rsidRPr="00975ADA">
        <w:rPr>
          <w:i/>
        </w:rPr>
        <w:t>2026/1384.)</w:t>
      </w:r>
    </w:p>
    <w:p w14:paraId="6EA809F2" w14:textId="77777777" w:rsidR="00975ADA" w:rsidRDefault="00975ADA">
      <w:pPr>
        <w:widowControl/>
      </w:pPr>
      <w:r>
        <w:br w:type="page"/>
      </w:r>
    </w:p>
    <w:p w14:paraId="60AF5938" w14:textId="0A1BFC3B" w:rsidR="00C75235" w:rsidRPr="00C75235" w:rsidRDefault="00C75235" w:rsidP="00C75235">
      <w:pPr>
        <w:pStyle w:val="NormalHanging12a"/>
        <w:jc w:val="right"/>
      </w:pPr>
      <w:r w:rsidRPr="00C75235">
        <w:lastRenderedPageBreak/>
        <w:t>ANNESS TAR-RIŻOLUZZJONI LEĠIŻLATTIVA</w:t>
      </w:r>
    </w:p>
    <w:p w14:paraId="07DFA87C" w14:textId="77777777" w:rsidR="00C75235" w:rsidRPr="00C75235" w:rsidRDefault="00C75235" w:rsidP="00C75235">
      <w:pPr>
        <w:spacing w:after="240"/>
        <w:rPr>
          <w:b/>
          <w:bCs/>
        </w:rPr>
      </w:pPr>
      <w:r w:rsidRPr="00C75235">
        <w:rPr>
          <w:b/>
        </w:rPr>
        <w:t xml:space="preserve">Dikjarazzjoni konġunta mill-Parlament Ewropew, mill-Kunsill u mill-Kummissjoni dwar l-importazzjoni ta’ prodotti tal-azzar mir-Russja </w:t>
      </w:r>
    </w:p>
    <w:p w14:paraId="4240BA4A" w14:textId="77777777" w:rsidR="00C75235" w:rsidRPr="00C75235" w:rsidRDefault="00C75235" w:rsidP="00C75235">
      <w:pPr>
        <w:spacing w:after="240"/>
      </w:pPr>
      <w:r w:rsidRPr="00C75235">
        <w:t xml:space="preserve">Mill-bidu tal-gwerra, l-Unjoni u l-Istati Membri tagħha ħadu miżuri bla preċedent biex inaqqsu d-dipendenzi ekonomiċi fuq ir-Russja u biex jaħdmu biex jiżguraw li l-attività ekonomika tal-Unjoni ma </w:t>
      </w:r>
      <w:proofErr w:type="spellStart"/>
      <w:r w:rsidRPr="00C75235">
        <w:t>tikkontribwix</w:t>
      </w:r>
      <w:proofErr w:type="spellEnd"/>
      <w:r w:rsidRPr="00C75235">
        <w:t xml:space="preserve"> għas-sostenn tal-isforz tal-gwerra tar-Russja.</w:t>
      </w:r>
    </w:p>
    <w:p w14:paraId="12C47A39" w14:textId="77777777" w:rsidR="00C75235" w:rsidRPr="00C75235" w:rsidRDefault="00C75235" w:rsidP="00C75235">
      <w:pPr>
        <w:spacing w:after="240"/>
      </w:pPr>
      <w:r w:rsidRPr="00C75235">
        <w:t xml:space="preserve">f’dawn il-miżuri naqqsu b’mod sinifikanti l-flussi kummerċjali f’firxa wiesgħa ta’ setturi, inkluż l-azzar, </w:t>
      </w:r>
      <w:proofErr w:type="spellStart"/>
      <w:r w:rsidRPr="00C75235">
        <w:t>aċċelleraw</w:t>
      </w:r>
      <w:proofErr w:type="spellEnd"/>
      <w:r w:rsidRPr="00C75235">
        <w:t xml:space="preserve"> id-</w:t>
      </w:r>
      <w:proofErr w:type="spellStart"/>
      <w:r w:rsidRPr="00C75235">
        <w:t>diżakkoppjament</w:t>
      </w:r>
      <w:proofErr w:type="spellEnd"/>
      <w:r w:rsidRPr="00C75235">
        <w:t xml:space="preserve"> u </w:t>
      </w:r>
      <w:proofErr w:type="spellStart"/>
      <w:r w:rsidRPr="00C75235">
        <w:t>kkontribwew</w:t>
      </w:r>
      <w:proofErr w:type="spellEnd"/>
      <w:r w:rsidRPr="00C75235">
        <w:t xml:space="preserve"> għar-reżiljenza tal-Unjoni, filwaqt li wrew ukoll il-kapaċità tal-Unjoni li taġixxi b’mod magħqud u deċiżiv meta l-valuri u l-interessi strateġiċi tagħha jkunu f’riskju.</w:t>
      </w:r>
    </w:p>
    <w:p w14:paraId="67AE9FC1" w14:textId="77777777" w:rsidR="00C75235" w:rsidRPr="00C75235" w:rsidRDefault="00C75235" w:rsidP="00C75235">
      <w:pPr>
        <w:spacing w:after="240"/>
      </w:pPr>
      <w:r w:rsidRPr="00C75235">
        <w:t xml:space="preserve">Fl-istess ħin, l-Unjoni jeħtiġilha tibqa’ attenta għal dawk l-oqsma fejn id-dipendenzi </w:t>
      </w:r>
      <w:proofErr w:type="spellStart"/>
      <w:r w:rsidRPr="00C75235">
        <w:t>jippersistu</w:t>
      </w:r>
      <w:proofErr w:type="spellEnd"/>
      <w:r w:rsidRPr="00C75235">
        <w:t>, b’mod partikolari fir-rigward ta’ ċerti prodotti tal-azzar li l-importazzjoni tagħhom għadha mhijiex ipprojbita għalkollox.</w:t>
      </w:r>
    </w:p>
    <w:p w14:paraId="2594B6B7" w14:textId="77777777" w:rsidR="00C75235" w:rsidRPr="00C75235" w:rsidRDefault="00C75235" w:rsidP="00C75235">
      <w:pPr>
        <w:spacing w:after="240"/>
      </w:pPr>
      <w:r w:rsidRPr="00C75235">
        <w:t>B’mod partikolari, xi importazzjonijiet limitati li joriġinaw mir-Russja jkomplu fis-settur tal-azzar sat-30 ta’ Settembru 2028, f’</w:t>
      </w:r>
      <w:proofErr w:type="spellStart"/>
      <w:r w:rsidRPr="00C75235">
        <w:t>konformità</w:t>
      </w:r>
      <w:proofErr w:type="spellEnd"/>
      <w:r w:rsidRPr="00C75235">
        <w:t xml:space="preserve"> mal-arranġamenti </w:t>
      </w:r>
      <w:proofErr w:type="spellStart"/>
      <w:r w:rsidRPr="00C75235">
        <w:t>tranżizzjonali</w:t>
      </w:r>
      <w:proofErr w:type="spellEnd"/>
      <w:r w:rsidRPr="00C75235">
        <w:t xml:space="preserve"> stabbiliti fil-miżuri restrittivi rilevanti adottati mill-Kunsill</w:t>
      </w:r>
      <w:r w:rsidRPr="00C75235">
        <w:rPr>
          <w:rStyle w:val="FootnoteReference"/>
        </w:rPr>
        <w:footnoteReference w:id="1"/>
      </w:r>
      <w:r w:rsidRPr="00C75235">
        <w:t>. Sabiex tiġi żgurata diversifikazzjoni progressiva u kostanti, dawn l-importazzjonijiet huma limitati bi kwoti b’volumi li jonqsu kull sena.</w:t>
      </w:r>
    </w:p>
    <w:p w14:paraId="2EC65A23" w14:textId="043A8946" w:rsidR="00C75235" w:rsidRPr="00ED5267" w:rsidRDefault="00C75235" w:rsidP="00C75235">
      <w:pPr>
        <w:pStyle w:val="NormalHanging12a"/>
        <w:ind w:left="0" w:firstLine="0"/>
      </w:pPr>
      <w:r w:rsidRPr="00C75235">
        <w:t xml:space="preserve">Filwaqt li jfakkru fil-qafas istituzzjonali applikabbli għall-miżuri restrittivi, il-Parlament Ewropew, il-Kunsill u l-Kummissjoni jenfasizzaw li l-miżuri restrittivi rilevanti adottati mill-Kunsill </w:t>
      </w:r>
      <w:proofErr w:type="spellStart"/>
      <w:r w:rsidRPr="00C75235">
        <w:t>jirfdu</w:t>
      </w:r>
      <w:proofErr w:type="spellEnd"/>
      <w:r w:rsidRPr="00C75235">
        <w:t xml:space="preserve"> </w:t>
      </w:r>
      <w:proofErr w:type="spellStart"/>
      <w:r w:rsidRPr="00C75235">
        <w:t>trajettorja</w:t>
      </w:r>
      <w:proofErr w:type="spellEnd"/>
      <w:r w:rsidRPr="00C75235">
        <w:t xml:space="preserve"> lejn eliminazzjoni gradwali sħiħa tal-importazzjonijiet li fadal tal-prodotti tal-azzar Russi, b’mod partikolari ċ-ċangaturi tal-azzar, sat-30 ta’ Settembru 2028.</w:t>
      </w:r>
    </w:p>
    <w:sectPr w:rsidR="00C75235" w:rsidRPr="00ED5267" w:rsidSect="00ED526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DDC5D" w14:textId="77777777" w:rsidR="009B3BBD" w:rsidRPr="00C75235" w:rsidRDefault="009B3BBD">
      <w:r w:rsidRPr="00C75235">
        <w:separator/>
      </w:r>
    </w:p>
  </w:endnote>
  <w:endnote w:type="continuationSeparator" w:id="0">
    <w:p w14:paraId="72424D92" w14:textId="77777777" w:rsidR="009B3BBD" w:rsidRPr="00C75235" w:rsidRDefault="009B3BBD">
      <w:r w:rsidRPr="00C752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D5A43" w14:textId="77777777" w:rsidR="00C75235" w:rsidRPr="00C75235" w:rsidRDefault="00C75235">
    <w:pPr>
      <w:pStyle w:val="Footer1"/>
    </w:pPr>
    <w:r w:rsidRPr="00C75235">
      <w:rPr>
        <w:rStyle w:val="Footer2"/>
      </w:rPr>
      <w:t>MT</w:t>
    </w:r>
    <w:r w:rsidRPr="00C75235">
      <w:tab/>
    </w:r>
    <w:r w:rsidRPr="00C75235">
      <w:fldChar w:fldCharType="begin"/>
    </w:r>
    <w:r w:rsidRPr="00C75235">
      <w:instrText xml:space="preserve"> PAGE </w:instrText>
    </w:r>
    <w:r w:rsidRPr="00C75235">
      <w:fldChar w:fldCharType="separate"/>
    </w:r>
    <w:r w:rsidRPr="0005525C">
      <w:t>1</w:t>
    </w:r>
    <w:r w:rsidRPr="00C75235">
      <w:fldChar w:fldCharType="end"/>
    </w:r>
    <w:r w:rsidRPr="00C75235">
      <w:tab/>
    </w:r>
    <w:r w:rsidRPr="00C75235">
      <w:rPr>
        <w:rStyle w:val="Footer2"/>
      </w:rPr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672B3" w14:textId="77777777" w:rsidR="00C75235" w:rsidRPr="00C75235" w:rsidRDefault="00C75235" w:rsidP="008E0C7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D4C7A" w14:textId="77777777" w:rsidR="00C75235" w:rsidRPr="00C75235" w:rsidRDefault="00C75235">
    <w:pPr>
      <w:pStyle w:val="Footer1"/>
    </w:pPr>
    <w:r w:rsidRPr="00C75235">
      <w:rPr>
        <w:rStyle w:val="Footer2"/>
      </w:rPr>
      <w:t>MT</w:t>
    </w:r>
    <w:r w:rsidRPr="00C75235">
      <w:tab/>
    </w:r>
    <w:r w:rsidRPr="00C75235">
      <w:fldChar w:fldCharType="begin"/>
    </w:r>
    <w:r w:rsidRPr="00C75235">
      <w:instrText xml:space="preserve"> PAGE </w:instrText>
    </w:r>
    <w:r w:rsidRPr="00C75235">
      <w:fldChar w:fldCharType="separate"/>
    </w:r>
    <w:r w:rsidRPr="0005525C">
      <w:t>1</w:t>
    </w:r>
    <w:r w:rsidRPr="00C75235">
      <w:fldChar w:fldCharType="end"/>
    </w:r>
    <w:r w:rsidRPr="00C75235">
      <w:tab/>
    </w:r>
    <w:r w:rsidRPr="00C75235">
      <w:rPr>
        <w:rStyle w:val="Footer2"/>
      </w:rPr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F906D" w14:textId="77777777" w:rsidR="009B3BBD" w:rsidRPr="00C75235" w:rsidRDefault="009B3BBD">
      <w:r w:rsidRPr="00C75235">
        <w:separator/>
      </w:r>
    </w:p>
  </w:footnote>
  <w:footnote w:type="continuationSeparator" w:id="0">
    <w:p w14:paraId="135123E7" w14:textId="77777777" w:rsidR="009B3BBD" w:rsidRPr="00C75235" w:rsidRDefault="009B3BBD">
      <w:r w:rsidRPr="00C75235">
        <w:continuationSeparator/>
      </w:r>
    </w:p>
  </w:footnote>
  <w:footnote w:id="1">
    <w:p w14:paraId="54B0F621" w14:textId="7450BA52" w:rsidR="00C75235" w:rsidRPr="0005525C" w:rsidRDefault="00C75235" w:rsidP="00C75235">
      <w:pPr>
        <w:pStyle w:val="FootnoteText"/>
        <w:ind w:left="709" w:hanging="709"/>
        <w:rPr>
          <w:sz w:val="24"/>
          <w:szCs w:val="24"/>
          <w:lang w:val="mt-MT"/>
        </w:rPr>
      </w:pPr>
      <w:r w:rsidRPr="0005525C">
        <w:rPr>
          <w:rStyle w:val="FootnoteReference"/>
          <w:sz w:val="24"/>
          <w:szCs w:val="24"/>
          <w:lang w:val="mt-MT"/>
        </w:rPr>
        <w:footnoteRef/>
      </w:r>
      <w:r w:rsidRPr="0005525C">
        <w:rPr>
          <w:sz w:val="24"/>
          <w:szCs w:val="24"/>
          <w:lang w:val="mt-MT"/>
        </w:rPr>
        <w:t xml:space="preserve"> </w:t>
      </w:r>
      <w:r w:rsidRPr="0005525C">
        <w:rPr>
          <w:sz w:val="24"/>
          <w:szCs w:val="24"/>
          <w:lang w:val="mt-MT"/>
        </w:rPr>
        <w:tab/>
        <w:t xml:space="preserve">Id-Deċiżjoni tal-Kunsill 2014/512/PESK tal-31 ta’ Lulju 2014 dwar miżuri restrittivi fid-dawl tal-azzjonijiet tar-Russja li </w:t>
      </w:r>
      <w:proofErr w:type="spellStart"/>
      <w:r w:rsidRPr="0005525C">
        <w:rPr>
          <w:sz w:val="24"/>
          <w:szCs w:val="24"/>
          <w:lang w:val="mt-MT"/>
        </w:rPr>
        <w:t>jiddestabbilizzaw</w:t>
      </w:r>
      <w:proofErr w:type="spellEnd"/>
      <w:r w:rsidRPr="0005525C">
        <w:rPr>
          <w:sz w:val="24"/>
          <w:szCs w:val="24"/>
          <w:lang w:val="mt-MT"/>
        </w:rPr>
        <w:t xml:space="preserve"> is-sitwazzjoni fl-Ukrajna, </w:t>
      </w:r>
      <w:r w:rsidR="00975ADA" w:rsidRPr="00975ADA">
        <w:rPr>
          <w:sz w:val="24"/>
          <w:szCs w:val="24"/>
          <w:lang w:val="mt-MT"/>
        </w:rPr>
        <w:t>(</w:t>
      </w:r>
      <w:r w:rsidR="00975ADA">
        <w:rPr>
          <w:sz w:val="24"/>
          <w:szCs w:val="24"/>
          <w:lang w:val="mt-MT"/>
        </w:rPr>
        <w:t>ĠU</w:t>
      </w:r>
      <w:r w:rsidR="00975ADA" w:rsidRPr="00975ADA">
        <w:rPr>
          <w:sz w:val="24"/>
          <w:szCs w:val="24"/>
          <w:lang w:val="mt-MT"/>
        </w:rPr>
        <w:t xml:space="preserve"> L 229, 31.7.2014, p. 13, ELI: </w:t>
      </w:r>
      <w:hyperlink r:id="rId1" w:history="1">
        <w:r w:rsidR="00975ADA" w:rsidRPr="003D2E94">
          <w:rPr>
            <w:rStyle w:val="Hyperlink"/>
            <w:sz w:val="24"/>
            <w:szCs w:val="24"/>
            <w:lang w:val="mt-MT"/>
          </w:rPr>
          <w:t>http://data.europa.eu/eli/dec/2014/512/oj</w:t>
        </w:r>
      </w:hyperlink>
      <w:r w:rsidR="00975ADA" w:rsidRPr="00975ADA">
        <w:rPr>
          <w:sz w:val="24"/>
          <w:szCs w:val="24"/>
          <w:lang w:val="mt-MT"/>
        </w:rPr>
        <w:t>)</w:t>
      </w:r>
      <w:r w:rsidR="00975ADA">
        <w:rPr>
          <w:sz w:val="24"/>
          <w:szCs w:val="24"/>
          <w:lang w:val="mt-MT"/>
        </w:rPr>
        <w:t xml:space="preserve"> </w:t>
      </w:r>
      <w:r w:rsidRPr="0005525C">
        <w:rPr>
          <w:sz w:val="24"/>
          <w:szCs w:val="24"/>
          <w:lang w:val="mt-MT"/>
        </w:rPr>
        <w:t xml:space="preserve">u r-Regolament tal-Kunsill (UE) Nru 833/2014 tal-31 ta’ Lulju 2014 dwar miżuri restrittivi fid-dawl tal-azzjonijiet tar-Russja li </w:t>
      </w:r>
      <w:proofErr w:type="spellStart"/>
      <w:r w:rsidRPr="0005525C">
        <w:rPr>
          <w:sz w:val="24"/>
          <w:szCs w:val="24"/>
          <w:lang w:val="mt-MT"/>
        </w:rPr>
        <w:t>jiddestabbilizzaw</w:t>
      </w:r>
      <w:proofErr w:type="spellEnd"/>
      <w:r w:rsidRPr="0005525C">
        <w:rPr>
          <w:sz w:val="24"/>
          <w:szCs w:val="24"/>
          <w:lang w:val="mt-MT"/>
        </w:rPr>
        <w:t xml:space="preserve"> is-sitwazzjoni fl-Ukrajna</w:t>
      </w:r>
      <w:r w:rsidR="00975ADA">
        <w:rPr>
          <w:sz w:val="24"/>
          <w:szCs w:val="24"/>
          <w:lang w:val="mt-MT"/>
        </w:rPr>
        <w:t xml:space="preserve"> </w:t>
      </w:r>
      <w:r w:rsidR="00975ADA" w:rsidRPr="00975ADA">
        <w:rPr>
          <w:sz w:val="24"/>
          <w:szCs w:val="24"/>
          <w:lang w:val="mt-MT"/>
        </w:rPr>
        <w:t>(</w:t>
      </w:r>
      <w:r w:rsidR="00975ADA">
        <w:rPr>
          <w:sz w:val="24"/>
          <w:szCs w:val="24"/>
          <w:lang w:val="mt-MT"/>
        </w:rPr>
        <w:t>ĠU</w:t>
      </w:r>
      <w:r w:rsidR="00975ADA" w:rsidRPr="00975ADA">
        <w:rPr>
          <w:sz w:val="24"/>
          <w:szCs w:val="24"/>
          <w:lang w:val="mt-MT"/>
        </w:rPr>
        <w:t xml:space="preserve"> L 229, 31.7.2014, p. 1, ELI: </w:t>
      </w:r>
      <w:hyperlink r:id="rId2" w:history="1">
        <w:r w:rsidR="00975ADA" w:rsidRPr="00975ADA">
          <w:rPr>
            <w:rStyle w:val="Hyperlink"/>
            <w:sz w:val="24"/>
            <w:szCs w:val="24"/>
            <w:lang w:val="mt-MT"/>
          </w:rPr>
          <w:t>http://data.europa.eu/eli/reg/2014/833/oj</w:t>
        </w:r>
      </w:hyperlink>
      <w:r w:rsidR="00975ADA" w:rsidRPr="00975ADA">
        <w:rPr>
          <w:sz w:val="24"/>
          <w:szCs w:val="24"/>
          <w:lang w:val="mt-MT"/>
        </w:rPr>
        <w:t>)</w:t>
      </w:r>
      <w:r w:rsidRPr="0005525C">
        <w:rPr>
          <w:sz w:val="24"/>
          <w:szCs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80A59" w14:textId="77777777" w:rsidR="00C75235" w:rsidRPr="00C75235" w:rsidRDefault="00C752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8C875" w14:textId="77777777" w:rsidR="00C75235" w:rsidRPr="00C75235" w:rsidRDefault="00C7523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99B1B" w14:textId="77777777" w:rsidR="00C75235" w:rsidRPr="00C75235" w:rsidRDefault="00C752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311EE"/>
    <w:multiLevelType w:val="hybridMultilevel"/>
    <w:tmpl w:val="E2DCC5B6"/>
    <w:lvl w:ilvl="0" w:tplc="0694A22C">
      <w:start w:val="1"/>
      <w:numFmt w:val="lowerLetter"/>
      <w:lvlText w:val="(%1)"/>
      <w:lvlJc w:val="left"/>
      <w:pPr>
        <w:ind w:left="121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930" w:hanging="360"/>
      </w:pPr>
    </w:lvl>
    <w:lvl w:ilvl="2" w:tplc="0809001B" w:tentative="1">
      <w:start w:val="1"/>
      <w:numFmt w:val="lowerRoman"/>
      <w:lvlText w:val="%3."/>
      <w:lvlJc w:val="right"/>
      <w:pPr>
        <w:ind w:left="2650" w:hanging="180"/>
      </w:pPr>
    </w:lvl>
    <w:lvl w:ilvl="3" w:tplc="0809000F" w:tentative="1">
      <w:start w:val="1"/>
      <w:numFmt w:val="decimal"/>
      <w:lvlText w:val="%4."/>
      <w:lvlJc w:val="left"/>
      <w:pPr>
        <w:ind w:left="3370" w:hanging="360"/>
      </w:pPr>
    </w:lvl>
    <w:lvl w:ilvl="4" w:tplc="08090019" w:tentative="1">
      <w:start w:val="1"/>
      <w:numFmt w:val="lowerLetter"/>
      <w:lvlText w:val="%5."/>
      <w:lvlJc w:val="left"/>
      <w:pPr>
        <w:ind w:left="4090" w:hanging="360"/>
      </w:pPr>
    </w:lvl>
    <w:lvl w:ilvl="5" w:tplc="0809001B" w:tentative="1">
      <w:start w:val="1"/>
      <w:numFmt w:val="lowerRoman"/>
      <w:lvlText w:val="%6."/>
      <w:lvlJc w:val="right"/>
      <w:pPr>
        <w:ind w:left="4810" w:hanging="180"/>
      </w:pPr>
    </w:lvl>
    <w:lvl w:ilvl="6" w:tplc="0809000F" w:tentative="1">
      <w:start w:val="1"/>
      <w:numFmt w:val="decimal"/>
      <w:lvlText w:val="%7."/>
      <w:lvlJc w:val="left"/>
      <w:pPr>
        <w:ind w:left="5530" w:hanging="360"/>
      </w:pPr>
    </w:lvl>
    <w:lvl w:ilvl="7" w:tplc="08090019" w:tentative="1">
      <w:start w:val="1"/>
      <w:numFmt w:val="lowerLetter"/>
      <w:lvlText w:val="%8."/>
      <w:lvlJc w:val="left"/>
      <w:pPr>
        <w:ind w:left="6250" w:hanging="360"/>
      </w:pPr>
    </w:lvl>
    <w:lvl w:ilvl="8" w:tplc="08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7F369BC"/>
    <w:multiLevelType w:val="hybridMultilevel"/>
    <w:tmpl w:val="BBFAE858"/>
    <w:lvl w:ilvl="0" w:tplc="E4981B6E">
      <w:start w:val="1"/>
      <w:numFmt w:val="lowerRoman"/>
      <w:lvlText w:val="(%1)"/>
      <w:lvlJc w:val="left"/>
      <w:pPr>
        <w:ind w:left="1930" w:hanging="72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2290" w:hanging="360"/>
      </w:pPr>
    </w:lvl>
    <w:lvl w:ilvl="2" w:tplc="0809001B" w:tentative="1">
      <w:start w:val="1"/>
      <w:numFmt w:val="lowerRoman"/>
      <w:lvlText w:val="%3."/>
      <w:lvlJc w:val="right"/>
      <w:pPr>
        <w:ind w:left="3010" w:hanging="180"/>
      </w:pPr>
    </w:lvl>
    <w:lvl w:ilvl="3" w:tplc="0809000F" w:tentative="1">
      <w:start w:val="1"/>
      <w:numFmt w:val="decimal"/>
      <w:lvlText w:val="%4."/>
      <w:lvlJc w:val="left"/>
      <w:pPr>
        <w:ind w:left="3730" w:hanging="360"/>
      </w:pPr>
    </w:lvl>
    <w:lvl w:ilvl="4" w:tplc="08090019" w:tentative="1">
      <w:start w:val="1"/>
      <w:numFmt w:val="lowerLetter"/>
      <w:lvlText w:val="%5."/>
      <w:lvlJc w:val="left"/>
      <w:pPr>
        <w:ind w:left="4450" w:hanging="360"/>
      </w:pPr>
    </w:lvl>
    <w:lvl w:ilvl="5" w:tplc="0809001B" w:tentative="1">
      <w:start w:val="1"/>
      <w:numFmt w:val="lowerRoman"/>
      <w:lvlText w:val="%6."/>
      <w:lvlJc w:val="right"/>
      <w:pPr>
        <w:ind w:left="5170" w:hanging="180"/>
      </w:pPr>
    </w:lvl>
    <w:lvl w:ilvl="6" w:tplc="0809000F" w:tentative="1">
      <w:start w:val="1"/>
      <w:numFmt w:val="decimal"/>
      <w:lvlText w:val="%7."/>
      <w:lvlJc w:val="left"/>
      <w:pPr>
        <w:ind w:left="5890" w:hanging="360"/>
      </w:pPr>
    </w:lvl>
    <w:lvl w:ilvl="7" w:tplc="08090019" w:tentative="1">
      <w:start w:val="1"/>
      <w:numFmt w:val="lowerLetter"/>
      <w:lvlText w:val="%8."/>
      <w:lvlJc w:val="left"/>
      <w:pPr>
        <w:ind w:left="6610" w:hanging="360"/>
      </w:pPr>
    </w:lvl>
    <w:lvl w:ilvl="8" w:tplc="080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3" w15:restartNumberingAfterBreak="0">
    <w:nsid w:val="23D73234"/>
    <w:multiLevelType w:val="hybridMultilevel"/>
    <w:tmpl w:val="9FC27E0C"/>
    <w:lvl w:ilvl="0" w:tplc="E02EBE9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99229663">
    <w:abstractNumId w:val="1"/>
  </w:num>
  <w:num w:numId="2" w16cid:durableId="1898973090">
    <w:abstractNumId w:val="4"/>
  </w:num>
  <w:num w:numId="3" w16cid:durableId="1306471943">
    <w:abstractNumId w:val="0"/>
  </w:num>
  <w:num w:numId="4" w16cid:durableId="2026206448">
    <w:abstractNumId w:val="2"/>
  </w:num>
  <w:num w:numId="5" w16cid:durableId="1624771413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2/2026"/>
    <w:docVar w:name="dvlangue" w:val="MT"/>
    <w:docVar w:name="dvnumam" w:val="88"/>
    <w:docVar w:name="dvpe" w:val="779.727"/>
    <w:docVar w:name="dvrapporteur" w:val="Rapporteur: "/>
    <w:docVar w:name="dvstar" w:val="***I"/>
    <w:docVar w:name="dvtitre" w:val="Riżoluzzjoni leġiżlattiva tal-Parlament Ewropew xx xx xxxx 2026 dwar il-proposta għal Regolament tal-Parlament Ewropew u tal-Kunsill li jindirizza l-effetti negattivi relatati mal-kummerċ tal-kapaċità żejda globali fuq is-suq tal-azzar tal-Unjoni(COM(2025)0726 – C10-0245/2025 – 2025/0726(COD))"/>
  </w:docVars>
  <w:rsids>
    <w:rsidRoot w:val="009B3BBD"/>
    <w:rsid w:val="00002272"/>
    <w:rsid w:val="0005525C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3696"/>
    <w:rsid w:val="002D6834"/>
    <w:rsid w:val="002F407A"/>
    <w:rsid w:val="00343214"/>
    <w:rsid w:val="00361C00"/>
    <w:rsid w:val="00395FA1"/>
    <w:rsid w:val="00397B7B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6FB5"/>
    <w:rsid w:val="0050519A"/>
    <w:rsid w:val="005072A1"/>
    <w:rsid w:val="00514517"/>
    <w:rsid w:val="00545827"/>
    <w:rsid w:val="00560270"/>
    <w:rsid w:val="005A29FD"/>
    <w:rsid w:val="005C2568"/>
    <w:rsid w:val="005F1B17"/>
    <w:rsid w:val="006037C0"/>
    <w:rsid w:val="00617240"/>
    <w:rsid w:val="0064547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4335"/>
    <w:rsid w:val="00817416"/>
    <w:rsid w:val="00842779"/>
    <w:rsid w:val="00865F67"/>
    <w:rsid w:val="00881A7B"/>
    <w:rsid w:val="008840E5"/>
    <w:rsid w:val="00885FE8"/>
    <w:rsid w:val="00887B3E"/>
    <w:rsid w:val="008C2AC6"/>
    <w:rsid w:val="00930C23"/>
    <w:rsid w:val="0093193B"/>
    <w:rsid w:val="009509D8"/>
    <w:rsid w:val="00950B64"/>
    <w:rsid w:val="00975ADA"/>
    <w:rsid w:val="00981893"/>
    <w:rsid w:val="009B3BBD"/>
    <w:rsid w:val="00A1687D"/>
    <w:rsid w:val="00A43E52"/>
    <w:rsid w:val="00A4678D"/>
    <w:rsid w:val="00A778C7"/>
    <w:rsid w:val="00AB441E"/>
    <w:rsid w:val="00AB6293"/>
    <w:rsid w:val="00AE0928"/>
    <w:rsid w:val="00AF3B82"/>
    <w:rsid w:val="00B05346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5235"/>
    <w:rsid w:val="00C941CB"/>
    <w:rsid w:val="00CC2357"/>
    <w:rsid w:val="00CF071A"/>
    <w:rsid w:val="00D058B8"/>
    <w:rsid w:val="00D56C11"/>
    <w:rsid w:val="00D662BD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5267"/>
    <w:rsid w:val="00F04346"/>
    <w:rsid w:val="00F075DC"/>
    <w:rsid w:val="00F149E9"/>
    <w:rsid w:val="00F16FD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FB22AF"/>
  <w15:chartTrackingRefBased/>
  <w15:docId w15:val="{6574C2FC-B4E6-4AC9-9EA4-2C91DFB52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uiPriority="10" w:qFormat="1"/>
    <w:lsdException w:name="Body Text" w:uiPriority="1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397B7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397B7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397B7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397B7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397B7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397B7B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397B7B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397B7B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397B7B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397B7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97B7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397B7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97B7B"/>
    <w:pPr>
      <w:spacing w:after="120"/>
    </w:pPr>
  </w:style>
  <w:style w:type="paragraph" w:customStyle="1" w:styleId="PageHeading">
    <w:name w:val="PageHeading"/>
    <w:basedOn w:val="Normal"/>
    <w:qFormat/>
    <w:rsid w:val="00397B7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97B7B"/>
    <w:rPr>
      <w:b/>
    </w:rPr>
  </w:style>
  <w:style w:type="paragraph" w:customStyle="1" w:styleId="NormalBold12a">
    <w:name w:val="NormalBold12a"/>
    <w:basedOn w:val="Normal"/>
    <w:rsid w:val="00397B7B"/>
    <w:pPr>
      <w:spacing w:after="240"/>
    </w:pPr>
    <w:rPr>
      <w:b/>
    </w:rPr>
  </w:style>
  <w:style w:type="paragraph" w:customStyle="1" w:styleId="AmJustText">
    <w:name w:val="AmJustText"/>
    <w:basedOn w:val="Normal"/>
    <w:rsid w:val="00397B7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97B7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97B7B"/>
    <w:pPr>
      <w:spacing w:after="480"/>
      <w:ind w:left="1417"/>
    </w:pPr>
  </w:style>
  <w:style w:type="paragraph" w:customStyle="1" w:styleId="CoverNormal">
    <w:name w:val="CoverNormal"/>
    <w:basedOn w:val="Normal"/>
    <w:rsid w:val="00397B7B"/>
    <w:pPr>
      <w:ind w:left="1418"/>
    </w:pPr>
  </w:style>
  <w:style w:type="paragraph" w:customStyle="1" w:styleId="AmCrossRef">
    <w:name w:val="AmCrossRef"/>
    <w:basedOn w:val="Normal"/>
    <w:rsid w:val="00397B7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97B7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97B7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97B7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97B7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97B7B"/>
    <w:pPr>
      <w:spacing w:before="240" w:after="1200"/>
    </w:pPr>
  </w:style>
  <w:style w:type="paragraph" w:styleId="Header">
    <w:name w:val="header"/>
    <w:basedOn w:val="Normal"/>
    <w:link w:val="HeaderChar"/>
    <w:rsid w:val="00397B7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97B7B"/>
    <w:rPr>
      <w:sz w:val="24"/>
      <w:lang w:val="mt-MT"/>
    </w:rPr>
  </w:style>
  <w:style w:type="paragraph" w:customStyle="1" w:styleId="AmOrLang">
    <w:name w:val="AmOrLang"/>
    <w:basedOn w:val="Normal"/>
    <w:rsid w:val="00397B7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97B7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97B7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397B7B"/>
    <w:pPr>
      <w:spacing w:before="240"/>
    </w:pPr>
    <w:rPr>
      <w:b/>
    </w:rPr>
  </w:style>
  <w:style w:type="paragraph" w:customStyle="1" w:styleId="EPBody">
    <w:name w:val="EPBody"/>
    <w:basedOn w:val="Normal"/>
    <w:rsid w:val="00397B7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97B7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97B7B"/>
    <w:pPr>
      <w:spacing w:before="480" w:after="240"/>
    </w:pPr>
  </w:style>
  <w:style w:type="paragraph" w:customStyle="1" w:styleId="Lgendesigne">
    <w:name w:val="Légende signe"/>
    <w:basedOn w:val="Normal"/>
    <w:rsid w:val="00397B7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97B7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397B7B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locked/>
    <w:rsid w:val="00397B7B"/>
    <w:rPr>
      <w:b/>
      <w:sz w:val="24"/>
      <w:lang w:val="mt-MT"/>
    </w:rPr>
  </w:style>
  <w:style w:type="character" w:styleId="Hyperlink">
    <w:name w:val="Hyperlink"/>
    <w:basedOn w:val="DefaultParagraphFont"/>
    <w:unhideWhenUsed/>
    <w:rsid w:val="00397B7B"/>
    <w:rPr>
      <w:color w:val="467886"/>
      <w:u w:val="single"/>
    </w:rPr>
  </w:style>
  <w:style w:type="character" w:styleId="Emphasis">
    <w:name w:val="Emphasis"/>
    <w:basedOn w:val="DefaultParagraphFont"/>
    <w:uiPriority w:val="20"/>
    <w:qFormat/>
    <w:rsid w:val="00397B7B"/>
    <w:rPr>
      <w:i/>
      <w:iCs/>
    </w:rPr>
  </w:style>
  <w:style w:type="paragraph" w:styleId="Footer">
    <w:name w:val="footer"/>
    <w:basedOn w:val="Normal"/>
    <w:link w:val="FooterChar"/>
    <w:uiPriority w:val="99"/>
    <w:rsid w:val="00397B7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7B7B"/>
    <w:rPr>
      <w:sz w:val="24"/>
      <w:lang w:val="mt-MT"/>
    </w:rPr>
  </w:style>
  <w:style w:type="paragraph" w:customStyle="1" w:styleId="Default">
    <w:name w:val="Default"/>
    <w:rsid w:val="00397B7B"/>
    <w:pPr>
      <w:autoSpaceDE w:val="0"/>
      <w:autoSpaceDN w:val="0"/>
      <w:adjustRightInd w:val="0"/>
    </w:pPr>
    <w:rPr>
      <w:color w:val="000000"/>
      <w:sz w:val="24"/>
      <w:szCs w:val="24"/>
      <w:lang w:val="mt-MT"/>
    </w:rPr>
  </w:style>
  <w:style w:type="character" w:customStyle="1" w:styleId="Normal6Char">
    <w:name w:val="Normal6 Char"/>
    <w:basedOn w:val="DefaultParagraphFont"/>
    <w:link w:val="Normal6"/>
    <w:locked/>
    <w:rsid w:val="00397B7B"/>
    <w:rPr>
      <w:b/>
      <w:bCs/>
      <w:i/>
      <w:iCs/>
      <w:sz w:val="24"/>
      <w:lang w:val="mt-MT"/>
    </w:rPr>
  </w:style>
  <w:style w:type="paragraph" w:customStyle="1" w:styleId="Normal6">
    <w:name w:val="Normal6"/>
    <w:basedOn w:val="Normal"/>
    <w:link w:val="Normal6Char"/>
    <w:rsid w:val="00397B7B"/>
    <w:pPr>
      <w:spacing w:after="120"/>
    </w:pPr>
    <w:rPr>
      <w:b/>
      <w:bCs/>
      <w:i/>
      <w:iCs/>
    </w:rPr>
  </w:style>
  <w:style w:type="paragraph" w:customStyle="1" w:styleId="ColumnHeading">
    <w:name w:val="ColumnHeading"/>
    <w:basedOn w:val="Normal"/>
    <w:rsid w:val="00397B7B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397B7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397B7B"/>
    <w:pPr>
      <w:jc w:val="right"/>
    </w:pPr>
    <w:rPr>
      <w:lang w:val="mt-MT"/>
    </w:rPr>
  </w:style>
  <w:style w:type="paragraph" w:styleId="Revision">
    <w:name w:val="Revision"/>
    <w:hidden/>
    <w:uiPriority w:val="99"/>
    <w:semiHidden/>
    <w:rsid w:val="00397B7B"/>
    <w:rPr>
      <w:sz w:val="24"/>
      <w:lang w:val="mt-MT"/>
    </w:rPr>
  </w:style>
  <w:style w:type="character" w:styleId="CommentReference">
    <w:name w:val="annotation reference"/>
    <w:basedOn w:val="DefaultParagraphFont"/>
    <w:rsid w:val="00397B7B"/>
    <w:rPr>
      <w:sz w:val="16"/>
      <w:szCs w:val="16"/>
    </w:rPr>
  </w:style>
  <w:style w:type="paragraph" w:styleId="CommentText">
    <w:name w:val="annotation text"/>
    <w:basedOn w:val="Normal"/>
    <w:link w:val="CommentTextChar"/>
    <w:rsid w:val="00397B7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97B7B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97B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97B7B"/>
    <w:rPr>
      <w:b/>
      <w:bCs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397B7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97B7B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unhideWhenUsed/>
    <w:qFormat/>
    <w:rsid w:val="00397B7B"/>
    <w:pPr>
      <w:autoSpaceDE w:val="0"/>
      <w:autoSpaceDN w:val="0"/>
      <w:spacing w:before="120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397B7B"/>
    <w:rPr>
      <w:sz w:val="24"/>
      <w:szCs w:val="24"/>
      <w:lang w:val="mt-MT" w:eastAsia="en-US"/>
    </w:rPr>
  </w:style>
  <w:style w:type="paragraph" w:customStyle="1" w:styleId="Normal12a">
    <w:name w:val="Normal12a"/>
    <w:basedOn w:val="Normal"/>
    <w:rsid w:val="00397B7B"/>
    <w:pPr>
      <w:spacing w:after="240"/>
    </w:pPr>
  </w:style>
  <w:style w:type="paragraph" w:customStyle="1" w:styleId="PageHeadingNotTOC">
    <w:name w:val="PageHeadingNotTOC"/>
    <w:basedOn w:val="Normal"/>
    <w:rsid w:val="00397B7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397B7B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rsid w:val="00397B7B"/>
    <w:pPr>
      <w:spacing w:after="480"/>
    </w:pPr>
    <w:rPr>
      <w:szCs w:val="24"/>
    </w:rPr>
  </w:style>
  <w:style w:type="paragraph" w:customStyle="1" w:styleId="NormalBoldCenter">
    <w:name w:val="NormalBoldCenter"/>
    <w:basedOn w:val="Normal"/>
    <w:rsid w:val="00397B7B"/>
    <w:pPr>
      <w:jc w:val="center"/>
    </w:pPr>
    <w:rPr>
      <w:b/>
      <w:szCs w:val="24"/>
    </w:rPr>
  </w:style>
  <w:style w:type="paragraph" w:customStyle="1" w:styleId="Footprint12b">
    <w:name w:val="Footprint12b"/>
    <w:basedOn w:val="Normal"/>
    <w:rsid w:val="00397B7B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397B7B"/>
    <w:rPr>
      <w:szCs w:val="24"/>
    </w:rPr>
  </w:style>
  <w:style w:type="paragraph" w:customStyle="1" w:styleId="RollCallSymbols14pt">
    <w:name w:val="RollCallSymbols14pt"/>
    <w:basedOn w:val="Normal"/>
    <w:rsid w:val="00397B7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397B7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397B7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397B7B"/>
    <w:pPr>
      <w:spacing w:before="120" w:after="120"/>
    </w:pPr>
    <w:rPr>
      <w:snapToGrid w:val="0"/>
      <w:sz w:val="16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397B7B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397B7B"/>
    <w:rPr>
      <w:rFonts w:ascii="Arial" w:eastAsiaTheme="majorEastAsia" w:hAnsi="Arial" w:cs="Arial"/>
      <w:b/>
      <w:bCs/>
      <w:kern w:val="28"/>
      <w:sz w:val="32"/>
      <w:szCs w:val="32"/>
      <w:lang w:val="mt-MT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7B7B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97B7B"/>
    <w:rPr>
      <w:rFonts w:ascii="Arial" w:eastAsiaTheme="majorEastAsia" w:hAnsi="Arial" w:cs="Arial"/>
      <w:sz w:val="24"/>
      <w:szCs w:val="24"/>
      <w:lang w:val="mt-MT" w:eastAsia="en-US"/>
    </w:rPr>
  </w:style>
  <w:style w:type="character" w:styleId="Strong">
    <w:name w:val="Strong"/>
    <w:basedOn w:val="DefaultParagraphFont"/>
    <w:uiPriority w:val="22"/>
    <w:qFormat/>
    <w:rsid w:val="00397B7B"/>
    <w:rPr>
      <w:b/>
      <w:bCs/>
    </w:rPr>
  </w:style>
  <w:style w:type="paragraph" w:styleId="NoSpacing">
    <w:name w:val="No Spacing"/>
    <w:basedOn w:val="Normal"/>
    <w:uiPriority w:val="1"/>
    <w:qFormat/>
    <w:rsid w:val="00397B7B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397B7B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397B7B"/>
    <w:rPr>
      <w:rFonts w:eastAsiaTheme="minorHAnsi"/>
      <w:i/>
      <w:sz w:val="24"/>
      <w:szCs w:val="24"/>
      <w:lang w:val="mt-MT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7B7B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7B7B"/>
    <w:rPr>
      <w:rFonts w:eastAsiaTheme="minorHAnsi"/>
      <w:b/>
      <w:i/>
      <w:sz w:val="24"/>
      <w:szCs w:val="22"/>
      <w:lang w:val="mt-MT" w:eastAsia="en-US"/>
    </w:rPr>
  </w:style>
  <w:style w:type="character" w:styleId="SubtleEmphasis">
    <w:name w:val="Subtle Emphasis"/>
    <w:uiPriority w:val="19"/>
    <w:qFormat/>
    <w:rsid w:val="00397B7B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397B7B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397B7B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397B7B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397B7B"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AmDocTypeTab">
    <w:name w:val="AmDocTypeTab"/>
    <w:basedOn w:val="Normal"/>
    <w:rsid w:val="00C75235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C75235"/>
    <w:pPr>
      <w:spacing w:after="240"/>
      <w:jc w:val="center"/>
    </w:pPr>
  </w:style>
  <w:style w:type="paragraph" w:customStyle="1" w:styleId="AmDateTab">
    <w:name w:val="AmDateTab"/>
    <w:basedOn w:val="Normal"/>
    <w:rsid w:val="00C75235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C75235"/>
    <w:pPr>
      <w:spacing w:before="720" w:after="240"/>
      <w:jc w:val="center"/>
    </w:pPr>
  </w:style>
  <w:style w:type="paragraph" w:customStyle="1" w:styleId="Institutionquiagit">
    <w:name w:val="Institution qui agit"/>
    <w:basedOn w:val="Normal"/>
    <w:next w:val="Normal"/>
    <w:rsid w:val="00C75235"/>
    <w:pPr>
      <w:keepNext/>
      <w:widowControl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C75235"/>
    <w:pPr>
      <w:keepNext/>
      <w:widowControl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ormuledadoption">
    <w:name w:val="Formule d'adoption"/>
    <w:basedOn w:val="Normal"/>
    <w:next w:val="Normal"/>
    <w:rsid w:val="00C75235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C75235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Statut">
    <w:name w:val="Statut"/>
    <w:basedOn w:val="Normal"/>
    <w:next w:val="Normal"/>
    <w:rsid w:val="00C75235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C75235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C75235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Normal3a">
    <w:name w:val="Normal3a"/>
    <w:basedOn w:val="Normal"/>
    <w:rsid w:val="00C75235"/>
    <w:pPr>
      <w:widowControl/>
      <w:spacing w:after="60"/>
    </w:pPr>
    <w:rPr>
      <w:szCs w:val="24"/>
      <w:lang w:eastAsia="en-US"/>
    </w:rPr>
  </w:style>
  <w:style w:type="paragraph" w:customStyle="1" w:styleId="FootnoteTextForceStyle">
    <w:name w:val="Footnote Text ForceStyle"/>
    <w:rsid w:val="00C75235"/>
    <w:pPr>
      <w:keepLines/>
      <w:spacing w:line="240" w:lineRule="exact"/>
      <w:ind w:left="850" w:hanging="850"/>
    </w:pPr>
    <w:rPr>
      <w:sz w:val="24"/>
      <w:lang w:val="mt-MT" w:eastAsia="en-US"/>
    </w:rPr>
  </w:style>
  <w:style w:type="character" w:customStyle="1" w:styleId="Footer2">
    <w:name w:val="Footer2"/>
    <w:rsid w:val="00C75235"/>
    <w:rPr>
      <w:rFonts w:ascii="Arial" w:hAnsi="Arial"/>
      <w:b/>
      <w:sz w:val="48"/>
    </w:rPr>
  </w:style>
  <w:style w:type="paragraph" w:customStyle="1" w:styleId="Considrant">
    <w:name w:val="Considérant"/>
    <w:basedOn w:val="Normal"/>
    <w:rsid w:val="00C75235"/>
    <w:pPr>
      <w:widowControl/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trtEEE">
    <w:name w:val="Intérêt EEE"/>
    <w:basedOn w:val="Normal"/>
    <w:next w:val="Normal"/>
    <w:rsid w:val="00C75235"/>
    <w:pPr>
      <w:widowControl/>
      <w:jc w:val="center"/>
    </w:pPr>
    <w:rPr>
      <w:szCs w:val="24"/>
      <w:lang w:eastAsia="en-US"/>
    </w:rPr>
  </w:style>
  <w:style w:type="paragraph" w:customStyle="1" w:styleId="Footer1">
    <w:name w:val="Footer1"/>
    <w:basedOn w:val="Normal"/>
    <w:rsid w:val="00C75235"/>
    <w:pPr>
      <w:widowControl/>
      <w:tabs>
        <w:tab w:val="center" w:pos="4534"/>
        <w:tab w:val="right" w:pos="9638"/>
        <w:tab w:val="right" w:pos="10772"/>
      </w:tabs>
      <w:spacing w:before="360" w:line="360" w:lineRule="auto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C75235"/>
    <w:pPr>
      <w:keepNext/>
      <w:widowControl/>
      <w:tabs>
        <w:tab w:val="left" w:pos="4252"/>
      </w:tabs>
      <w:spacing w:before="720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C75235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C75235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TableText">
    <w:name w:val="Table Text"/>
    <w:basedOn w:val="Normal"/>
    <w:rsid w:val="00C75235"/>
    <w:pPr>
      <w:widowControl/>
      <w:spacing w:before="60" w:after="60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C75235"/>
    <w:pPr>
      <w:widowControl/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C75235"/>
    <w:pPr>
      <w:spacing w:before="120" w:after="120" w:line="360" w:lineRule="auto"/>
    </w:pPr>
    <w:rPr>
      <w:sz w:val="24"/>
      <w:lang w:val="mt-MT" w:eastAsia="en-US"/>
    </w:rPr>
  </w:style>
  <w:style w:type="character" w:customStyle="1" w:styleId="CMissingStyle">
    <w:name w:val="C_MissingStyle"/>
    <w:rsid w:val="00C75235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C75235"/>
    <w:pPr>
      <w:widowControl/>
      <w:spacing w:before="120" w:after="120" w:line="360" w:lineRule="auto"/>
    </w:pPr>
    <w:rPr>
      <w:color w:val="FFFFFF"/>
      <w:szCs w:val="24"/>
      <w:shd w:val="clear" w:color="000000" w:fill="000000"/>
      <w:lang w:eastAsia="en-US"/>
    </w:rPr>
  </w:style>
  <w:style w:type="character" w:customStyle="1" w:styleId="FooterChar1">
    <w:name w:val="Footer Char1"/>
    <w:basedOn w:val="DefaultParagraphFont"/>
    <w:rsid w:val="00C75235"/>
    <w:rPr>
      <w:sz w:val="24"/>
      <w:szCs w:val="24"/>
    </w:rPr>
  </w:style>
  <w:style w:type="paragraph" w:styleId="NormalWeb">
    <w:name w:val="Normal (Web)"/>
    <w:basedOn w:val="Normal"/>
    <w:rsid w:val="00C75235"/>
    <w:pPr>
      <w:widowControl/>
      <w:spacing w:before="120" w:after="120" w:line="360" w:lineRule="auto"/>
    </w:pPr>
    <w:rPr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3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14/833/oj" TargetMode="External"/><Relationship Id="rId1" Type="http://schemas.openxmlformats.org/officeDocument/2006/relationships/hyperlink" Target="http://data.europa.eu/eli/dec/2014/51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483</Words>
  <Characters>3993</Characters>
  <Application>Microsoft Office Word</Application>
  <DocSecurity>0</DocSecurity>
  <Lines>33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2026-07-02T09:58:00Z</dcterms:created>
  <dcterms:modified xsi:type="dcterms:W3CDTF">2026-07-02T09:58:00Z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P10_TA(2026)0170_</vt:lpwstr>
  </property>
  <property fmtid="{D5CDD505-2E9C-101B-9397-08002B2CF9AE}" pid="4" name="&lt;Type&gt;">
    <vt:lpwstr>RR</vt:lpwstr>
  </property>
</Properties>
</file>