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F050F" w14:paraId="2D91CBDA" w14:textId="77777777" w:rsidTr="0010095E">
        <w:trPr>
          <w:trHeight w:hRule="exact" w:val="1418"/>
        </w:trPr>
        <w:tc>
          <w:tcPr>
            <w:tcW w:w="6804" w:type="dxa"/>
            <w:shd w:val="clear" w:color="auto" w:fill="auto"/>
            <w:vAlign w:val="center"/>
          </w:tcPr>
          <w:p w14:paraId="17D29AF8" w14:textId="77777777" w:rsidR="00751A4A" w:rsidRPr="008F050F" w:rsidRDefault="0033792D" w:rsidP="0010095E">
            <w:pPr>
              <w:pStyle w:val="EPName"/>
            </w:pPr>
            <w:r w:rsidRPr="008F050F">
              <w:t>Europees Parlement</w:t>
            </w:r>
          </w:p>
          <w:p w14:paraId="058FD006" w14:textId="77777777" w:rsidR="00751A4A" w:rsidRPr="008F050F" w:rsidRDefault="005F1B17" w:rsidP="005F1B17">
            <w:pPr>
              <w:pStyle w:val="EPTerm"/>
              <w:rPr>
                <w:rStyle w:val="HideTWBExt"/>
                <w:noProof w:val="0"/>
                <w:vanish w:val="0"/>
                <w:color w:val="auto"/>
              </w:rPr>
            </w:pPr>
            <w:r w:rsidRPr="008F050F">
              <w:t>2024</w:t>
            </w:r>
            <w:r w:rsidR="00817416" w:rsidRPr="008F050F">
              <w:t>-202</w:t>
            </w:r>
            <w:r w:rsidRPr="008F050F">
              <w:t>9</w:t>
            </w:r>
          </w:p>
        </w:tc>
        <w:tc>
          <w:tcPr>
            <w:tcW w:w="2268" w:type="dxa"/>
            <w:shd w:val="clear" w:color="auto" w:fill="auto"/>
          </w:tcPr>
          <w:p w14:paraId="792C24EF" w14:textId="77777777" w:rsidR="00751A4A" w:rsidRPr="008F050F" w:rsidRDefault="00187494" w:rsidP="0010095E">
            <w:pPr>
              <w:pStyle w:val="EPLogo"/>
            </w:pPr>
            <w:r w:rsidRPr="008F050F">
              <w:rPr>
                <w:noProof/>
                <w:lang w:eastAsia="ja-JP"/>
              </w:rPr>
              <w:drawing>
                <wp:inline distT="0" distB="0" distL="0" distR="0" wp14:anchorId="0B4AD63F" wp14:editId="5109F75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D463ABE" w14:textId="77777777" w:rsidR="00D058B8" w:rsidRPr="008F050F" w:rsidRDefault="00D058B8" w:rsidP="004C5D52">
      <w:pPr>
        <w:pStyle w:val="LineTop"/>
      </w:pPr>
    </w:p>
    <w:p w14:paraId="1A486EFB" w14:textId="77777777" w:rsidR="00680577" w:rsidRPr="008F050F" w:rsidRDefault="0033792D" w:rsidP="00680577">
      <w:pPr>
        <w:pStyle w:val="EPBodyTA1"/>
      </w:pPr>
      <w:r w:rsidRPr="008F050F">
        <w:t>AANGENOMEN TEKSTEN</w:t>
      </w:r>
    </w:p>
    <w:p w14:paraId="67D6527F" w14:textId="77777777" w:rsidR="00D058B8" w:rsidRPr="008F050F" w:rsidRDefault="00D058B8" w:rsidP="00D058B8">
      <w:pPr>
        <w:pStyle w:val="LineBottom"/>
      </w:pPr>
    </w:p>
    <w:p w14:paraId="4EE60A6A" w14:textId="738FEB25" w:rsidR="0033792D" w:rsidRPr="008F050F" w:rsidRDefault="0033792D" w:rsidP="0033792D">
      <w:pPr>
        <w:pStyle w:val="ATHeading1"/>
      </w:pPr>
      <w:bookmarkStart w:id="0" w:name="TANumber"/>
      <w:r w:rsidRPr="008F050F">
        <w:t>P10_TA(2026)0</w:t>
      </w:r>
      <w:r w:rsidR="00004588" w:rsidRPr="008F050F">
        <w:t>170</w:t>
      </w:r>
      <w:bookmarkEnd w:id="0"/>
    </w:p>
    <w:p w14:paraId="001780C0" w14:textId="77777777" w:rsidR="0033792D" w:rsidRPr="008F050F" w:rsidRDefault="0033792D" w:rsidP="0033792D">
      <w:pPr>
        <w:pStyle w:val="ATHeading2"/>
      </w:pPr>
      <w:bookmarkStart w:id="1" w:name="title"/>
      <w:r w:rsidRPr="008F050F">
        <w:t>De negatieve handelsgerelateerde gevolgen van de wereldwijde overcapaciteit voor de staalmarkt van de Unie</w:t>
      </w:r>
      <w:bookmarkEnd w:id="1"/>
    </w:p>
    <w:p w14:paraId="601EEF5D" w14:textId="77777777" w:rsidR="0033792D" w:rsidRPr="008F050F" w:rsidRDefault="0033792D" w:rsidP="0033792D">
      <w:pPr>
        <w:rPr>
          <w:i/>
          <w:vanish/>
        </w:rPr>
      </w:pPr>
      <w:r w:rsidRPr="008F050F">
        <w:rPr>
          <w:i/>
        </w:rPr>
        <w:fldChar w:fldCharType="begin"/>
      </w:r>
      <w:r w:rsidRPr="008F050F">
        <w:rPr>
          <w:i/>
        </w:rPr>
        <w:instrText xml:space="preserve"> TC"(</w:instrText>
      </w:r>
      <w:bookmarkStart w:id="2" w:name="DocNumber"/>
      <w:r w:rsidRPr="008F050F">
        <w:rPr>
          <w:i/>
        </w:rPr>
        <w:instrText>A10-0012/2026</w:instrText>
      </w:r>
      <w:bookmarkEnd w:id="2"/>
      <w:r w:rsidRPr="008F050F">
        <w:rPr>
          <w:i/>
        </w:rPr>
        <w:instrText xml:space="preserve"> - Rapporteur: Karin Karlsbro)"\l3 \n&gt; \* MERGEFORMAT </w:instrText>
      </w:r>
      <w:r w:rsidRPr="008F050F">
        <w:rPr>
          <w:i/>
        </w:rPr>
        <w:fldChar w:fldCharType="end"/>
      </w:r>
    </w:p>
    <w:p w14:paraId="011F52B2" w14:textId="77777777" w:rsidR="0033792D" w:rsidRPr="008F050F" w:rsidRDefault="0033792D" w:rsidP="0033792D">
      <w:pPr>
        <w:rPr>
          <w:vanish/>
        </w:rPr>
      </w:pPr>
      <w:bookmarkStart w:id="3" w:name="Commission"/>
      <w:r w:rsidRPr="008F050F">
        <w:rPr>
          <w:vanish/>
        </w:rPr>
        <w:t>Commissie internationale handel</w:t>
      </w:r>
      <w:bookmarkEnd w:id="3"/>
    </w:p>
    <w:p w14:paraId="0753BA88" w14:textId="77777777" w:rsidR="0033792D" w:rsidRPr="008F050F" w:rsidRDefault="0033792D" w:rsidP="0033792D">
      <w:pPr>
        <w:rPr>
          <w:vanish/>
        </w:rPr>
      </w:pPr>
      <w:bookmarkStart w:id="4" w:name="PE"/>
      <w:r w:rsidRPr="008F050F">
        <w:rPr>
          <w:vanish/>
        </w:rPr>
        <w:t>PE779.727</w:t>
      </w:r>
      <w:bookmarkEnd w:id="4"/>
    </w:p>
    <w:p w14:paraId="0979FDE8" w14:textId="0CA8CABE" w:rsidR="0033792D" w:rsidRPr="008F050F" w:rsidRDefault="0033792D" w:rsidP="0033792D">
      <w:pPr>
        <w:pStyle w:val="ATHeading3"/>
      </w:pPr>
      <w:bookmarkStart w:id="5" w:name="Sujet"/>
      <w:r w:rsidRPr="008F050F">
        <w:t xml:space="preserve">Wetgevingsresolutie van het Europees Parlement van </w:t>
      </w:r>
      <w:r w:rsidR="00D80DF8" w:rsidRPr="008F050F">
        <w:t>19</w:t>
      </w:r>
      <w:r w:rsidRPr="008F050F">
        <w:t xml:space="preserve"> mei 2026 over het voorstel voor een verordening van het Europees Parlement en de Raad waarmee de negatieve handelsgerelateerde gevolgen van de wereldwijde overcapaciteit op de staalmarkt van de Unie worden aangepakt</w:t>
      </w:r>
      <w:bookmarkEnd w:id="5"/>
      <w:r w:rsidRPr="008F050F">
        <w:t xml:space="preserve"> </w:t>
      </w:r>
      <w:bookmarkStart w:id="6" w:name="References"/>
      <w:r w:rsidRPr="008F050F">
        <w:t>(COM(2025)0726 – C10-0245/2025 – 2025/0726(COD))</w:t>
      </w:r>
      <w:bookmarkEnd w:id="6"/>
    </w:p>
    <w:p w14:paraId="1DBEB66B" w14:textId="77777777" w:rsidR="00A60117" w:rsidRPr="008F050F" w:rsidRDefault="00A60117" w:rsidP="00A60117">
      <w:pPr>
        <w:pStyle w:val="NormalBold"/>
      </w:pPr>
      <w:r w:rsidRPr="008F050F">
        <w:t>(Gewone wetgevingsprocedure: eerste lezing)</w:t>
      </w:r>
    </w:p>
    <w:p w14:paraId="3868FB05" w14:textId="77777777" w:rsidR="00A60117" w:rsidRPr="008F050F" w:rsidRDefault="00A60117" w:rsidP="00A60117">
      <w:pPr>
        <w:pStyle w:val="EPComma"/>
      </w:pPr>
      <w:r w:rsidRPr="008F050F">
        <w:rPr>
          <w:i/>
        </w:rPr>
        <w:t>Het Europees Parlement</w:t>
      </w:r>
      <w:r w:rsidRPr="008F050F">
        <w:t>,</w:t>
      </w:r>
    </w:p>
    <w:p w14:paraId="2E72B89F" w14:textId="77777777" w:rsidR="00A60117" w:rsidRPr="008F050F" w:rsidRDefault="00A60117" w:rsidP="00A60117">
      <w:pPr>
        <w:pStyle w:val="NormalHanging12a"/>
      </w:pPr>
      <w:r w:rsidRPr="008F050F">
        <w:t>–</w:t>
      </w:r>
      <w:r w:rsidRPr="008F050F">
        <w:tab/>
        <w:t>gezien het voorstel van de Commissie aan het Europees Parlement en de Raad (COM(2025)0726),</w:t>
      </w:r>
    </w:p>
    <w:p w14:paraId="02218262" w14:textId="77777777" w:rsidR="00A60117" w:rsidRPr="008F050F" w:rsidRDefault="00A60117" w:rsidP="00A60117">
      <w:pPr>
        <w:pStyle w:val="NormalHanging12a"/>
      </w:pPr>
      <w:r w:rsidRPr="008F050F">
        <w:t>–</w:t>
      </w:r>
      <w:r w:rsidRPr="008F050F">
        <w:tab/>
        <w:t>gezien artikel 294, lid 2, en artikel 207, lid 2, van het Verdrag betreffende de werking van de Europese Unie, op grond waarvan het voorstel door de Commissie bij het Parlement is ingediend (C10</w:t>
      </w:r>
      <w:r w:rsidRPr="008F050F">
        <w:noBreakHyphen/>
        <w:t>0245/2025),</w:t>
      </w:r>
    </w:p>
    <w:p w14:paraId="5A939C2D" w14:textId="77777777" w:rsidR="00A60117" w:rsidRPr="008F050F" w:rsidRDefault="00A60117" w:rsidP="00A60117">
      <w:pPr>
        <w:pStyle w:val="NormalHanging12a"/>
      </w:pPr>
      <w:r w:rsidRPr="008F050F">
        <w:t>–</w:t>
      </w:r>
      <w:r w:rsidRPr="008F050F">
        <w:tab/>
        <w:t>gezien artikel 294, lid 3, van het Verdrag betreffende de werking van de Europese Unie,</w:t>
      </w:r>
    </w:p>
    <w:p w14:paraId="06AF2674" w14:textId="7594485B" w:rsidR="007C5D2A" w:rsidRPr="008F050F" w:rsidRDefault="007C5D2A" w:rsidP="007C5D2A">
      <w:pPr>
        <w:pStyle w:val="NormalHanging12a"/>
      </w:pPr>
      <w:r w:rsidRPr="008F050F">
        <w:t>–</w:t>
      </w:r>
      <w:r w:rsidRPr="008F050F">
        <w:tab/>
        <w:t xml:space="preserve">gezien het overeenkomstig artikel 75, lid 4, van zijn Reglement door de bevoegde commissie goedgekeurde voorlopig akkoord en de door de vertegenwoordiger van de Raad bij brief van </w:t>
      </w:r>
      <w:r w:rsidR="008B4B5C" w:rsidRPr="008F050F">
        <w:t>23</w:t>
      </w:r>
      <w:r w:rsidRPr="008F050F">
        <w:t> </w:t>
      </w:r>
      <w:r w:rsidR="008B4B5C" w:rsidRPr="008F050F">
        <w:t>april</w:t>
      </w:r>
      <w:r w:rsidRPr="008F050F">
        <w:t xml:space="preserve"> 202</w:t>
      </w:r>
      <w:r w:rsidR="008B4B5C" w:rsidRPr="008F050F">
        <w:t>6</w:t>
      </w:r>
      <w:r w:rsidRPr="008F050F">
        <w:t xml:space="preserve"> gedane toezegging om het standpunt van het Europees Parlement overeenkomstig artikel 294, lid 4, van het Verdrag </w:t>
      </w:r>
      <w:r w:rsidRPr="008F050F">
        <w:lastRenderedPageBreak/>
        <w:t>betreffende de werking van de Europese Unie goed te keuren,</w:t>
      </w:r>
    </w:p>
    <w:p w14:paraId="6BDB5B7D" w14:textId="77777777" w:rsidR="00A60117" w:rsidRPr="008F050F" w:rsidRDefault="00A60117" w:rsidP="00A60117">
      <w:pPr>
        <w:pStyle w:val="NormalHanging12a"/>
      </w:pPr>
      <w:r w:rsidRPr="008F050F">
        <w:t>–</w:t>
      </w:r>
      <w:r w:rsidRPr="008F050F">
        <w:tab/>
        <w:t>gezien artikel 60 van zijn Reglement,</w:t>
      </w:r>
    </w:p>
    <w:p w14:paraId="5951C5E4" w14:textId="77777777" w:rsidR="00A60117" w:rsidRPr="008F050F" w:rsidRDefault="00A60117" w:rsidP="00A60117">
      <w:pPr>
        <w:pStyle w:val="NormalHanging12a"/>
      </w:pPr>
      <w:r w:rsidRPr="008F050F">
        <w:t>–</w:t>
      </w:r>
      <w:r w:rsidRPr="008F050F">
        <w:tab/>
        <w:t>gezien het advies van de Commissie industrie, onderzoek en energie,</w:t>
      </w:r>
    </w:p>
    <w:p w14:paraId="3121A2DB" w14:textId="77777777" w:rsidR="00A60117" w:rsidRPr="008F050F" w:rsidRDefault="00A60117" w:rsidP="00A60117">
      <w:pPr>
        <w:pStyle w:val="NormalHanging12a"/>
      </w:pPr>
      <w:r w:rsidRPr="008F050F">
        <w:t>–</w:t>
      </w:r>
      <w:r w:rsidRPr="008F050F">
        <w:tab/>
        <w:t>gezien het verslag van de Commissie internationale handel (A10-0012/2026),</w:t>
      </w:r>
    </w:p>
    <w:p w14:paraId="72717C07" w14:textId="77777777" w:rsidR="00A60117" w:rsidRPr="008F050F" w:rsidRDefault="00A60117" w:rsidP="00A60117">
      <w:pPr>
        <w:pStyle w:val="NormalHanging12a"/>
      </w:pPr>
      <w:r w:rsidRPr="008F050F">
        <w:t>1.</w:t>
      </w:r>
      <w:r w:rsidRPr="008F050F">
        <w:tab/>
        <w:t>stelt onderstaand standpunt in eerste lezing vast;</w:t>
      </w:r>
    </w:p>
    <w:p w14:paraId="2B31ECD8" w14:textId="2A0B6C25" w:rsidR="00E85DB0" w:rsidRPr="008F050F" w:rsidRDefault="00EE30E7" w:rsidP="00A60117">
      <w:pPr>
        <w:pStyle w:val="NormalHanging12a"/>
      </w:pPr>
      <w:r w:rsidRPr="008F050F">
        <w:t>2.</w:t>
      </w:r>
      <w:r w:rsidRPr="008F050F">
        <w:tab/>
      </w:r>
      <w:r w:rsidR="00BD2EF7" w:rsidRPr="008F050F">
        <w:t xml:space="preserve">hecht zijn goedkeuring aan de gezamenlijke verklaring van het Europees Parlement, de Raad en de Commissie die als bijlage bij deze resolutie is gevoegd en in de C-serie van het </w:t>
      </w:r>
      <w:r w:rsidR="00BD2EF7" w:rsidRPr="008F050F">
        <w:rPr>
          <w:i/>
          <w:iCs/>
        </w:rPr>
        <w:t>Publicatieblad van de Europese Unie</w:t>
      </w:r>
      <w:r w:rsidR="00BD2EF7" w:rsidRPr="008F050F">
        <w:t xml:space="preserve"> zal worden bekendgemaakt;</w:t>
      </w:r>
    </w:p>
    <w:p w14:paraId="06B01BE5" w14:textId="1B96DE3D" w:rsidR="00A60117" w:rsidRPr="008F050F" w:rsidRDefault="00E372B1" w:rsidP="00A60117">
      <w:pPr>
        <w:pStyle w:val="NormalHanging12a"/>
      </w:pPr>
      <w:r w:rsidRPr="008F050F">
        <w:t>3</w:t>
      </w:r>
      <w:r w:rsidR="00A60117" w:rsidRPr="008F050F">
        <w:t>.</w:t>
      </w:r>
      <w:r w:rsidR="00A60117" w:rsidRPr="008F050F">
        <w:tab/>
        <w:t xml:space="preserve">verzoekt de Commissie om hernieuwde voorlegging aan het Parlement </w:t>
      </w:r>
      <w:proofErr w:type="gramStart"/>
      <w:r w:rsidR="00A60117" w:rsidRPr="008F050F">
        <w:t>indien</w:t>
      </w:r>
      <w:proofErr w:type="gramEnd"/>
      <w:r w:rsidR="00A60117" w:rsidRPr="008F050F">
        <w:t xml:space="preserve"> zij haar voorstel vervangt, ingrijpend wijzigt of voornemens is het ingrijpend te wijzigen;</w:t>
      </w:r>
    </w:p>
    <w:p w14:paraId="1DA58001" w14:textId="61A5AE27" w:rsidR="00E372B1" w:rsidRPr="008F050F" w:rsidRDefault="00E372B1" w:rsidP="00A60117">
      <w:pPr>
        <w:pStyle w:val="NormalHanging12a"/>
        <w:sectPr w:rsidR="00E372B1" w:rsidRPr="008F050F" w:rsidSect="00A17501">
          <w:footerReference w:type="even" r:id="rId9"/>
          <w:footerReference w:type="first" r:id="rId10"/>
          <w:footnotePr>
            <w:numRestart w:val="eachSect"/>
          </w:footnotePr>
          <w:pgSz w:w="11909" w:h="16834"/>
          <w:pgMar w:top="1134" w:right="1134" w:bottom="1134" w:left="1134" w:header="1134" w:footer="567" w:gutter="0"/>
          <w:cols w:space="720"/>
          <w:docGrid w:linePitch="326"/>
        </w:sectPr>
      </w:pPr>
      <w:r w:rsidRPr="008F050F">
        <w:t>4</w:t>
      </w:r>
      <w:r w:rsidR="00A60117" w:rsidRPr="008F050F">
        <w:t>.</w:t>
      </w:r>
      <w:r w:rsidR="00A60117" w:rsidRPr="008F050F">
        <w:tab/>
        <w:t>verzoekt zijn Voorzitter het standpunt van het Parlement te doen toekomen aan de Raad en aan de Commissie alsmede aan de nationale parlementen.</w:t>
      </w:r>
    </w:p>
    <w:p w14:paraId="5AD49761" w14:textId="4E5ED789" w:rsidR="00A17501" w:rsidRPr="008F050F" w:rsidRDefault="00A17501" w:rsidP="00A17501">
      <w:pPr>
        <w:keepNext/>
        <w:widowControl/>
        <w:spacing w:before="600" w:after="120" w:line="360" w:lineRule="auto"/>
        <w:rPr>
          <w:color w:val="000000"/>
          <w:szCs w:val="24"/>
          <w:lang w:eastAsia="en-US"/>
        </w:rPr>
      </w:pPr>
      <w:r w:rsidRPr="008F050F">
        <w:rPr>
          <w:b/>
          <w:bCs/>
          <w:color w:val="000000"/>
          <w:szCs w:val="24"/>
          <w:lang w:eastAsia="en-US"/>
        </w:rPr>
        <w:lastRenderedPageBreak/>
        <w:t>P10_TC1-COD(2025)0726</w:t>
      </w:r>
    </w:p>
    <w:p w14:paraId="7B7C7A42" w14:textId="164E3F19" w:rsidR="006814FA" w:rsidRDefault="006814FA" w:rsidP="003C4F2E">
      <w:pPr>
        <w:keepNext/>
        <w:widowControl/>
        <w:spacing w:before="240" w:after="120"/>
        <w:rPr>
          <w:b/>
          <w:color w:val="000000"/>
          <w:szCs w:val="24"/>
          <w:lang w:eastAsia="en-US"/>
        </w:rPr>
      </w:pPr>
      <w:r w:rsidRPr="008F050F">
        <w:rPr>
          <w:b/>
          <w:bCs/>
          <w:color w:val="000000"/>
          <w:szCs w:val="24"/>
          <w:lang w:eastAsia="en-US"/>
        </w:rPr>
        <w:t xml:space="preserve">Standpunt van het Europees Parlement in eerste lezing vastgesteld op 19 mei 2026 met het oog op de vaststelling van Verordening (EU) 2026/... van het Europees Parlement en de Raad </w:t>
      </w:r>
      <w:r w:rsidR="001F76CA" w:rsidRPr="008F050F">
        <w:rPr>
          <w:b/>
          <w:bCs/>
          <w:color w:val="000000"/>
          <w:szCs w:val="24"/>
          <w:lang w:eastAsia="en-US"/>
        </w:rPr>
        <w:t xml:space="preserve">waarmee de negatieve handelsgerelateerde gevolgen van de wereldwijde overcapaciteit </w:t>
      </w:r>
      <w:r w:rsidR="003C4F2E" w:rsidRPr="008F050F">
        <w:rPr>
          <w:b/>
          <w:bCs/>
          <w:color w:val="000000"/>
          <w:szCs w:val="24"/>
          <w:lang w:eastAsia="en-US"/>
        </w:rPr>
        <w:t>voor</w:t>
      </w:r>
      <w:r w:rsidR="001F76CA" w:rsidRPr="008F050F">
        <w:rPr>
          <w:b/>
          <w:bCs/>
          <w:color w:val="000000"/>
          <w:szCs w:val="24"/>
          <w:lang w:eastAsia="en-US"/>
        </w:rPr>
        <w:t xml:space="preserve"> de staalmarkt van de Unie worden aangepakt </w:t>
      </w:r>
      <w:r w:rsidR="001F76CA" w:rsidRPr="00896023">
        <w:rPr>
          <w:b/>
          <w:color w:val="000000"/>
          <w:szCs w:val="24"/>
          <w:lang w:eastAsia="en-US"/>
        </w:rPr>
        <w:t>en tot wijziging van Verordening (EU) 2020/2170</w:t>
      </w:r>
    </w:p>
    <w:p w14:paraId="53D2E8AA" w14:textId="2A980CDF" w:rsidR="00896023" w:rsidRDefault="00896023" w:rsidP="00896023">
      <w:pPr>
        <w:keepNext/>
        <w:widowControl/>
        <w:spacing w:before="240" w:after="120"/>
        <w:rPr>
          <w:i/>
          <w:iCs/>
          <w:color w:val="000000"/>
          <w:szCs w:val="24"/>
          <w:lang w:eastAsia="en-US"/>
        </w:rPr>
      </w:pPr>
      <w:r w:rsidRPr="00896023">
        <w:rPr>
          <w:i/>
          <w:iCs/>
          <w:color w:val="000000"/>
          <w:szCs w:val="24"/>
          <w:lang w:eastAsia="en-US"/>
        </w:rPr>
        <w:t>(Aangezien het Parlement en de Raad tot overeenstemming zijn geraakt, komt het standpunt van het Parlement overeen met de definitieve rechtshandeling: Verordening</w:t>
      </w:r>
      <w:r>
        <w:rPr>
          <w:i/>
          <w:iCs/>
          <w:color w:val="000000"/>
          <w:szCs w:val="24"/>
          <w:lang w:eastAsia="en-US"/>
        </w:rPr>
        <w:t xml:space="preserve"> </w:t>
      </w:r>
      <w:r w:rsidRPr="00896023">
        <w:rPr>
          <w:i/>
          <w:iCs/>
          <w:color w:val="000000"/>
          <w:szCs w:val="24"/>
          <w:lang w:eastAsia="en-US"/>
        </w:rPr>
        <w:t>(EU) 202</w:t>
      </w:r>
      <w:r>
        <w:rPr>
          <w:i/>
          <w:iCs/>
          <w:color w:val="000000"/>
          <w:szCs w:val="24"/>
          <w:lang w:eastAsia="en-US"/>
        </w:rPr>
        <w:t>6</w:t>
      </w:r>
      <w:r w:rsidRPr="00896023">
        <w:rPr>
          <w:i/>
          <w:iCs/>
          <w:color w:val="000000"/>
          <w:szCs w:val="24"/>
          <w:lang w:eastAsia="en-US"/>
        </w:rPr>
        <w:t>/</w:t>
      </w:r>
      <w:r>
        <w:rPr>
          <w:i/>
          <w:iCs/>
          <w:color w:val="000000"/>
          <w:szCs w:val="24"/>
          <w:lang w:eastAsia="en-US"/>
        </w:rPr>
        <w:t>1384</w:t>
      </w:r>
      <w:r w:rsidRPr="00896023">
        <w:rPr>
          <w:i/>
          <w:iCs/>
          <w:color w:val="000000"/>
          <w:szCs w:val="24"/>
          <w:lang w:eastAsia="en-US"/>
        </w:rPr>
        <w:t>.)</w:t>
      </w:r>
    </w:p>
    <w:p w14:paraId="70EDE631" w14:textId="77777777" w:rsidR="00896023" w:rsidRDefault="00896023" w:rsidP="00896023">
      <w:pPr>
        <w:keepNext/>
        <w:widowControl/>
        <w:spacing w:before="240" w:after="120"/>
        <w:rPr>
          <w:i/>
          <w:iCs/>
          <w:color w:val="000000"/>
          <w:szCs w:val="24"/>
          <w:lang w:eastAsia="en-US"/>
        </w:rPr>
      </w:pPr>
    </w:p>
    <w:p w14:paraId="07EEA374" w14:textId="77777777" w:rsidR="00896023" w:rsidRDefault="00896023" w:rsidP="00896023">
      <w:pPr>
        <w:keepNext/>
        <w:widowControl/>
        <w:spacing w:before="240" w:after="120"/>
        <w:rPr>
          <w:color w:val="000000"/>
          <w:szCs w:val="24"/>
          <w:lang w:eastAsia="en-US"/>
        </w:rPr>
        <w:sectPr w:rsidR="00896023" w:rsidSect="00533B40">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B524AE7" w14:textId="77777777" w:rsidR="00896023" w:rsidRPr="00896023" w:rsidRDefault="00896023" w:rsidP="00896023">
      <w:pPr>
        <w:keepNext/>
        <w:widowControl/>
        <w:spacing w:before="240" w:after="120"/>
        <w:rPr>
          <w:color w:val="000000"/>
          <w:szCs w:val="24"/>
          <w:lang w:eastAsia="en-US"/>
        </w:rPr>
      </w:pPr>
    </w:p>
    <w:p w14:paraId="4DCE1928" w14:textId="4856F468" w:rsidR="00BD2EF7" w:rsidRPr="008F050F" w:rsidRDefault="00BD2EF7" w:rsidP="00E85DB0">
      <w:pPr>
        <w:spacing w:after="240"/>
        <w:jc w:val="right"/>
        <w:rPr>
          <w:bCs/>
        </w:rPr>
      </w:pPr>
      <w:r w:rsidRPr="008F050F">
        <w:rPr>
          <w:bCs/>
        </w:rPr>
        <w:t>BIJLAGE BIJ DE WETGEVINGSRESOLUTIE</w:t>
      </w:r>
    </w:p>
    <w:p w14:paraId="52C97A4C" w14:textId="416B55F9" w:rsidR="00BD2EF7" w:rsidRPr="008F050F" w:rsidRDefault="00BD2EF7" w:rsidP="00BD2EF7">
      <w:pPr>
        <w:rPr>
          <w:b/>
        </w:rPr>
      </w:pPr>
      <w:r w:rsidRPr="008F050F">
        <w:rPr>
          <w:b/>
        </w:rPr>
        <w:t>Gezamenlijke verklaring van het Europees Parlement, de Raad en de Commissie over de invoer van staalproducten uit Rusland</w:t>
      </w:r>
    </w:p>
    <w:p w14:paraId="1665937F" w14:textId="77777777" w:rsidR="00BD2EF7" w:rsidRPr="008F050F" w:rsidRDefault="00BD2EF7" w:rsidP="00BD2EF7"/>
    <w:p w14:paraId="51D83977" w14:textId="77777777" w:rsidR="00BD2EF7" w:rsidRPr="008F050F" w:rsidRDefault="00BD2EF7" w:rsidP="00BD2EF7">
      <w:r w:rsidRPr="008F050F">
        <w:t>Sinds het begin van de oorlog hebben de Unie en haar lidstaten ongekende maatregelen genomen om de economische afhankelijkheid van Rusland te verminderen en te voorkomen dat economische activiteiten in de Unie ertoe bijdragen dat de oorlogsinspanningen van Rusland worden ondersteund.</w:t>
      </w:r>
    </w:p>
    <w:p w14:paraId="6F216B43" w14:textId="77777777" w:rsidR="00BD2EF7" w:rsidRPr="008F050F" w:rsidRDefault="00BD2EF7" w:rsidP="00BD2EF7"/>
    <w:p w14:paraId="701CCBCB" w14:textId="77777777" w:rsidR="00BD2EF7" w:rsidRPr="008F050F" w:rsidRDefault="00BD2EF7" w:rsidP="00BD2EF7">
      <w:r w:rsidRPr="008F050F">
        <w:t>Deze maatregelen hebben gezorgd voor aanzienlijk minder handelsstromen in veel sectoren, waaronder de staalsector, een snellere ontkoppeling en een veerkrachtere Unie, maar ook laten zien dat de Unie in staat is eensgezind en doortastend op te treden wanneer haar waarden en strategische belangen op het spel staan.</w:t>
      </w:r>
    </w:p>
    <w:p w14:paraId="1BC31EAA" w14:textId="77777777" w:rsidR="00BD2EF7" w:rsidRPr="008F050F" w:rsidRDefault="00BD2EF7" w:rsidP="00BD2EF7"/>
    <w:p w14:paraId="277C133C" w14:textId="77777777" w:rsidR="00BD2EF7" w:rsidRPr="008F050F" w:rsidRDefault="00BD2EF7" w:rsidP="00BD2EF7">
      <w:r w:rsidRPr="008F050F">
        <w:t>Tegelijkertijd moet de Unie de vinger aan de pols houden op terreinen waar er nog altijd sprake is van afhankelijkheid, zeker als het gaat om bepaalde staalproducten waarvan de invoer nog niet geheel verboden is.</w:t>
      </w:r>
    </w:p>
    <w:p w14:paraId="5DFAB678" w14:textId="77777777" w:rsidR="00BD2EF7" w:rsidRPr="008F050F" w:rsidRDefault="00BD2EF7" w:rsidP="00BD2EF7"/>
    <w:p w14:paraId="7636F2FB" w14:textId="77777777" w:rsidR="00BD2EF7" w:rsidRPr="008F050F" w:rsidRDefault="00BD2EF7" w:rsidP="00BD2EF7">
      <w:r w:rsidRPr="008F050F">
        <w:t>Met name blijft er tot en met 30 september 2028 een beperkte invoer van producten van oorsprong uit Rusland in de staalsector toegestaan, overeenkomstig de overgangsregeling van de desbetreffende door de Raad vastgestelde beperkende maatregelen</w:t>
      </w:r>
      <w:r w:rsidRPr="008F050F">
        <w:rPr>
          <w:rStyle w:val="FootnoteReference"/>
        </w:rPr>
        <w:footnoteReference w:id="1"/>
      </w:r>
      <w:r w:rsidRPr="008F050F">
        <w:t xml:space="preserve">. Omwille van een geleidelijke en gestage diversificatie gelden er voor deze invoer </w:t>
      </w:r>
      <w:r w:rsidRPr="008F050F">
        <w:lastRenderedPageBreak/>
        <w:t>quota, waarvan de volumes jaarlijks afnemen.</w:t>
      </w:r>
    </w:p>
    <w:p w14:paraId="35147BC6" w14:textId="77777777" w:rsidR="00BD2EF7" w:rsidRPr="008F050F" w:rsidRDefault="00BD2EF7" w:rsidP="00BD2EF7"/>
    <w:p w14:paraId="6DDD26AE" w14:textId="751BAC9A" w:rsidR="00BD2EF7" w:rsidRPr="008F050F" w:rsidRDefault="00BD2EF7" w:rsidP="00BD2EF7">
      <w:r w:rsidRPr="008F050F">
        <w:t>Het Europees Parlement, de Raad en de Commissie wijzen nogmaals op het institutionele kader dat van toepassing is op beperkende maatregelen, en benadrukken dat de desbetreffende beperkende maatregelen van de Raad de basis vormen voor een geleidelijk proces van volledige uitfasering van de resterende invoer van Russische staalproducten, met name staalplaten, tussen nu en 30 september 2028.</w:t>
      </w:r>
    </w:p>
    <w:p w14:paraId="615F820B" w14:textId="4A70F094" w:rsidR="00E365E1" w:rsidRPr="008F050F" w:rsidRDefault="00E365E1" w:rsidP="00A17501">
      <w:pPr>
        <w:pStyle w:val="AmNumberTabs"/>
      </w:pPr>
    </w:p>
    <w:sectPr w:rsidR="00E365E1" w:rsidRPr="008F050F" w:rsidSect="00533B4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8DE93" w14:textId="77777777" w:rsidR="0033792D" w:rsidRPr="00533B40" w:rsidRDefault="0033792D">
      <w:r w:rsidRPr="00533B40">
        <w:separator/>
      </w:r>
    </w:p>
  </w:endnote>
  <w:endnote w:type="continuationSeparator" w:id="0">
    <w:p w14:paraId="5730F04E" w14:textId="77777777" w:rsidR="0033792D" w:rsidRPr="00533B40" w:rsidRDefault="0033792D">
      <w:r w:rsidRPr="00533B4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Roboto">
    <w:charset w:val="00"/>
    <w:family w:val="auto"/>
    <w:pitch w:val="variable"/>
    <w:sig w:usb0="E0000AFF" w:usb1="5000217F" w:usb2="00000021"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76B14" w14:textId="77777777" w:rsidR="00A17501" w:rsidRPr="00B43621" w:rsidRDefault="00A17501">
    <w:pPr>
      <w:pStyle w:val="Footer1"/>
    </w:pPr>
    <w:r w:rsidRPr="00B43621">
      <w:rPr>
        <w:rStyle w:val="Footer2"/>
      </w:rPr>
      <w:t>NL</w:t>
    </w:r>
    <w:r w:rsidRPr="00B43621">
      <w:tab/>
    </w:r>
    <w:r w:rsidRPr="00B43621">
      <w:fldChar w:fldCharType="begin"/>
    </w:r>
    <w:r w:rsidRPr="00B43621">
      <w:instrText xml:space="preserve"> PAGE </w:instrText>
    </w:r>
    <w:r w:rsidRPr="00B43621">
      <w:fldChar w:fldCharType="separate"/>
    </w:r>
    <w:r w:rsidRPr="00B43621">
      <w:rPr>
        <w:noProof/>
      </w:rPr>
      <w:t>1</w:t>
    </w:r>
    <w:r w:rsidRPr="00B43621">
      <w:fldChar w:fldCharType="end"/>
    </w:r>
    <w:r w:rsidRPr="00B43621">
      <w:tab/>
    </w:r>
    <w:r w:rsidRPr="00B43621">
      <w:rPr>
        <w:rStyle w:val="Footer2"/>
      </w:rPr>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C9A35" w14:textId="77777777" w:rsidR="00A17501" w:rsidRPr="00B43621" w:rsidRDefault="00A17501">
    <w:pPr>
      <w:pStyle w:val="Footer1"/>
    </w:pPr>
    <w:r w:rsidRPr="00B43621">
      <w:rPr>
        <w:rStyle w:val="Footer2"/>
      </w:rPr>
      <w:t>NL</w:t>
    </w:r>
    <w:r w:rsidRPr="00B43621">
      <w:tab/>
    </w:r>
    <w:r w:rsidRPr="00B43621">
      <w:fldChar w:fldCharType="begin"/>
    </w:r>
    <w:r w:rsidRPr="00B43621">
      <w:instrText xml:space="preserve"> PAGE </w:instrText>
    </w:r>
    <w:r w:rsidRPr="00B43621">
      <w:fldChar w:fldCharType="separate"/>
    </w:r>
    <w:r w:rsidRPr="00B43621">
      <w:rPr>
        <w:noProof/>
      </w:rPr>
      <w:t>1</w:t>
    </w:r>
    <w:r w:rsidRPr="00B43621">
      <w:fldChar w:fldCharType="end"/>
    </w:r>
    <w:r w:rsidRPr="00B43621">
      <w:tab/>
    </w:r>
    <w:r w:rsidRPr="00B43621">
      <w:rPr>
        <w:rStyle w:val="Footer2"/>
      </w:rPr>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8F6E2" w14:textId="77777777" w:rsidR="00064002" w:rsidRPr="00533B40"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28E19" w14:textId="77777777" w:rsidR="00064002" w:rsidRPr="00533B40"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8E1BB" w14:textId="77777777" w:rsidR="00064002" w:rsidRPr="00533B4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1CC248" w14:textId="77777777" w:rsidR="0033792D" w:rsidRPr="00533B40" w:rsidRDefault="0033792D">
      <w:r w:rsidRPr="00533B40">
        <w:separator/>
      </w:r>
    </w:p>
  </w:footnote>
  <w:footnote w:type="continuationSeparator" w:id="0">
    <w:p w14:paraId="358516F1" w14:textId="77777777" w:rsidR="0033792D" w:rsidRPr="00533B40" w:rsidRDefault="0033792D">
      <w:r w:rsidRPr="00533B40">
        <w:continuationSeparator/>
      </w:r>
    </w:p>
  </w:footnote>
  <w:footnote w:id="1">
    <w:p w14:paraId="5821D38D" w14:textId="62A68A10" w:rsidR="00BD2EF7" w:rsidRPr="00896023" w:rsidRDefault="00BD2EF7" w:rsidP="00896023">
      <w:pPr>
        <w:pStyle w:val="NormalWeb"/>
        <w:shd w:val="clear" w:color="auto" w:fill="FFFFFF"/>
        <w:spacing w:after="75"/>
        <w:ind w:left="851" w:hanging="851"/>
        <w:rPr>
          <w:rFonts w:ascii="Roboto" w:hAnsi="Roboto"/>
          <w:color w:val="333333"/>
          <w:sz w:val="21"/>
          <w:szCs w:val="21"/>
        </w:rPr>
      </w:pPr>
      <w:r w:rsidRPr="005553FA">
        <w:rPr>
          <w:rStyle w:val="FootnoteReference"/>
        </w:rPr>
        <w:footnoteRef/>
      </w:r>
      <w:r w:rsidRPr="00E85DB0">
        <w:t xml:space="preserve"> </w:t>
      </w:r>
      <w:r w:rsidRPr="008A7B26">
        <w:tab/>
        <w:t>Besluit 2014/512/GBVB van de Raad van 31 juli 2014 betreffende beperkende maatregelen naar aanleiding van acties van Rusland die de situatie in Oekraïne destabiliseren</w:t>
      </w:r>
      <w:r w:rsidR="00896023" w:rsidRPr="008A7B26">
        <w:t xml:space="preserve"> (PB L 229 van 31.7.2014, blz. 13,</w:t>
      </w:r>
      <w:r w:rsidR="008A7B26">
        <w:t xml:space="preserve"> </w:t>
      </w:r>
      <w:r w:rsidR="00896023" w:rsidRPr="008A7B26">
        <w:rPr>
          <w:color w:val="333333"/>
        </w:rPr>
        <w:t>ELI: </w:t>
      </w:r>
      <w:hyperlink r:id="rId1" w:tooltip="Geeft toegang tot dit document via de bijbehorende ELI-URI." w:history="1">
        <w:r w:rsidR="00896023" w:rsidRPr="008A7B26">
          <w:rPr>
            <w:color w:val="0E47CB"/>
            <w:u w:val="single"/>
          </w:rPr>
          <w:t>http://data.europa.eu/eli/dec/2014/512/oj</w:t>
        </w:r>
      </w:hyperlink>
      <w:r w:rsidR="00896023" w:rsidRPr="008A7B26">
        <w:rPr>
          <w:color w:val="333333"/>
        </w:rPr>
        <w:t>)</w:t>
      </w:r>
      <w:r w:rsidRPr="008A7B26">
        <w:t>, en Verordening (EU) nr. 833/2014 van de Raad van 31 juli 2014 betreffende beperkende maatregelen naar aanleiding van de acties van Rusland die de situatie in Oekraïne destabiliseren</w:t>
      </w:r>
      <w:r w:rsidR="005E24B4" w:rsidRPr="008A7B26">
        <w:t xml:space="preserve"> (</w:t>
      </w:r>
      <w:r w:rsidR="008A7B26" w:rsidRPr="008A7B26">
        <w:t>PB L 229 van 31.7.2014, blz. 1, ELI: </w:t>
      </w:r>
      <w:hyperlink r:id="rId2" w:tooltip="Geeft toegang tot dit document via de bijbehorende ELI-URI." w:history="1">
        <w:r w:rsidR="008A7B26" w:rsidRPr="008A7B26">
          <w:rPr>
            <w:rStyle w:val="Hyperlink"/>
          </w:rPr>
          <w:t>http://data.europa.eu/eli/reg/2014/833/oj</w:t>
        </w:r>
      </w:hyperlink>
      <w:r w:rsidR="008A7B26" w:rsidRPr="008A7B26">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0C3B4" w14:textId="77777777" w:rsidR="00064002" w:rsidRPr="00533B4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5F3D8" w14:textId="77777777" w:rsidR="00064002" w:rsidRPr="00533B4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C9277" w14:textId="77777777" w:rsidR="00064002" w:rsidRPr="00533B4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3C77951"/>
    <w:multiLevelType w:val="hybridMultilevel"/>
    <w:tmpl w:val="CF046FD2"/>
    <w:lvl w:ilvl="0" w:tplc="DA36E544">
      <w:start w:val="1"/>
      <w:numFmt w:val="decimal"/>
      <w:lvlText w:val="%1."/>
      <w:lvlJc w:val="left"/>
      <w:pPr>
        <w:ind w:left="966" w:hanging="850"/>
      </w:pPr>
      <w:rPr>
        <w:rFonts w:ascii="Times New Roman" w:eastAsia="Times New Roman" w:hAnsi="Times New Roman" w:cs="Times New Roman" w:hint="default"/>
        <w:b w:val="0"/>
        <w:bCs w:val="0"/>
        <w:i w:val="0"/>
        <w:iCs w:val="0"/>
        <w:spacing w:val="0"/>
        <w:w w:val="100"/>
        <w:sz w:val="24"/>
        <w:szCs w:val="24"/>
        <w:lang w:val="en-US" w:eastAsia="en-US" w:bidi="ar-SA"/>
      </w:rPr>
    </w:lvl>
    <w:lvl w:ilvl="1" w:tplc="E234773A">
      <w:start w:val="1"/>
      <w:numFmt w:val="lowerLetter"/>
      <w:lvlText w:val="(%2)"/>
      <w:lvlJc w:val="left"/>
      <w:pPr>
        <w:ind w:left="1532" w:hanging="567"/>
      </w:pPr>
      <w:rPr>
        <w:rFonts w:ascii="Times New Roman" w:eastAsia="Times New Roman" w:hAnsi="Times New Roman" w:cs="Times New Roman" w:hint="default"/>
        <w:b w:val="0"/>
        <w:bCs w:val="0"/>
        <w:i w:val="0"/>
        <w:iCs w:val="0"/>
        <w:spacing w:val="-1"/>
        <w:w w:val="100"/>
        <w:sz w:val="24"/>
        <w:szCs w:val="24"/>
        <w:lang w:val="en-US" w:eastAsia="en-US" w:bidi="ar-SA"/>
      </w:rPr>
    </w:lvl>
    <w:lvl w:ilvl="2" w:tplc="793A4036">
      <w:numFmt w:val="bullet"/>
      <w:lvlText w:val="•"/>
      <w:lvlJc w:val="left"/>
      <w:pPr>
        <w:ind w:left="2402" w:hanging="567"/>
      </w:pPr>
      <w:rPr>
        <w:lang w:val="en-US" w:eastAsia="en-US" w:bidi="ar-SA"/>
      </w:rPr>
    </w:lvl>
    <w:lvl w:ilvl="3" w:tplc="CEA8B83E">
      <w:numFmt w:val="bullet"/>
      <w:lvlText w:val="•"/>
      <w:lvlJc w:val="left"/>
      <w:pPr>
        <w:ind w:left="3265" w:hanging="567"/>
      </w:pPr>
      <w:rPr>
        <w:lang w:val="en-US" w:eastAsia="en-US" w:bidi="ar-SA"/>
      </w:rPr>
    </w:lvl>
    <w:lvl w:ilvl="4" w:tplc="BAD879C4">
      <w:numFmt w:val="bullet"/>
      <w:lvlText w:val="•"/>
      <w:lvlJc w:val="left"/>
      <w:pPr>
        <w:ind w:left="4128" w:hanging="567"/>
      </w:pPr>
      <w:rPr>
        <w:lang w:val="en-US" w:eastAsia="en-US" w:bidi="ar-SA"/>
      </w:rPr>
    </w:lvl>
    <w:lvl w:ilvl="5" w:tplc="EC5AEDFE">
      <w:numFmt w:val="bullet"/>
      <w:lvlText w:val="•"/>
      <w:lvlJc w:val="left"/>
      <w:pPr>
        <w:ind w:left="4991" w:hanging="567"/>
      </w:pPr>
      <w:rPr>
        <w:lang w:val="en-US" w:eastAsia="en-US" w:bidi="ar-SA"/>
      </w:rPr>
    </w:lvl>
    <w:lvl w:ilvl="6" w:tplc="ACE09532">
      <w:numFmt w:val="bullet"/>
      <w:lvlText w:val="•"/>
      <w:lvlJc w:val="left"/>
      <w:pPr>
        <w:ind w:left="5854" w:hanging="567"/>
      </w:pPr>
      <w:rPr>
        <w:lang w:val="en-US" w:eastAsia="en-US" w:bidi="ar-SA"/>
      </w:rPr>
    </w:lvl>
    <w:lvl w:ilvl="7" w:tplc="1A686F7A">
      <w:numFmt w:val="bullet"/>
      <w:lvlText w:val="•"/>
      <w:lvlJc w:val="left"/>
      <w:pPr>
        <w:ind w:left="6717" w:hanging="567"/>
      </w:pPr>
      <w:rPr>
        <w:lang w:val="en-US" w:eastAsia="en-US" w:bidi="ar-SA"/>
      </w:rPr>
    </w:lvl>
    <w:lvl w:ilvl="8" w:tplc="FCA850B6">
      <w:numFmt w:val="bullet"/>
      <w:lvlText w:val="•"/>
      <w:lvlJc w:val="left"/>
      <w:pPr>
        <w:ind w:left="7580" w:hanging="567"/>
      </w:pPr>
      <w:rPr>
        <w:lang w:val="en-US" w:eastAsia="en-US" w:bidi="ar-SA"/>
      </w:rPr>
    </w:lvl>
  </w:abstractNum>
  <w:abstractNum w:abstractNumId="13" w15:restartNumberingAfterBreak="0">
    <w:nsid w:val="4D3C337A"/>
    <w:multiLevelType w:val="hybridMultilevel"/>
    <w:tmpl w:val="F398A9F8"/>
    <w:lvl w:ilvl="0" w:tplc="337EB590">
      <w:start w:val="1"/>
      <w:numFmt w:val="decimal"/>
      <w:lvlText w:val="%1."/>
      <w:lvlJc w:val="left"/>
      <w:pPr>
        <w:ind w:left="966" w:hanging="850"/>
      </w:pPr>
      <w:rPr>
        <w:rFonts w:ascii="Times New Roman" w:eastAsia="Times New Roman" w:hAnsi="Times New Roman" w:cs="Times New Roman" w:hint="default"/>
        <w:b w:val="0"/>
        <w:bCs w:val="0"/>
        <w:i w:val="0"/>
        <w:iCs w:val="0"/>
        <w:spacing w:val="0"/>
        <w:w w:val="100"/>
        <w:sz w:val="24"/>
        <w:szCs w:val="24"/>
        <w:lang w:val="en-US" w:eastAsia="en-US" w:bidi="ar-SA"/>
      </w:rPr>
    </w:lvl>
    <w:lvl w:ilvl="1" w:tplc="C47ECB7A">
      <w:numFmt w:val="bullet"/>
      <w:lvlText w:val="•"/>
      <w:lvlJc w:val="left"/>
      <w:pPr>
        <w:ind w:left="1794" w:hanging="850"/>
      </w:pPr>
      <w:rPr>
        <w:lang w:val="en-US" w:eastAsia="en-US" w:bidi="ar-SA"/>
      </w:rPr>
    </w:lvl>
    <w:lvl w:ilvl="2" w:tplc="A690609C">
      <w:numFmt w:val="bullet"/>
      <w:lvlText w:val="•"/>
      <w:lvlJc w:val="left"/>
      <w:pPr>
        <w:ind w:left="2629" w:hanging="850"/>
      </w:pPr>
      <w:rPr>
        <w:lang w:val="en-US" w:eastAsia="en-US" w:bidi="ar-SA"/>
      </w:rPr>
    </w:lvl>
    <w:lvl w:ilvl="3" w:tplc="C6D8D058">
      <w:numFmt w:val="bullet"/>
      <w:lvlText w:val="•"/>
      <w:lvlJc w:val="left"/>
      <w:pPr>
        <w:ind w:left="3463" w:hanging="850"/>
      </w:pPr>
      <w:rPr>
        <w:lang w:val="en-US" w:eastAsia="en-US" w:bidi="ar-SA"/>
      </w:rPr>
    </w:lvl>
    <w:lvl w:ilvl="4" w:tplc="607E360C">
      <w:numFmt w:val="bullet"/>
      <w:lvlText w:val="•"/>
      <w:lvlJc w:val="left"/>
      <w:pPr>
        <w:ind w:left="4298" w:hanging="850"/>
      </w:pPr>
      <w:rPr>
        <w:lang w:val="en-US" w:eastAsia="en-US" w:bidi="ar-SA"/>
      </w:rPr>
    </w:lvl>
    <w:lvl w:ilvl="5" w:tplc="D69E1850">
      <w:numFmt w:val="bullet"/>
      <w:lvlText w:val="•"/>
      <w:lvlJc w:val="left"/>
      <w:pPr>
        <w:ind w:left="5133" w:hanging="850"/>
      </w:pPr>
      <w:rPr>
        <w:lang w:val="en-US" w:eastAsia="en-US" w:bidi="ar-SA"/>
      </w:rPr>
    </w:lvl>
    <w:lvl w:ilvl="6" w:tplc="3ED28E14">
      <w:numFmt w:val="bullet"/>
      <w:lvlText w:val="•"/>
      <w:lvlJc w:val="left"/>
      <w:pPr>
        <w:ind w:left="5967" w:hanging="850"/>
      </w:pPr>
      <w:rPr>
        <w:lang w:val="en-US" w:eastAsia="en-US" w:bidi="ar-SA"/>
      </w:rPr>
    </w:lvl>
    <w:lvl w:ilvl="7" w:tplc="22A0A4F8">
      <w:numFmt w:val="bullet"/>
      <w:lvlText w:val="•"/>
      <w:lvlJc w:val="left"/>
      <w:pPr>
        <w:ind w:left="6802" w:hanging="850"/>
      </w:pPr>
      <w:rPr>
        <w:lang w:val="en-US" w:eastAsia="en-US" w:bidi="ar-SA"/>
      </w:rPr>
    </w:lvl>
    <w:lvl w:ilvl="8" w:tplc="7070DDA8">
      <w:numFmt w:val="bullet"/>
      <w:lvlText w:val="•"/>
      <w:lvlJc w:val="left"/>
      <w:pPr>
        <w:ind w:left="7637" w:hanging="850"/>
      </w:pPr>
      <w:rPr>
        <w:lang w:val="en-US" w:eastAsia="en-US" w:bidi="ar-SA"/>
      </w:rPr>
    </w:lvl>
  </w:abstractNum>
  <w:abstractNum w:abstractNumId="14" w15:restartNumberingAfterBreak="0">
    <w:nsid w:val="60B67A4F"/>
    <w:multiLevelType w:val="hybridMultilevel"/>
    <w:tmpl w:val="F996A700"/>
    <w:lvl w:ilvl="0" w:tplc="BE904A6C">
      <w:start w:val="1"/>
      <w:numFmt w:val="decimal"/>
      <w:lvlText w:val="(%1)"/>
      <w:lvlJc w:val="left"/>
      <w:pPr>
        <w:ind w:left="824" w:hanging="708"/>
      </w:pPr>
      <w:rPr>
        <w:rFonts w:ascii="Times New Roman" w:eastAsia="Times New Roman" w:hAnsi="Times New Roman" w:cs="Times New Roman" w:hint="default"/>
        <w:b w:val="0"/>
        <w:bCs w:val="0"/>
        <w:i w:val="0"/>
        <w:iCs w:val="0"/>
        <w:spacing w:val="0"/>
        <w:w w:val="100"/>
        <w:sz w:val="24"/>
        <w:szCs w:val="24"/>
        <w:lang w:val="en-US" w:eastAsia="en-US" w:bidi="ar-SA"/>
      </w:rPr>
    </w:lvl>
    <w:lvl w:ilvl="1" w:tplc="775EBA24">
      <w:numFmt w:val="bullet"/>
      <w:lvlText w:val="•"/>
      <w:lvlJc w:val="left"/>
      <w:pPr>
        <w:ind w:left="1668" w:hanging="708"/>
      </w:pPr>
      <w:rPr>
        <w:lang w:val="en-US" w:eastAsia="en-US" w:bidi="ar-SA"/>
      </w:rPr>
    </w:lvl>
    <w:lvl w:ilvl="2" w:tplc="AD94A3BC">
      <w:numFmt w:val="bullet"/>
      <w:lvlText w:val="•"/>
      <w:lvlJc w:val="left"/>
      <w:pPr>
        <w:ind w:left="2517" w:hanging="708"/>
      </w:pPr>
      <w:rPr>
        <w:lang w:val="en-US" w:eastAsia="en-US" w:bidi="ar-SA"/>
      </w:rPr>
    </w:lvl>
    <w:lvl w:ilvl="3" w:tplc="E190EBD6">
      <w:numFmt w:val="bullet"/>
      <w:lvlText w:val="•"/>
      <w:lvlJc w:val="left"/>
      <w:pPr>
        <w:ind w:left="3365" w:hanging="708"/>
      </w:pPr>
      <w:rPr>
        <w:lang w:val="en-US" w:eastAsia="en-US" w:bidi="ar-SA"/>
      </w:rPr>
    </w:lvl>
    <w:lvl w:ilvl="4" w:tplc="16DAFDF4">
      <w:numFmt w:val="bullet"/>
      <w:lvlText w:val="•"/>
      <w:lvlJc w:val="left"/>
      <w:pPr>
        <w:ind w:left="4214" w:hanging="708"/>
      </w:pPr>
      <w:rPr>
        <w:lang w:val="en-US" w:eastAsia="en-US" w:bidi="ar-SA"/>
      </w:rPr>
    </w:lvl>
    <w:lvl w:ilvl="5" w:tplc="027EE0E2">
      <w:numFmt w:val="bullet"/>
      <w:lvlText w:val="•"/>
      <w:lvlJc w:val="left"/>
      <w:pPr>
        <w:ind w:left="5063" w:hanging="708"/>
      </w:pPr>
      <w:rPr>
        <w:lang w:val="en-US" w:eastAsia="en-US" w:bidi="ar-SA"/>
      </w:rPr>
    </w:lvl>
    <w:lvl w:ilvl="6" w:tplc="E0328AE6">
      <w:numFmt w:val="bullet"/>
      <w:lvlText w:val="•"/>
      <w:lvlJc w:val="left"/>
      <w:pPr>
        <w:ind w:left="5911" w:hanging="708"/>
      </w:pPr>
      <w:rPr>
        <w:lang w:val="en-US" w:eastAsia="en-US" w:bidi="ar-SA"/>
      </w:rPr>
    </w:lvl>
    <w:lvl w:ilvl="7" w:tplc="2A404F82">
      <w:numFmt w:val="bullet"/>
      <w:lvlText w:val="•"/>
      <w:lvlJc w:val="left"/>
      <w:pPr>
        <w:ind w:left="6760" w:hanging="708"/>
      </w:pPr>
      <w:rPr>
        <w:lang w:val="en-US" w:eastAsia="en-US" w:bidi="ar-SA"/>
      </w:rPr>
    </w:lvl>
    <w:lvl w:ilvl="8" w:tplc="8CD2F9E2">
      <w:numFmt w:val="bullet"/>
      <w:lvlText w:val="•"/>
      <w:lvlJc w:val="left"/>
      <w:pPr>
        <w:ind w:left="7609" w:hanging="708"/>
      </w:pPr>
      <w:rPr>
        <w:lang w:val="en-US" w:eastAsia="en-US" w:bidi="ar-SA"/>
      </w:rPr>
    </w:lvl>
  </w:abstractNum>
  <w:abstractNum w:abstractNumId="15" w15:restartNumberingAfterBreak="0">
    <w:nsid w:val="66D377C0"/>
    <w:multiLevelType w:val="hybridMultilevel"/>
    <w:tmpl w:val="898671CA"/>
    <w:lvl w:ilvl="0" w:tplc="70FA8D28">
      <w:start w:val="1"/>
      <w:numFmt w:val="decimal"/>
      <w:lvlText w:val="%1."/>
      <w:lvlJc w:val="left"/>
      <w:pPr>
        <w:ind w:left="966" w:hanging="850"/>
      </w:pPr>
      <w:rPr>
        <w:rFonts w:ascii="Times New Roman" w:eastAsia="Times New Roman" w:hAnsi="Times New Roman" w:cs="Times New Roman" w:hint="default"/>
        <w:b w:val="0"/>
        <w:bCs w:val="0"/>
        <w:i w:val="0"/>
        <w:iCs w:val="0"/>
        <w:spacing w:val="0"/>
        <w:w w:val="100"/>
        <w:sz w:val="24"/>
        <w:szCs w:val="24"/>
        <w:lang w:val="en-US" w:eastAsia="en-US" w:bidi="ar-SA"/>
      </w:rPr>
    </w:lvl>
    <w:lvl w:ilvl="1" w:tplc="B66E3DC6">
      <w:start w:val="1"/>
      <w:numFmt w:val="lowerLetter"/>
      <w:lvlText w:val="(%2)"/>
      <w:lvlJc w:val="left"/>
      <w:pPr>
        <w:ind w:left="1532" w:hanging="567"/>
      </w:pPr>
      <w:rPr>
        <w:rFonts w:ascii="Times New Roman" w:eastAsia="Times New Roman" w:hAnsi="Times New Roman" w:cs="Times New Roman" w:hint="default"/>
        <w:b w:val="0"/>
        <w:bCs w:val="0"/>
        <w:i w:val="0"/>
        <w:iCs w:val="0"/>
        <w:spacing w:val="-1"/>
        <w:w w:val="100"/>
        <w:sz w:val="24"/>
        <w:szCs w:val="24"/>
        <w:lang w:val="en-US" w:eastAsia="en-US" w:bidi="ar-SA"/>
      </w:rPr>
    </w:lvl>
    <w:lvl w:ilvl="2" w:tplc="4062600A">
      <w:numFmt w:val="bullet"/>
      <w:lvlText w:val="•"/>
      <w:lvlJc w:val="left"/>
      <w:pPr>
        <w:ind w:left="2402" w:hanging="567"/>
      </w:pPr>
      <w:rPr>
        <w:lang w:val="en-US" w:eastAsia="en-US" w:bidi="ar-SA"/>
      </w:rPr>
    </w:lvl>
    <w:lvl w:ilvl="3" w:tplc="C408DB78">
      <w:numFmt w:val="bullet"/>
      <w:lvlText w:val="•"/>
      <w:lvlJc w:val="left"/>
      <w:pPr>
        <w:ind w:left="3265" w:hanging="567"/>
      </w:pPr>
      <w:rPr>
        <w:lang w:val="en-US" w:eastAsia="en-US" w:bidi="ar-SA"/>
      </w:rPr>
    </w:lvl>
    <w:lvl w:ilvl="4" w:tplc="4D6CB3D6">
      <w:numFmt w:val="bullet"/>
      <w:lvlText w:val="•"/>
      <w:lvlJc w:val="left"/>
      <w:pPr>
        <w:ind w:left="4128" w:hanging="567"/>
      </w:pPr>
      <w:rPr>
        <w:lang w:val="en-US" w:eastAsia="en-US" w:bidi="ar-SA"/>
      </w:rPr>
    </w:lvl>
    <w:lvl w:ilvl="5" w:tplc="98988E62">
      <w:numFmt w:val="bullet"/>
      <w:lvlText w:val="•"/>
      <w:lvlJc w:val="left"/>
      <w:pPr>
        <w:ind w:left="4991" w:hanging="567"/>
      </w:pPr>
      <w:rPr>
        <w:lang w:val="en-US" w:eastAsia="en-US" w:bidi="ar-SA"/>
      </w:rPr>
    </w:lvl>
    <w:lvl w:ilvl="6" w:tplc="E2625C40">
      <w:numFmt w:val="bullet"/>
      <w:lvlText w:val="•"/>
      <w:lvlJc w:val="left"/>
      <w:pPr>
        <w:ind w:left="5854" w:hanging="567"/>
      </w:pPr>
      <w:rPr>
        <w:lang w:val="en-US" w:eastAsia="en-US" w:bidi="ar-SA"/>
      </w:rPr>
    </w:lvl>
    <w:lvl w:ilvl="7" w:tplc="6B2C14CC">
      <w:numFmt w:val="bullet"/>
      <w:lvlText w:val="•"/>
      <w:lvlJc w:val="left"/>
      <w:pPr>
        <w:ind w:left="6717" w:hanging="567"/>
      </w:pPr>
      <w:rPr>
        <w:lang w:val="en-US" w:eastAsia="en-US" w:bidi="ar-SA"/>
      </w:rPr>
    </w:lvl>
    <w:lvl w:ilvl="8" w:tplc="1478BFAA">
      <w:numFmt w:val="bullet"/>
      <w:lvlText w:val="•"/>
      <w:lvlJc w:val="left"/>
      <w:pPr>
        <w:ind w:left="7580" w:hanging="567"/>
      </w:pPr>
      <w:rPr>
        <w:lang w:val="en-US" w:eastAsia="en-US" w:bidi="ar-SA"/>
      </w:rPr>
    </w:lvl>
  </w:abstractNum>
  <w:num w:numId="1" w16cid:durableId="945503359">
    <w:abstractNumId w:val="9"/>
  </w:num>
  <w:num w:numId="2" w16cid:durableId="1660190365">
    <w:abstractNumId w:val="9"/>
  </w:num>
  <w:num w:numId="3" w16cid:durableId="1514033607">
    <w:abstractNumId w:val="7"/>
  </w:num>
  <w:num w:numId="4" w16cid:durableId="234629901">
    <w:abstractNumId w:val="7"/>
  </w:num>
  <w:num w:numId="5" w16cid:durableId="620460326">
    <w:abstractNumId w:val="6"/>
  </w:num>
  <w:num w:numId="6" w16cid:durableId="1569919272">
    <w:abstractNumId w:val="6"/>
  </w:num>
  <w:num w:numId="7" w16cid:durableId="1918442707">
    <w:abstractNumId w:val="5"/>
  </w:num>
  <w:num w:numId="8" w16cid:durableId="1196387530">
    <w:abstractNumId w:val="5"/>
  </w:num>
  <w:num w:numId="9" w16cid:durableId="1415201988">
    <w:abstractNumId w:val="4"/>
  </w:num>
  <w:num w:numId="10" w16cid:durableId="120466941">
    <w:abstractNumId w:val="4"/>
  </w:num>
  <w:num w:numId="11" w16cid:durableId="1456411014">
    <w:abstractNumId w:val="8"/>
  </w:num>
  <w:num w:numId="12" w16cid:durableId="1462262292">
    <w:abstractNumId w:val="8"/>
  </w:num>
  <w:num w:numId="13" w16cid:durableId="1146819285">
    <w:abstractNumId w:val="3"/>
  </w:num>
  <w:num w:numId="14" w16cid:durableId="504975175">
    <w:abstractNumId w:val="3"/>
  </w:num>
  <w:num w:numId="15" w16cid:durableId="87040549">
    <w:abstractNumId w:val="2"/>
  </w:num>
  <w:num w:numId="16" w16cid:durableId="213809456">
    <w:abstractNumId w:val="2"/>
  </w:num>
  <w:num w:numId="17" w16cid:durableId="2026596431">
    <w:abstractNumId w:val="1"/>
  </w:num>
  <w:num w:numId="18" w16cid:durableId="772282491">
    <w:abstractNumId w:val="1"/>
  </w:num>
  <w:num w:numId="19" w16cid:durableId="239145567">
    <w:abstractNumId w:val="0"/>
  </w:num>
  <w:num w:numId="20" w16cid:durableId="241375320">
    <w:abstractNumId w:val="0"/>
  </w:num>
  <w:num w:numId="21" w16cid:durableId="783378832">
    <w:abstractNumId w:val="9"/>
  </w:num>
  <w:num w:numId="22" w16cid:durableId="1195994426">
    <w:abstractNumId w:val="7"/>
  </w:num>
  <w:num w:numId="23" w16cid:durableId="1215390147">
    <w:abstractNumId w:val="6"/>
  </w:num>
  <w:num w:numId="24" w16cid:durableId="823351255">
    <w:abstractNumId w:val="5"/>
  </w:num>
  <w:num w:numId="25" w16cid:durableId="1931156364">
    <w:abstractNumId w:val="4"/>
  </w:num>
  <w:num w:numId="26" w16cid:durableId="1959985378">
    <w:abstractNumId w:val="8"/>
  </w:num>
  <w:num w:numId="27" w16cid:durableId="29036848">
    <w:abstractNumId w:val="3"/>
  </w:num>
  <w:num w:numId="28" w16cid:durableId="1734696573">
    <w:abstractNumId w:val="2"/>
  </w:num>
  <w:num w:numId="29" w16cid:durableId="244537696">
    <w:abstractNumId w:val="1"/>
  </w:num>
  <w:num w:numId="30" w16cid:durableId="2102020765">
    <w:abstractNumId w:val="0"/>
  </w:num>
  <w:num w:numId="31" w16cid:durableId="209924257">
    <w:abstractNumId w:val="9"/>
  </w:num>
  <w:num w:numId="32" w16cid:durableId="302277358">
    <w:abstractNumId w:val="7"/>
  </w:num>
  <w:num w:numId="33" w16cid:durableId="1474908271">
    <w:abstractNumId w:val="6"/>
  </w:num>
  <w:num w:numId="34" w16cid:durableId="1182353082">
    <w:abstractNumId w:val="5"/>
  </w:num>
  <w:num w:numId="35" w16cid:durableId="993025983">
    <w:abstractNumId w:val="4"/>
  </w:num>
  <w:num w:numId="36" w16cid:durableId="1105467776">
    <w:abstractNumId w:val="8"/>
  </w:num>
  <w:num w:numId="37" w16cid:durableId="1913462149">
    <w:abstractNumId w:val="3"/>
  </w:num>
  <w:num w:numId="38" w16cid:durableId="2080664718">
    <w:abstractNumId w:val="2"/>
  </w:num>
  <w:num w:numId="39" w16cid:durableId="2038266455">
    <w:abstractNumId w:val="1"/>
  </w:num>
  <w:num w:numId="40" w16cid:durableId="1415517831">
    <w:abstractNumId w:val="0"/>
  </w:num>
  <w:num w:numId="41" w16cid:durableId="322782870">
    <w:abstractNumId w:val="10"/>
  </w:num>
  <w:num w:numId="42" w16cid:durableId="1523862842">
    <w:abstractNumId w:val="10"/>
  </w:num>
  <w:num w:numId="43" w16cid:durableId="879367845">
    <w:abstractNumId w:val="10"/>
  </w:num>
  <w:num w:numId="44" w16cid:durableId="1889370049">
    <w:abstractNumId w:val="11"/>
  </w:num>
  <w:num w:numId="45" w16cid:durableId="177623198">
    <w:abstractNumId w:val="15"/>
    <w:lvlOverride w:ilvl="0">
      <w:startOverride w:val="1"/>
    </w:lvlOverride>
    <w:lvlOverride w:ilvl="1">
      <w:startOverride w:val="1"/>
    </w:lvlOverride>
    <w:lvlOverride w:ilvl="2"/>
    <w:lvlOverride w:ilvl="3"/>
    <w:lvlOverride w:ilvl="4"/>
    <w:lvlOverride w:ilvl="5"/>
    <w:lvlOverride w:ilvl="6"/>
    <w:lvlOverride w:ilvl="7"/>
    <w:lvlOverride w:ilvl="8"/>
  </w:num>
  <w:num w:numId="46" w16cid:durableId="822936252">
    <w:abstractNumId w:val="12"/>
    <w:lvlOverride w:ilvl="0">
      <w:startOverride w:val="1"/>
    </w:lvlOverride>
    <w:lvlOverride w:ilvl="1">
      <w:startOverride w:val="1"/>
    </w:lvlOverride>
    <w:lvlOverride w:ilvl="2"/>
    <w:lvlOverride w:ilvl="3"/>
    <w:lvlOverride w:ilvl="4"/>
    <w:lvlOverride w:ilvl="5"/>
    <w:lvlOverride w:ilvl="6"/>
    <w:lvlOverride w:ilvl="7"/>
    <w:lvlOverride w:ilvl="8"/>
  </w:num>
  <w:num w:numId="47" w16cid:durableId="759564492">
    <w:abstractNumId w:val="13"/>
    <w:lvlOverride w:ilvl="0">
      <w:startOverride w:val="1"/>
    </w:lvlOverride>
    <w:lvlOverride w:ilvl="1"/>
    <w:lvlOverride w:ilvl="2"/>
    <w:lvlOverride w:ilvl="3"/>
    <w:lvlOverride w:ilvl="4"/>
    <w:lvlOverride w:ilvl="5"/>
    <w:lvlOverride w:ilvl="6"/>
    <w:lvlOverride w:ilvl="7"/>
    <w:lvlOverride w:ilvl="8"/>
  </w:num>
  <w:num w:numId="48" w16cid:durableId="1725374262">
    <w:abstractNumId w:val="14"/>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2/2026"/>
    <w:docVar w:name="dvlangue" w:val="NL"/>
    <w:docVar w:name="dvnumam" w:val="0"/>
    <w:docVar w:name="dvpe" w:val="779.727"/>
    <w:docVar w:name="dvrapporteur" w:val="Rapporteur: "/>
    <w:docVar w:name="dvstar" w:val="***I"/>
    <w:docVar w:name="dvtitre" w:val="Wetgevingsresolutie van het Europees Parlement van xx mei 2026 over het voorstel voor een verordening van het Europees Parlement en de Raad waarmee de negatieve handelsgerelateerde gevolgen van de wereldwijde overcapaciteit op de staalmarkt van de Unie worden aangepakt(COM(2025)0726 – C10-0245/2025 – 2025/0726(COD))"/>
  </w:docVars>
  <w:rsids>
    <w:rsidRoot w:val="0033792D"/>
    <w:rsid w:val="00002272"/>
    <w:rsid w:val="00004588"/>
    <w:rsid w:val="000147AC"/>
    <w:rsid w:val="00064002"/>
    <w:rsid w:val="000677B9"/>
    <w:rsid w:val="000779C9"/>
    <w:rsid w:val="000831BA"/>
    <w:rsid w:val="000A42CC"/>
    <w:rsid w:val="000E7DD9"/>
    <w:rsid w:val="000F63EC"/>
    <w:rsid w:val="0010095E"/>
    <w:rsid w:val="00125B37"/>
    <w:rsid w:val="0013053C"/>
    <w:rsid w:val="00187494"/>
    <w:rsid w:val="001F32AE"/>
    <w:rsid w:val="001F76CA"/>
    <w:rsid w:val="002767FF"/>
    <w:rsid w:val="002B18FE"/>
    <w:rsid w:val="002B5493"/>
    <w:rsid w:val="002B6C48"/>
    <w:rsid w:val="00311CC8"/>
    <w:rsid w:val="0033792D"/>
    <w:rsid w:val="00343214"/>
    <w:rsid w:val="0036038C"/>
    <w:rsid w:val="00361C00"/>
    <w:rsid w:val="00395FA1"/>
    <w:rsid w:val="003C4F2E"/>
    <w:rsid w:val="003C7CB0"/>
    <w:rsid w:val="003E15D4"/>
    <w:rsid w:val="00411CCE"/>
    <w:rsid w:val="0041666E"/>
    <w:rsid w:val="00421060"/>
    <w:rsid w:val="00427F9B"/>
    <w:rsid w:val="00471C19"/>
    <w:rsid w:val="004867E3"/>
    <w:rsid w:val="00494A28"/>
    <w:rsid w:val="004C0004"/>
    <w:rsid w:val="004C5D52"/>
    <w:rsid w:val="0050519A"/>
    <w:rsid w:val="005072A1"/>
    <w:rsid w:val="00514517"/>
    <w:rsid w:val="00533B40"/>
    <w:rsid w:val="00545827"/>
    <w:rsid w:val="00560270"/>
    <w:rsid w:val="005C2568"/>
    <w:rsid w:val="005C4FE0"/>
    <w:rsid w:val="005E24B4"/>
    <w:rsid w:val="005E3F12"/>
    <w:rsid w:val="005F1B17"/>
    <w:rsid w:val="006037C0"/>
    <w:rsid w:val="006631B6"/>
    <w:rsid w:val="00680577"/>
    <w:rsid w:val="006814FA"/>
    <w:rsid w:val="006F74FA"/>
    <w:rsid w:val="00725B85"/>
    <w:rsid w:val="00731ADD"/>
    <w:rsid w:val="00734777"/>
    <w:rsid w:val="00747932"/>
    <w:rsid w:val="00751A4A"/>
    <w:rsid w:val="00756632"/>
    <w:rsid w:val="00762C74"/>
    <w:rsid w:val="00786EC0"/>
    <w:rsid w:val="007C5D2A"/>
    <w:rsid w:val="007D1690"/>
    <w:rsid w:val="007E22AD"/>
    <w:rsid w:val="007E2816"/>
    <w:rsid w:val="00817416"/>
    <w:rsid w:val="00842779"/>
    <w:rsid w:val="00865F67"/>
    <w:rsid w:val="00881A7B"/>
    <w:rsid w:val="008840E5"/>
    <w:rsid w:val="0088732E"/>
    <w:rsid w:val="00887B3E"/>
    <w:rsid w:val="00896023"/>
    <w:rsid w:val="008A7B26"/>
    <w:rsid w:val="008B4B5C"/>
    <w:rsid w:val="008C2AC6"/>
    <w:rsid w:val="008F050F"/>
    <w:rsid w:val="00930C23"/>
    <w:rsid w:val="0093193B"/>
    <w:rsid w:val="009509D8"/>
    <w:rsid w:val="00950B64"/>
    <w:rsid w:val="009707DC"/>
    <w:rsid w:val="00981893"/>
    <w:rsid w:val="00A000F8"/>
    <w:rsid w:val="00A1687D"/>
    <w:rsid w:val="00A17501"/>
    <w:rsid w:val="00A43E52"/>
    <w:rsid w:val="00A4678D"/>
    <w:rsid w:val="00A60117"/>
    <w:rsid w:val="00A778C7"/>
    <w:rsid w:val="00AB441E"/>
    <w:rsid w:val="00AB6293"/>
    <w:rsid w:val="00AE0928"/>
    <w:rsid w:val="00AF3B82"/>
    <w:rsid w:val="00B12E95"/>
    <w:rsid w:val="00B22876"/>
    <w:rsid w:val="00B35C39"/>
    <w:rsid w:val="00B558F0"/>
    <w:rsid w:val="00BD2EF7"/>
    <w:rsid w:val="00BD48FE"/>
    <w:rsid w:val="00BD7BD8"/>
    <w:rsid w:val="00BE6ADC"/>
    <w:rsid w:val="00C05BFE"/>
    <w:rsid w:val="00C23CD4"/>
    <w:rsid w:val="00C61C0C"/>
    <w:rsid w:val="00C941CB"/>
    <w:rsid w:val="00CA47E5"/>
    <w:rsid w:val="00CC2357"/>
    <w:rsid w:val="00CF071A"/>
    <w:rsid w:val="00D058B8"/>
    <w:rsid w:val="00D56C11"/>
    <w:rsid w:val="00D80DF8"/>
    <w:rsid w:val="00D834A0"/>
    <w:rsid w:val="00D872DF"/>
    <w:rsid w:val="00D91E21"/>
    <w:rsid w:val="00DA7FCD"/>
    <w:rsid w:val="00E365E1"/>
    <w:rsid w:val="00E372B1"/>
    <w:rsid w:val="00E820A4"/>
    <w:rsid w:val="00E85DB0"/>
    <w:rsid w:val="00EB006A"/>
    <w:rsid w:val="00EB4772"/>
    <w:rsid w:val="00ED169E"/>
    <w:rsid w:val="00ED4235"/>
    <w:rsid w:val="00EE30E7"/>
    <w:rsid w:val="00F04346"/>
    <w:rsid w:val="00F075DC"/>
    <w:rsid w:val="00F149E9"/>
    <w:rsid w:val="00F5134D"/>
    <w:rsid w:val="00F74202"/>
    <w:rsid w:val="00F87713"/>
    <w:rsid w:val="00FB4360"/>
    <w:rsid w:val="00FD0C70"/>
    <w:rsid w:val="00FD73FC"/>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C6BD43"/>
  <w15:chartTrackingRefBased/>
  <w15:docId w15:val="{C2665BF1-F3B7-4AE4-A4F5-F75544DEF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Body Text" w:uiPriority="1"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60117"/>
    <w:rPr>
      <w:b/>
      <w:kern w:val="28"/>
      <w:sz w:val="28"/>
      <w:lang w:val="fr-FR" w:eastAsia="fr-FR"/>
    </w:rPr>
  </w:style>
  <w:style w:type="character" w:customStyle="1" w:styleId="Heading2Char">
    <w:name w:val="Heading 2 Char"/>
    <w:basedOn w:val="DefaultParagraphFont"/>
    <w:link w:val="Heading2"/>
    <w:semiHidden/>
    <w:rsid w:val="00A60117"/>
    <w:rPr>
      <w:sz w:val="24"/>
      <w:lang w:val="fr-FR" w:eastAsia="fr-FR"/>
    </w:rPr>
  </w:style>
  <w:style w:type="character" w:customStyle="1" w:styleId="Heading3Char">
    <w:name w:val="Heading 3 Char"/>
    <w:basedOn w:val="DefaultParagraphFont"/>
    <w:link w:val="Heading3"/>
    <w:semiHidden/>
    <w:rsid w:val="00A60117"/>
    <w:rPr>
      <w:rFonts w:ascii="Arial" w:hAnsi="Arial"/>
      <w:sz w:val="24"/>
      <w:lang w:val="fr-FR" w:eastAsia="fr-FR"/>
    </w:rPr>
  </w:style>
  <w:style w:type="character" w:customStyle="1" w:styleId="Heading4Char">
    <w:name w:val="Heading 4 Char"/>
    <w:basedOn w:val="DefaultParagraphFont"/>
    <w:link w:val="Heading4"/>
    <w:semiHidden/>
    <w:rsid w:val="00A60117"/>
    <w:rPr>
      <w:sz w:val="24"/>
      <w:lang w:val="en-US" w:eastAsia="fr-FR"/>
    </w:rPr>
  </w:style>
  <w:style w:type="character" w:customStyle="1" w:styleId="Heading5Char">
    <w:name w:val="Heading 5 Char"/>
    <w:basedOn w:val="DefaultParagraphFont"/>
    <w:link w:val="Heading5"/>
    <w:semiHidden/>
    <w:rsid w:val="00A60117"/>
    <w:rPr>
      <w:sz w:val="24"/>
      <w:lang w:val="en-US" w:eastAsia="fr-FR"/>
    </w:rPr>
  </w:style>
  <w:style w:type="character" w:customStyle="1" w:styleId="Heading6Char">
    <w:name w:val="Heading 6 Char"/>
    <w:basedOn w:val="DefaultParagraphFont"/>
    <w:link w:val="Heading6"/>
    <w:semiHidden/>
    <w:rsid w:val="00A60117"/>
    <w:rPr>
      <w:i/>
      <w:sz w:val="22"/>
      <w:lang w:val="nl-NL"/>
    </w:rPr>
  </w:style>
  <w:style w:type="character" w:customStyle="1" w:styleId="Heading7Char">
    <w:name w:val="Heading 7 Char"/>
    <w:basedOn w:val="DefaultParagraphFont"/>
    <w:link w:val="Heading7"/>
    <w:semiHidden/>
    <w:rsid w:val="00A60117"/>
    <w:rPr>
      <w:rFonts w:ascii="Arial" w:hAnsi="Arial"/>
      <w:sz w:val="24"/>
      <w:lang w:val="nl-NL"/>
    </w:rPr>
  </w:style>
  <w:style w:type="character" w:customStyle="1" w:styleId="Heading8Char">
    <w:name w:val="Heading 8 Char"/>
    <w:basedOn w:val="DefaultParagraphFont"/>
    <w:link w:val="Heading8"/>
    <w:semiHidden/>
    <w:rsid w:val="00A60117"/>
    <w:rPr>
      <w:rFonts w:ascii="Arial" w:hAnsi="Arial"/>
      <w:i/>
      <w:sz w:val="24"/>
      <w:lang w:val="nl-NL"/>
    </w:rPr>
  </w:style>
  <w:style w:type="character" w:customStyle="1" w:styleId="Heading9Char">
    <w:name w:val="Heading 9 Char"/>
    <w:basedOn w:val="DefaultParagraphFont"/>
    <w:link w:val="Heading9"/>
    <w:semiHidden/>
    <w:rsid w:val="00A60117"/>
    <w:rPr>
      <w:rFonts w:ascii="Arial" w:hAnsi="Arial"/>
      <w:b/>
      <w:i/>
      <w:sz w:val="18"/>
      <w:lang w:val="nl-NL"/>
    </w:rPr>
  </w:style>
  <w:style w:type="paragraph" w:styleId="TOCHeading">
    <w:name w:val="TOC Heading"/>
    <w:basedOn w:val="Normal"/>
    <w:next w:val="Normal"/>
    <w:unhideWhenUsed/>
    <w:qFormat/>
    <w:rsid w:val="00A60117"/>
    <w:pPr>
      <w:widowControl/>
      <w:spacing w:after="240"/>
    </w:pPr>
    <w:rPr>
      <w:lang w:val="en-GB"/>
    </w:rPr>
  </w:style>
  <w:style w:type="paragraph" w:customStyle="1" w:styleId="EPFooter2">
    <w:name w:val="EPFooter2"/>
    <w:basedOn w:val="Normal"/>
    <w:next w:val="Normal"/>
    <w:rsid w:val="00A60117"/>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A60117"/>
    <w:pPr>
      <w:keepNext/>
      <w:spacing w:after="240"/>
      <w:jc w:val="right"/>
    </w:pPr>
    <w:rPr>
      <w:rFonts w:ascii="Arial" w:hAnsi="Arial"/>
      <w:b/>
    </w:rPr>
  </w:style>
  <w:style w:type="paragraph" w:customStyle="1" w:styleId="Normal6a">
    <w:name w:val="Normal6a"/>
    <w:basedOn w:val="Normal"/>
    <w:rsid w:val="00A60117"/>
    <w:pPr>
      <w:spacing w:after="120"/>
    </w:pPr>
  </w:style>
  <w:style w:type="paragraph" w:customStyle="1" w:styleId="PageHeading">
    <w:name w:val="PageHeading"/>
    <w:basedOn w:val="Normal"/>
    <w:qFormat/>
    <w:rsid w:val="00A60117"/>
    <w:pPr>
      <w:keepNext/>
      <w:spacing w:after="480"/>
      <w:jc w:val="center"/>
    </w:pPr>
    <w:rPr>
      <w:rFonts w:ascii="Arial" w:hAnsi="Arial" w:cs="Arial"/>
      <w:b/>
    </w:rPr>
  </w:style>
  <w:style w:type="paragraph" w:customStyle="1" w:styleId="NormalBold">
    <w:name w:val="NormalBold"/>
    <w:basedOn w:val="Normal"/>
    <w:link w:val="NormalBoldChar"/>
    <w:rsid w:val="00A60117"/>
    <w:rPr>
      <w:b/>
    </w:rPr>
  </w:style>
  <w:style w:type="paragraph" w:customStyle="1" w:styleId="NormalBold12a">
    <w:name w:val="NormalBold12a"/>
    <w:basedOn w:val="Normal"/>
    <w:rsid w:val="00A60117"/>
    <w:pPr>
      <w:spacing w:after="240"/>
    </w:pPr>
    <w:rPr>
      <w:b/>
    </w:rPr>
  </w:style>
  <w:style w:type="paragraph" w:customStyle="1" w:styleId="AmJustText">
    <w:name w:val="AmJustText"/>
    <w:basedOn w:val="Normal"/>
    <w:rsid w:val="00A60117"/>
    <w:pPr>
      <w:spacing w:after="240"/>
    </w:pPr>
    <w:rPr>
      <w:i/>
    </w:rPr>
  </w:style>
  <w:style w:type="paragraph" w:customStyle="1" w:styleId="NormalHanging12a">
    <w:name w:val="NormalHanging12a"/>
    <w:basedOn w:val="Normal"/>
    <w:rsid w:val="00A60117"/>
    <w:pPr>
      <w:spacing w:after="240"/>
      <w:ind w:left="567" w:hanging="567"/>
    </w:pPr>
  </w:style>
  <w:style w:type="paragraph" w:customStyle="1" w:styleId="CoverNormal24a">
    <w:name w:val="CoverNormal24a"/>
    <w:basedOn w:val="Normal"/>
    <w:rsid w:val="00A60117"/>
    <w:pPr>
      <w:spacing w:after="480"/>
      <w:ind w:left="1417"/>
    </w:pPr>
  </w:style>
  <w:style w:type="paragraph" w:customStyle="1" w:styleId="CoverNormal">
    <w:name w:val="CoverNormal"/>
    <w:basedOn w:val="Normal"/>
    <w:rsid w:val="00A60117"/>
    <w:pPr>
      <w:ind w:left="1418"/>
    </w:pPr>
  </w:style>
  <w:style w:type="paragraph" w:customStyle="1" w:styleId="AmCrossRef">
    <w:name w:val="AmCrossRef"/>
    <w:basedOn w:val="Normal"/>
    <w:rsid w:val="00A60117"/>
    <w:pPr>
      <w:spacing w:before="240" w:after="240"/>
      <w:jc w:val="center"/>
    </w:pPr>
    <w:rPr>
      <w:i/>
    </w:rPr>
  </w:style>
  <w:style w:type="paragraph" w:customStyle="1" w:styleId="AmJustTitle">
    <w:name w:val="AmJustTitle"/>
    <w:basedOn w:val="Normal"/>
    <w:next w:val="AmJustText"/>
    <w:rsid w:val="00A60117"/>
    <w:pPr>
      <w:keepNext/>
      <w:spacing w:before="240" w:after="240"/>
      <w:jc w:val="center"/>
    </w:pPr>
    <w:rPr>
      <w:i/>
    </w:rPr>
  </w:style>
  <w:style w:type="paragraph" w:customStyle="1" w:styleId="CoverReference">
    <w:name w:val="CoverReference"/>
    <w:basedOn w:val="Normal"/>
    <w:rsid w:val="00A60117"/>
    <w:pPr>
      <w:spacing w:before="1080"/>
      <w:jc w:val="right"/>
    </w:pPr>
    <w:rPr>
      <w:rFonts w:ascii="Arial" w:hAnsi="Arial" w:cs="Arial"/>
      <w:b/>
    </w:rPr>
  </w:style>
  <w:style w:type="paragraph" w:customStyle="1" w:styleId="CoverDocType">
    <w:name w:val="CoverDocType"/>
    <w:basedOn w:val="Normal"/>
    <w:rsid w:val="00A60117"/>
    <w:pPr>
      <w:ind w:left="1418"/>
    </w:pPr>
    <w:rPr>
      <w:rFonts w:ascii="Arial" w:hAnsi="Arial"/>
      <w:b/>
      <w:sz w:val="48"/>
    </w:rPr>
  </w:style>
  <w:style w:type="paragraph" w:customStyle="1" w:styleId="CoverDocType24a">
    <w:name w:val="CoverDocType24a"/>
    <w:basedOn w:val="Normal"/>
    <w:rsid w:val="00A60117"/>
    <w:pPr>
      <w:spacing w:after="480"/>
      <w:ind w:left="1418"/>
    </w:pPr>
    <w:rPr>
      <w:rFonts w:ascii="Arial" w:hAnsi="Arial"/>
      <w:b/>
      <w:sz w:val="48"/>
    </w:rPr>
  </w:style>
  <w:style w:type="paragraph" w:customStyle="1" w:styleId="CoverDate">
    <w:name w:val="CoverDate"/>
    <w:basedOn w:val="Normal"/>
    <w:rsid w:val="00A60117"/>
    <w:pPr>
      <w:spacing w:before="240" w:after="1200"/>
    </w:pPr>
  </w:style>
  <w:style w:type="paragraph" w:styleId="Header">
    <w:name w:val="header"/>
    <w:basedOn w:val="Normal"/>
    <w:link w:val="HeaderChar"/>
    <w:rsid w:val="00A60117"/>
    <w:pPr>
      <w:tabs>
        <w:tab w:val="center" w:pos="4513"/>
        <w:tab w:val="right" w:pos="9026"/>
      </w:tabs>
    </w:pPr>
  </w:style>
  <w:style w:type="character" w:customStyle="1" w:styleId="HeaderChar">
    <w:name w:val="Header Char"/>
    <w:basedOn w:val="DefaultParagraphFont"/>
    <w:link w:val="Header"/>
    <w:rsid w:val="00A60117"/>
    <w:rPr>
      <w:sz w:val="24"/>
      <w:lang w:val="nl-NL"/>
    </w:rPr>
  </w:style>
  <w:style w:type="paragraph" w:customStyle="1" w:styleId="AmOrLang">
    <w:name w:val="AmOrLang"/>
    <w:basedOn w:val="Normal"/>
    <w:rsid w:val="00A60117"/>
    <w:pPr>
      <w:spacing w:before="240" w:after="240"/>
      <w:jc w:val="right"/>
    </w:pPr>
  </w:style>
  <w:style w:type="paragraph" w:customStyle="1" w:styleId="AmColumnHeading">
    <w:name w:val="AmColumnHeading"/>
    <w:basedOn w:val="Normal"/>
    <w:rsid w:val="00A60117"/>
    <w:pPr>
      <w:spacing w:after="240"/>
      <w:jc w:val="center"/>
    </w:pPr>
    <w:rPr>
      <w:i/>
    </w:rPr>
  </w:style>
  <w:style w:type="paragraph" w:customStyle="1" w:styleId="AmNumberTabs">
    <w:name w:val="AmNumberTabs"/>
    <w:basedOn w:val="Normal"/>
    <w:rsid w:val="00A6011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A60117"/>
    <w:pPr>
      <w:spacing w:before="240"/>
    </w:pPr>
    <w:rPr>
      <w:b/>
    </w:rPr>
  </w:style>
  <w:style w:type="paragraph" w:customStyle="1" w:styleId="EPBody">
    <w:name w:val="EPBody"/>
    <w:basedOn w:val="Normal"/>
    <w:rsid w:val="00A60117"/>
    <w:pPr>
      <w:jc w:val="center"/>
    </w:pPr>
    <w:rPr>
      <w:rFonts w:ascii="Arial" w:hAnsi="Arial" w:cs="Arial"/>
      <w:i/>
      <w:sz w:val="22"/>
      <w:szCs w:val="22"/>
    </w:rPr>
  </w:style>
  <w:style w:type="paragraph" w:customStyle="1" w:styleId="EPFooter">
    <w:name w:val="EPFooter"/>
    <w:basedOn w:val="Normal"/>
    <w:rsid w:val="00A60117"/>
    <w:pPr>
      <w:tabs>
        <w:tab w:val="center" w:pos="4535"/>
        <w:tab w:val="right" w:pos="9071"/>
      </w:tabs>
      <w:spacing w:before="240" w:after="240"/>
    </w:pPr>
    <w:rPr>
      <w:color w:val="010000"/>
      <w:sz w:val="22"/>
    </w:rPr>
  </w:style>
  <w:style w:type="paragraph" w:customStyle="1" w:styleId="EPComma">
    <w:name w:val="EPComma"/>
    <w:basedOn w:val="Normal"/>
    <w:rsid w:val="00A60117"/>
    <w:pPr>
      <w:spacing w:before="480" w:after="240"/>
    </w:pPr>
  </w:style>
  <w:style w:type="paragraph" w:customStyle="1" w:styleId="Lgendesigne">
    <w:name w:val="Légende signe"/>
    <w:basedOn w:val="Normal"/>
    <w:rsid w:val="00A60117"/>
    <w:pPr>
      <w:tabs>
        <w:tab w:val="right" w:pos="454"/>
        <w:tab w:val="left" w:pos="737"/>
      </w:tabs>
      <w:ind w:left="737" w:hanging="737"/>
    </w:pPr>
    <w:rPr>
      <w:snapToGrid w:val="0"/>
      <w:sz w:val="18"/>
      <w:lang w:eastAsia="en-US"/>
    </w:rPr>
  </w:style>
  <w:style w:type="paragraph" w:customStyle="1" w:styleId="Lgendetitre">
    <w:name w:val="Légende titre"/>
    <w:basedOn w:val="Normal"/>
    <w:rsid w:val="00A60117"/>
    <w:pPr>
      <w:spacing w:before="240" w:after="240"/>
    </w:pPr>
    <w:rPr>
      <w:b/>
      <w:i/>
      <w:snapToGrid w:val="0"/>
      <w:lang w:eastAsia="en-US"/>
    </w:rPr>
  </w:style>
  <w:style w:type="paragraph" w:customStyle="1" w:styleId="Lgendestandard">
    <w:name w:val="Légende standard"/>
    <w:basedOn w:val="Normal"/>
    <w:rsid w:val="00A60117"/>
    <w:rPr>
      <w:sz w:val="18"/>
    </w:rPr>
  </w:style>
  <w:style w:type="paragraph" w:customStyle="1" w:styleId="Default">
    <w:name w:val="Default"/>
    <w:rsid w:val="00A60117"/>
    <w:pPr>
      <w:autoSpaceDE w:val="0"/>
      <w:autoSpaceDN w:val="0"/>
      <w:adjustRightInd w:val="0"/>
    </w:pPr>
    <w:rPr>
      <w:color w:val="000000"/>
      <w:sz w:val="24"/>
      <w:szCs w:val="24"/>
      <w:lang w:val="nl-NL"/>
    </w:rPr>
  </w:style>
  <w:style w:type="character" w:customStyle="1" w:styleId="Normal6Char">
    <w:name w:val="Normal6 Char"/>
    <w:basedOn w:val="DefaultParagraphFont"/>
    <w:link w:val="Normal6"/>
    <w:locked/>
    <w:rsid w:val="00A60117"/>
    <w:rPr>
      <w:sz w:val="24"/>
      <w:lang w:val="nl-NL"/>
    </w:rPr>
  </w:style>
  <w:style w:type="paragraph" w:customStyle="1" w:styleId="Normal6">
    <w:name w:val="Normal6"/>
    <w:basedOn w:val="Normal"/>
    <w:link w:val="Normal6Char"/>
    <w:rsid w:val="00A60117"/>
    <w:pPr>
      <w:spacing w:after="120"/>
    </w:pPr>
  </w:style>
  <w:style w:type="character" w:customStyle="1" w:styleId="NormalBoldChar">
    <w:name w:val="NormalBold Char"/>
    <w:basedOn w:val="DefaultParagraphFont"/>
    <w:link w:val="NormalBold"/>
    <w:locked/>
    <w:rsid w:val="00A60117"/>
    <w:rPr>
      <w:b/>
      <w:sz w:val="24"/>
      <w:lang w:val="nl-NL"/>
    </w:rPr>
  </w:style>
  <w:style w:type="paragraph" w:customStyle="1" w:styleId="ColumnHeading">
    <w:name w:val="ColumnHeading"/>
    <w:basedOn w:val="Normal"/>
    <w:rsid w:val="00A60117"/>
    <w:pPr>
      <w:spacing w:after="240"/>
      <w:jc w:val="center"/>
    </w:pPr>
    <w:rPr>
      <w:i/>
    </w:rPr>
  </w:style>
  <w:style w:type="paragraph" w:customStyle="1" w:styleId="AMNumberTabs0">
    <w:name w:val="AMNumberTabs"/>
    <w:basedOn w:val="Normal"/>
    <w:rsid w:val="00A6011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A60117"/>
    <w:pPr>
      <w:jc w:val="right"/>
    </w:pPr>
    <w:rPr>
      <w:lang w:val="nl-NL"/>
    </w:rPr>
  </w:style>
  <w:style w:type="character" w:styleId="Hyperlink">
    <w:name w:val="Hyperlink"/>
    <w:basedOn w:val="DefaultParagraphFont"/>
    <w:uiPriority w:val="99"/>
    <w:unhideWhenUsed/>
    <w:rsid w:val="00A60117"/>
    <w:rPr>
      <w:color w:val="467886"/>
      <w:u w:val="single"/>
    </w:rPr>
  </w:style>
  <w:style w:type="paragraph" w:styleId="Revision">
    <w:name w:val="Revision"/>
    <w:hidden/>
    <w:uiPriority w:val="99"/>
    <w:semiHidden/>
    <w:rsid w:val="00A60117"/>
    <w:rPr>
      <w:sz w:val="24"/>
      <w:lang w:val="nl-NL"/>
    </w:rPr>
  </w:style>
  <w:style w:type="character" w:styleId="CommentReference">
    <w:name w:val="annotation reference"/>
    <w:basedOn w:val="DefaultParagraphFont"/>
    <w:rsid w:val="00A60117"/>
    <w:rPr>
      <w:sz w:val="16"/>
      <w:szCs w:val="16"/>
    </w:rPr>
  </w:style>
  <w:style w:type="paragraph" w:styleId="CommentText">
    <w:name w:val="annotation text"/>
    <w:basedOn w:val="Normal"/>
    <w:link w:val="CommentTextChar"/>
    <w:rsid w:val="00A60117"/>
    <w:rPr>
      <w:sz w:val="20"/>
    </w:rPr>
  </w:style>
  <w:style w:type="character" w:customStyle="1" w:styleId="CommentTextChar">
    <w:name w:val="Comment Text Char"/>
    <w:basedOn w:val="DefaultParagraphFont"/>
    <w:link w:val="CommentText"/>
    <w:rsid w:val="00A60117"/>
    <w:rPr>
      <w:lang w:val="nl-NL"/>
    </w:rPr>
  </w:style>
  <w:style w:type="paragraph" w:styleId="CommentSubject">
    <w:name w:val="annotation subject"/>
    <w:basedOn w:val="CommentText"/>
    <w:next w:val="CommentText"/>
    <w:link w:val="CommentSubjectChar"/>
    <w:unhideWhenUsed/>
    <w:rsid w:val="00A60117"/>
    <w:rPr>
      <w:b/>
      <w:bCs/>
    </w:rPr>
  </w:style>
  <w:style w:type="character" w:customStyle="1" w:styleId="CommentSubjectChar">
    <w:name w:val="Comment Subject Char"/>
    <w:basedOn w:val="CommentTextChar"/>
    <w:link w:val="CommentSubject"/>
    <w:rsid w:val="00A60117"/>
    <w:rPr>
      <w:b/>
      <w:bCs/>
      <w:lang w:val="nl-NL"/>
    </w:rPr>
  </w:style>
  <w:style w:type="character" w:styleId="UnresolvedMention">
    <w:name w:val="Unresolved Mention"/>
    <w:basedOn w:val="DefaultParagraphFont"/>
    <w:uiPriority w:val="99"/>
    <w:semiHidden/>
    <w:unhideWhenUsed/>
    <w:rsid w:val="00A60117"/>
    <w:rPr>
      <w:color w:val="605E5C"/>
      <w:shd w:val="clear" w:color="auto" w:fill="E1DFDD"/>
    </w:rPr>
  </w:style>
  <w:style w:type="character" w:styleId="Emphasis">
    <w:name w:val="Emphasis"/>
    <w:basedOn w:val="DefaultParagraphFont"/>
    <w:uiPriority w:val="20"/>
    <w:qFormat/>
    <w:rsid w:val="00A60117"/>
    <w:rPr>
      <w:i/>
      <w:iCs/>
    </w:rPr>
  </w:style>
  <w:style w:type="paragraph" w:customStyle="1" w:styleId="Normal12a">
    <w:name w:val="Normal12a"/>
    <w:basedOn w:val="Normal"/>
    <w:rsid w:val="00A60117"/>
    <w:pPr>
      <w:spacing w:after="240"/>
    </w:pPr>
  </w:style>
  <w:style w:type="paragraph" w:customStyle="1" w:styleId="PageHeadingNotTOC">
    <w:name w:val="PageHeadingNotTOC"/>
    <w:basedOn w:val="Normal"/>
    <w:rsid w:val="00A60117"/>
    <w:pPr>
      <w:keepNext/>
      <w:spacing w:after="480"/>
      <w:jc w:val="center"/>
    </w:pPr>
    <w:rPr>
      <w:rFonts w:ascii="Arial" w:hAnsi="Arial" w:cs="Arial"/>
      <w:b/>
    </w:rPr>
  </w:style>
  <w:style w:type="paragraph" w:customStyle="1" w:styleId="AmHeadingPA">
    <w:name w:val="AmHeadingPA"/>
    <w:basedOn w:val="Normal"/>
    <w:next w:val="Normal"/>
    <w:rsid w:val="00A60117"/>
    <w:pPr>
      <w:spacing w:before="480" w:after="240"/>
      <w:jc w:val="center"/>
    </w:pPr>
    <w:rPr>
      <w:rFonts w:ascii="Arial" w:hAnsi="Arial"/>
      <w:b/>
      <w:caps/>
      <w:snapToGrid w:val="0"/>
      <w:szCs w:val="24"/>
      <w:lang w:eastAsia="en-US"/>
    </w:rPr>
  </w:style>
  <w:style w:type="paragraph" w:customStyle="1" w:styleId="Normal24a">
    <w:name w:val="Normal24a"/>
    <w:basedOn w:val="Normal"/>
    <w:rsid w:val="00A60117"/>
    <w:pPr>
      <w:spacing w:after="480"/>
    </w:pPr>
    <w:rPr>
      <w:szCs w:val="24"/>
    </w:rPr>
  </w:style>
  <w:style w:type="paragraph" w:customStyle="1" w:styleId="NormalBoldCenter">
    <w:name w:val="NormalBoldCenter"/>
    <w:basedOn w:val="Normal"/>
    <w:rsid w:val="00A60117"/>
    <w:pPr>
      <w:jc w:val="center"/>
    </w:pPr>
    <w:rPr>
      <w:b/>
      <w:szCs w:val="24"/>
    </w:rPr>
  </w:style>
  <w:style w:type="paragraph" w:customStyle="1" w:styleId="Footprint12b">
    <w:name w:val="Footprint12b"/>
    <w:basedOn w:val="Normal"/>
    <w:rsid w:val="00A60117"/>
    <w:pPr>
      <w:spacing w:before="240"/>
    </w:pPr>
    <w:rPr>
      <w:szCs w:val="24"/>
    </w:rPr>
  </w:style>
  <w:style w:type="paragraph" w:customStyle="1" w:styleId="NormalSingle">
    <w:name w:val="NormalSingle"/>
    <w:basedOn w:val="Normal"/>
    <w:qFormat/>
    <w:rsid w:val="00A60117"/>
    <w:rPr>
      <w:szCs w:val="24"/>
    </w:rPr>
  </w:style>
  <w:style w:type="paragraph" w:customStyle="1" w:styleId="RollCallSymbols14pt">
    <w:name w:val="RollCallSymbols14pt"/>
    <w:basedOn w:val="Normal"/>
    <w:rsid w:val="00A60117"/>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A60117"/>
    <w:pPr>
      <w:tabs>
        <w:tab w:val="center" w:pos="284"/>
        <w:tab w:val="left" w:pos="426"/>
      </w:tabs>
    </w:pPr>
    <w:rPr>
      <w:snapToGrid w:val="0"/>
      <w:lang w:eastAsia="en-US"/>
    </w:rPr>
  </w:style>
  <w:style w:type="paragraph" w:customStyle="1" w:styleId="RollCallVotes">
    <w:name w:val="RollCallVotes"/>
    <w:basedOn w:val="Normal"/>
    <w:rsid w:val="00A60117"/>
    <w:pPr>
      <w:spacing w:before="120" w:after="120"/>
      <w:jc w:val="center"/>
    </w:pPr>
    <w:rPr>
      <w:b/>
      <w:bCs/>
      <w:snapToGrid w:val="0"/>
      <w:sz w:val="16"/>
      <w:lang w:eastAsia="en-US"/>
    </w:rPr>
  </w:style>
  <w:style w:type="paragraph" w:customStyle="1" w:styleId="RollCallTable">
    <w:name w:val="RollCallTable"/>
    <w:basedOn w:val="Normal"/>
    <w:rsid w:val="00A60117"/>
    <w:pPr>
      <w:spacing w:before="120" w:after="120"/>
    </w:pPr>
    <w:rPr>
      <w:snapToGrid w:val="0"/>
      <w:sz w:val="16"/>
      <w:lang w:eastAsia="en-US"/>
    </w:rPr>
  </w:style>
  <w:style w:type="paragraph" w:styleId="ListParagraph">
    <w:name w:val="List Paragraph"/>
    <w:basedOn w:val="Normal"/>
    <w:uiPriority w:val="1"/>
    <w:qFormat/>
    <w:rsid w:val="00A60117"/>
    <w:pPr>
      <w:ind w:left="720"/>
      <w:contextualSpacing/>
    </w:pPr>
  </w:style>
  <w:style w:type="paragraph" w:styleId="BodyText">
    <w:name w:val="Body Text"/>
    <w:basedOn w:val="Normal"/>
    <w:link w:val="BodyTextChar"/>
    <w:uiPriority w:val="1"/>
    <w:unhideWhenUsed/>
    <w:qFormat/>
    <w:rsid w:val="00A60117"/>
    <w:pPr>
      <w:autoSpaceDE w:val="0"/>
      <w:autoSpaceDN w:val="0"/>
      <w:spacing w:before="120"/>
    </w:pPr>
    <w:rPr>
      <w:szCs w:val="24"/>
      <w:lang w:eastAsia="en-US"/>
    </w:rPr>
  </w:style>
  <w:style w:type="character" w:customStyle="1" w:styleId="BodyTextChar">
    <w:name w:val="Body Text Char"/>
    <w:basedOn w:val="DefaultParagraphFont"/>
    <w:link w:val="BodyText"/>
    <w:uiPriority w:val="1"/>
    <w:rsid w:val="00A60117"/>
    <w:rPr>
      <w:sz w:val="24"/>
      <w:szCs w:val="24"/>
      <w:lang w:val="nl-NL" w:eastAsia="en-US"/>
    </w:rPr>
  </w:style>
  <w:style w:type="paragraph" w:styleId="Footer">
    <w:name w:val="footer"/>
    <w:basedOn w:val="Normal"/>
    <w:link w:val="FooterChar"/>
    <w:rsid w:val="00A60117"/>
    <w:pPr>
      <w:tabs>
        <w:tab w:val="center" w:pos="4513"/>
        <w:tab w:val="right" w:pos="9026"/>
      </w:tabs>
    </w:pPr>
  </w:style>
  <w:style w:type="character" w:customStyle="1" w:styleId="FooterChar">
    <w:name w:val="Footer Char"/>
    <w:basedOn w:val="DefaultParagraphFont"/>
    <w:link w:val="Footer"/>
    <w:rsid w:val="00A60117"/>
    <w:rPr>
      <w:sz w:val="24"/>
      <w:lang w:val="nl-NL"/>
    </w:rPr>
  </w:style>
  <w:style w:type="paragraph" w:customStyle="1" w:styleId="FootnoteTextForceStyle">
    <w:name w:val="Footnote Text ForceStyle"/>
    <w:rsid w:val="00A17501"/>
    <w:pPr>
      <w:keepLines/>
      <w:spacing w:line="240" w:lineRule="exact"/>
      <w:ind w:left="850" w:hanging="850"/>
    </w:pPr>
    <w:rPr>
      <w:sz w:val="24"/>
      <w:lang w:val="nl-NL" w:eastAsia="en-US"/>
    </w:rPr>
  </w:style>
  <w:style w:type="character" w:customStyle="1" w:styleId="Footer2">
    <w:name w:val="Footer2"/>
    <w:rsid w:val="00A17501"/>
    <w:rPr>
      <w:rFonts w:ascii="Arial" w:hAnsi="Arial"/>
      <w:b/>
      <w:sz w:val="48"/>
    </w:rPr>
  </w:style>
  <w:style w:type="paragraph" w:customStyle="1" w:styleId="Footer1">
    <w:name w:val="Footer1"/>
    <w:basedOn w:val="Normal"/>
    <w:rsid w:val="00A17501"/>
    <w:pPr>
      <w:widowControl/>
      <w:tabs>
        <w:tab w:val="center" w:pos="4534"/>
        <w:tab w:val="right" w:pos="9638"/>
        <w:tab w:val="right" w:pos="10772"/>
      </w:tabs>
      <w:spacing w:before="360" w:line="360" w:lineRule="auto"/>
      <w:ind w:left="-840" w:right="-840"/>
    </w:pPr>
    <w:rPr>
      <w:szCs w:val="24"/>
      <w:lang w:eastAsia="en-US"/>
    </w:rPr>
  </w:style>
  <w:style w:type="character" w:customStyle="1" w:styleId="Hyperlink1">
    <w:name w:val="Hyperlink1"/>
    <w:basedOn w:val="DefaultParagraphFont"/>
    <w:rsid w:val="00A17501"/>
    <w:rPr>
      <w:color w:val="0000FF"/>
      <w:u w:val="single"/>
    </w:rPr>
  </w:style>
  <w:style w:type="paragraph" w:styleId="NormalWeb">
    <w:name w:val="Normal (Web)"/>
    <w:basedOn w:val="Normal"/>
    <w:rsid w:val="00896023"/>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719045">
      <w:bodyDiv w:val="1"/>
      <w:marLeft w:val="0"/>
      <w:marRight w:val="0"/>
      <w:marTop w:val="0"/>
      <w:marBottom w:val="0"/>
      <w:divBdr>
        <w:top w:val="none" w:sz="0" w:space="0" w:color="auto"/>
        <w:left w:val="none" w:sz="0" w:space="0" w:color="auto"/>
        <w:bottom w:val="none" w:sz="0" w:space="0" w:color="auto"/>
        <w:right w:val="none" w:sz="0" w:space="0" w:color="auto"/>
      </w:divBdr>
    </w:div>
    <w:div w:id="1149856758">
      <w:bodyDiv w:val="1"/>
      <w:marLeft w:val="0"/>
      <w:marRight w:val="0"/>
      <w:marTop w:val="0"/>
      <w:marBottom w:val="0"/>
      <w:divBdr>
        <w:top w:val="none" w:sz="0" w:space="0" w:color="auto"/>
        <w:left w:val="none" w:sz="0" w:space="0" w:color="auto"/>
        <w:bottom w:val="none" w:sz="0" w:space="0" w:color="auto"/>
        <w:right w:val="none" w:sz="0" w:space="0" w:color="auto"/>
      </w:divBdr>
      <w:divsChild>
        <w:div w:id="1835678039">
          <w:marLeft w:val="0"/>
          <w:marRight w:val="0"/>
          <w:marTop w:val="0"/>
          <w:marBottom w:val="0"/>
          <w:divBdr>
            <w:top w:val="none" w:sz="0" w:space="0" w:color="auto"/>
            <w:left w:val="none" w:sz="0" w:space="0" w:color="auto"/>
            <w:bottom w:val="none" w:sz="0" w:space="0" w:color="auto"/>
            <w:right w:val="none" w:sz="0" w:space="0" w:color="auto"/>
          </w:divBdr>
          <w:divsChild>
            <w:div w:id="1455254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751244">
      <w:bodyDiv w:val="1"/>
      <w:marLeft w:val="0"/>
      <w:marRight w:val="0"/>
      <w:marTop w:val="0"/>
      <w:marBottom w:val="0"/>
      <w:divBdr>
        <w:top w:val="none" w:sz="0" w:space="0" w:color="auto"/>
        <w:left w:val="none" w:sz="0" w:space="0" w:color="auto"/>
        <w:bottom w:val="none" w:sz="0" w:space="0" w:color="auto"/>
        <w:right w:val="none" w:sz="0" w:space="0" w:color="auto"/>
      </w:divBdr>
      <w:divsChild>
        <w:div w:id="1226188808">
          <w:marLeft w:val="0"/>
          <w:marRight w:val="0"/>
          <w:marTop w:val="0"/>
          <w:marBottom w:val="0"/>
          <w:divBdr>
            <w:top w:val="none" w:sz="0" w:space="0" w:color="auto"/>
            <w:left w:val="none" w:sz="0" w:space="0" w:color="auto"/>
            <w:bottom w:val="none" w:sz="0" w:space="0" w:color="auto"/>
            <w:right w:val="none" w:sz="0" w:space="0" w:color="auto"/>
          </w:divBdr>
          <w:divsChild>
            <w:div w:id="116150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918360">
      <w:bodyDiv w:val="1"/>
      <w:marLeft w:val="0"/>
      <w:marRight w:val="0"/>
      <w:marTop w:val="0"/>
      <w:marBottom w:val="0"/>
      <w:divBdr>
        <w:top w:val="none" w:sz="0" w:space="0" w:color="auto"/>
        <w:left w:val="none" w:sz="0" w:space="0" w:color="auto"/>
        <w:bottom w:val="none" w:sz="0" w:space="0" w:color="auto"/>
        <w:right w:val="none" w:sz="0" w:space="0" w:color="auto"/>
      </w:divBdr>
      <w:divsChild>
        <w:div w:id="2124768005">
          <w:marLeft w:val="0"/>
          <w:marRight w:val="0"/>
          <w:marTop w:val="0"/>
          <w:marBottom w:val="0"/>
          <w:divBdr>
            <w:top w:val="none" w:sz="0" w:space="0" w:color="auto"/>
            <w:left w:val="none" w:sz="0" w:space="0" w:color="auto"/>
            <w:bottom w:val="none" w:sz="0" w:space="0" w:color="auto"/>
            <w:right w:val="none" w:sz="0" w:space="0" w:color="auto"/>
          </w:divBdr>
          <w:divsChild>
            <w:div w:id="206328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374438">
      <w:bodyDiv w:val="1"/>
      <w:marLeft w:val="0"/>
      <w:marRight w:val="0"/>
      <w:marTop w:val="0"/>
      <w:marBottom w:val="0"/>
      <w:divBdr>
        <w:top w:val="none" w:sz="0" w:space="0" w:color="auto"/>
        <w:left w:val="none" w:sz="0" w:space="0" w:color="auto"/>
        <w:bottom w:val="none" w:sz="0" w:space="0" w:color="auto"/>
        <w:right w:val="none" w:sz="0" w:space="0" w:color="auto"/>
      </w:divBdr>
      <w:divsChild>
        <w:div w:id="1409494895">
          <w:marLeft w:val="0"/>
          <w:marRight w:val="0"/>
          <w:marTop w:val="0"/>
          <w:marBottom w:val="0"/>
          <w:divBdr>
            <w:top w:val="none" w:sz="0" w:space="0" w:color="auto"/>
            <w:left w:val="none" w:sz="0" w:space="0" w:color="auto"/>
            <w:bottom w:val="none" w:sz="0" w:space="0" w:color="auto"/>
            <w:right w:val="none" w:sz="0" w:space="0" w:color="auto"/>
          </w:divBdr>
          <w:divsChild>
            <w:div w:id="80362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511205">
      <w:bodyDiv w:val="1"/>
      <w:marLeft w:val="0"/>
      <w:marRight w:val="0"/>
      <w:marTop w:val="0"/>
      <w:marBottom w:val="0"/>
      <w:divBdr>
        <w:top w:val="none" w:sz="0" w:space="0" w:color="auto"/>
        <w:left w:val="none" w:sz="0" w:space="0" w:color="auto"/>
        <w:bottom w:val="none" w:sz="0" w:space="0" w:color="auto"/>
        <w:right w:val="none" w:sz="0" w:space="0" w:color="auto"/>
      </w:divBdr>
      <w:divsChild>
        <w:div w:id="234122894">
          <w:marLeft w:val="0"/>
          <w:marRight w:val="0"/>
          <w:marTop w:val="0"/>
          <w:marBottom w:val="0"/>
          <w:divBdr>
            <w:top w:val="none" w:sz="0" w:space="0" w:color="auto"/>
            <w:left w:val="none" w:sz="0" w:space="0" w:color="auto"/>
            <w:bottom w:val="none" w:sz="0" w:space="0" w:color="auto"/>
            <w:right w:val="none" w:sz="0" w:space="0" w:color="auto"/>
          </w:divBdr>
          <w:divsChild>
            <w:div w:id="693768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560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14/833/oj" TargetMode="External"/><Relationship Id="rId1" Type="http://schemas.openxmlformats.org/officeDocument/2006/relationships/hyperlink" Target="http://data.europa.eu/eli/dec/2014/5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645</Words>
  <Characters>3904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 EP Luuk Eegdeman</dc:creator>
  <cp:keywords/>
  <cp:lastModifiedBy>BINKEVICIUTE Aurelija</cp:lastModifiedBy>
  <cp:revision>3</cp:revision>
  <cp:lastPrinted>2004-11-19T15:42:00Z</cp:lastPrinted>
  <dcterms:created xsi:type="dcterms:W3CDTF">2026-07-01T15:33:00Z</dcterms:created>
  <dcterms:modified xsi:type="dcterms:W3CDTF">2026-07-23T07:52:00Z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P10_TA(2026)0170_</vt:lpwstr>
  </property>
  <property fmtid="{D5CDD505-2E9C-101B-9397-08002B2CF9AE}" pid="4" name="&lt;Type&gt;">
    <vt:lpwstr>RR</vt:lpwstr>
  </property>
</Properties>
</file>