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70DD" w14:paraId="7A501CA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C377F6" w14:textId="77777777" w:rsidR="00751A4A" w:rsidRPr="00B670DD" w:rsidRDefault="002C3C23" w:rsidP="0010095E">
            <w:pPr>
              <w:pStyle w:val="EPName"/>
            </w:pPr>
            <w:r w:rsidRPr="00B670DD">
              <w:t>Parlament Europejski</w:t>
            </w:r>
          </w:p>
          <w:p w14:paraId="37DE046A" w14:textId="77777777" w:rsidR="00751A4A" w:rsidRPr="00B670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70DD">
              <w:t>2024</w:t>
            </w:r>
            <w:r w:rsidR="00817416" w:rsidRPr="00B670DD">
              <w:t>-202</w:t>
            </w:r>
            <w:r w:rsidRPr="00B670DD">
              <w:t>9</w:t>
            </w:r>
          </w:p>
        </w:tc>
        <w:tc>
          <w:tcPr>
            <w:tcW w:w="2268" w:type="dxa"/>
            <w:shd w:val="clear" w:color="auto" w:fill="auto"/>
          </w:tcPr>
          <w:p w14:paraId="5B5C2DA6" w14:textId="77777777" w:rsidR="00751A4A" w:rsidRPr="00B670DD" w:rsidRDefault="00187494" w:rsidP="0010095E">
            <w:pPr>
              <w:pStyle w:val="EPLogo"/>
            </w:pPr>
            <w:r w:rsidRPr="00B670DD">
              <w:rPr>
                <w:noProof/>
                <w:lang w:eastAsia="ja-JP"/>
              </w:rPr>
              <w:drawing>
                <wp:inline distT="0" distB="0" distL="0" distR="0" wp14:anchorId="7948DCCA" wp14:editId="7B4B1C9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6853B0" w14:textId="77777777" w:rsidR="00D058B8" w:rsidRPr="00B670DD" w:rsidRDefault="00D058B8" w:rsidP="004C5D52">
      <w:pPr>
        <w:pStyle w:val="LineTop"/>
      </w:pPr>
    </w:p>
    <w:p w14:paraId="335F6E1D" w14:textId="77777777" w:rsidR="00680577" w:rsidRPr="00B670DD" w:rsidRDefault="002C3C23" w:rsidP="00680577">
      <w:pPr>
        <w:pStyle w:val="EPBodyTA1"/>
      </w:pPr>
      <w:r w:rsidRPr="00B670DD">
        <w:t>TEKSTY PRZYJĘTE</w:t>
      </w:r>
    </w:p>
    <w:p w14:paraId="6F102D04" w14:textId="77777777" w:rsidR="00D058B8" w:rsidRPr="00B670DD" w:rsidRDefault="00D058B8" w:rsidP="00D058B8">
      <w:pPr>
        <w:pStyle w:val="LineBottom"/>
      </w:pPr>
    </w:p>
    <w:p w14:paraId="5A9BF487" w14:textId="0DAD4FFE" w:rsidR="002C3C23" w:rsidRPr="00B670DD" w:rsidRDefault="002C3C23" w:rsidP="002C3C23">
      <w:pPr>
        <w:pStyle w:val="ATHeading1"/>
      </w:pPr>
      <w:bookmarkStart w:id="0" w:name="TANumber"/>
      <w:r w:rsidRPr="00B670DD">
        <w:t>P10_TA(2026)0</w:t>
      </w:r>
      <w:r w:rsidR="004402D9">
        <w:t>17</w:t>
      </w:r>
      <w:r w:rsidRPr="00B670DD">
        <w:t>0</w:t>
      </w:r>
      <w:bookmarkEnd w:id="0"/>
    </w:p>
    <w:p w14:paraId="2C00C579" w14:textId="77777777" w:rsidR="002C3C23" w:rsidRPr="00B670DD" w:rsidRDefault="002C3C23" w:rsidP="002C3C23">
      <w:pPr>
        <w:pStyle w:val="ATHeading2"/>
      </w:pPr>
      <w:bookmarkStart w:id="1" w:name="title"/>
      <w:r w:rsidRPr="00B670DD">
        <w:t>Związane z handlem negatywne skutki globalnych nadwyżek mocy produkcyjnych na unijnym rynku stali</w:t>
      </w:r>
      <w:bookmarkEnd w:id="1"/>
    </w:p>
    <w:p w14:paraId="34A4720C" w14:textId="77777777" w:rsidR="002C3C23" w:rsidRPr="00B670DD" w:rsidRDefault="002C3C23" w:rsidP="002C3C23">
      <w:pPr>
        <w:rPr>
          <w:i/>
          <w:vanish/>
        </w:rPr>
      </w:pPr>
      <w:r w:rsidRPr="00B670DD">
        <w:rPr>
          <w:i/>
        </w:rPr>
        <w:fldChar w:fldCharType="begin"/>
      </w:r>
      <w:r w:rsidRPr="00B670DD">
        <w:rPr>
          <w:i/>
        </w:rPr>
        <w:instrText xml:space="preserve"> TC"(</w:instrText>
      </w:r>
      <w:bookmarkStart w:id="2" w:name="DocNumber"/>
      <w:r w:rsidRPr="00B670DD">
        <w:rPr>
          <w:i/>
        </w:rPr>
        <w:instrText>A10-0012/2026</w:instrText>
      </w:r>
      <w:bookmarkEnd w:id="2"/>
      <w:r w:rsidRPr="00B670DD">
        <w:rPr>
          <w:i/>
        </w:rPr>
        <w:instrText xml:space="preserve"> - Sprawozdawca: Karin Karlsbro)"\l3 \n&gt; \* MERGEFORMAT </w:instrText>
      </w:r>
      <w:r w:rsidRPr="00B670DD">
        <w:rPr>
          <w:i/>
        </w:rPr>
        <w:fldChar w:fldCharType="end"/>
      </w:r>
    </w:p>
    <w:p w14:paraId="23B80DF4" w14:textId="77777777" w:rsidR="002C3C23" w:rsidRPr="00B670DD" w:rsidRDefault="002C3C23" w:rsidP="002C3C23">
      <w:pPr>
        <w:rPr>
          <w:vanish/>
        </w:rPr>
      </w:pPr>
      <w:bookmarkStart w:id="3" w:name="Commission"/>
      <w:r w:rsidRPr="00B670DD">
        <w:rPr>
          <w:vanish/>
        </w:rPr>
        <w:t>Komisja Handlu Międzynarodowego</w:t>
      </w:r>
      <w:bookmarkEnd w:id="3"/>
    </w:p>
    <w:p w14:paraId="66FC0A14" w14:textId="77777777" w:rsidR="002C3C23" w:rsidRPr="00B670DD" w:rsidRDefault="002C3C23" w:rsidP="002C3C23">
      <w:pPr>
        <w:rPr>
          <w:vanish/>
        </w:rPr>
      </w:pPr>
      <w:bookmarkStart w:id="4" w:name="PE"/>
      <w:r w:rsidRPr="00B670DD">
        <w:rPr>
          <w:vanish/>
        </w:rPr>
        <w:t>PE779.727</w:t>
      </w:r>
      <w:bookmarkEnd w:id="4"/>
    </w:p>
    <w:p w14:paraId="6E1B8332" w14:textId="3A485CB7" w:rsidR="002C3C23" w:rsidRPr="00B670DD" w:rsidRDefault="002C3C23" w:rsidP="002C3C23">
      <w:pPr>
        <w:pStyle w:val="ATHeading3"/>
      </w:pPr>
      <w:bookmarkStart w:id="5" w:name="Sujet"/>
      <w:r w:rsidRPr="00B670DD">
        <w:t xml:space="preserve">Rezolucja ustawodawcza Parlamentu Europejskiego z dnia </w:t>
      </w:r>
      <w:r w:rsidR="000F397E">
        <w:t xml:space="preserve">19 maja </w:t>
      </w:r>
      <w:r w:rsidRPr="00B670DD">
        <w:t>2026 r. w sprawie wniosku dotyczącego rozporządzenia Parlamentu Europejskiego i Rady w sprawie przeciwdziałania związanym z handlem negatywnym skutkom globalnych nadwyżek mocy produkcyjnych na unijnym rynku stali</w:t>
      </w:r>
      <w:bookmarkEnd w:id="5"/>
      <w:r w:rsidRPr="00B670DD">
        <w:t xml:space="preserve"> </w:t>
      </w:r>
      <w:bookmarkStart w:id="6" w:name="References"/>
      <w:r w:rsidRPr="00B670DD">
        <w:t>(COM(2025)0726 – C10-0245/2025 – 2025/0726(COD))</w:t>
      </w:r>
      <w:bookmarkEnd w:id="6"/>
    </w:p>
    <w:p w14:paraId="7AC680B1" w14:textId="77777777" w:rsidR="007C2030" w:rsidRPr="00B670DD" w:rsidRDefault="007C2030" w:rsidP="007C2030">
      <w:pPr>
        <w:pStyle w:val="NormalBold"/>
      </w:pPr>
      <w:r w:rsidRPr="00B670DD">
        <w:t>(Zwykła procedura ustawodawcza: pierwsze czytanie)</w:t>
      </w:r>
    </w:p>
    <w:p w14:paraId="2C4403A8" w14:textId="77777777" w:rsidR="007C2030" w:rsidRPr="00B670DD" w:rsidRDefault="007C2030" w:rsidP="007C2030">
      <w:pPr>
        <w:pStyle w:val="EPComma"/>
      </w:pPr>
      <w:r w:rsidRPr="00B670DD">
        <w:rPr>
          <w:i/>
        </w:rPr>
        <w:t>Parlament Europejski</w:t>
      </w:r>
      <w:r w:rsidRPr="00B670DD">
        <w:t>,</w:t>
      </w:r>
    </w:p>
    <w:p w14:paraId="484D1986" w14:textId="77777777" w:rsidR="007C2030" w:rsidRPr="00B670DD" w:rsidRDefault="007C2030" w:rsidP="007C2030">
      <w:pPr>
        <w:pStyle w:val="NormalHanging12a"/>
      </w:pPr>
      <w:r w:rsidRPr="00B670DD">
        <w:t>–</w:t>
      </w:r>
      <w:r w:rsidRPr="00B670DD">
        <w:tab/>
        <w:t>uwzględniając wniosek Komisji przedstawiony Parlamentowi Europejskiemu i Radzie (COM(2025)0726),</w:t>
      </w:r>
    </w:p>
    <w:p w14:paraId="50D90D2F" w14:textId="77777777" w:rsidR="007C2030" w:rsidRPr="00B670DD" w:rsidRDefault="007C2030" w:rsidP="007C2030">
      <w:pPr>
        <w:pStyle w:val="NormalHanging12a"/>
      </w:pPr>
      <w:r w:rsidRPr="00B670DD">
        <w:t>–</w:t>
      </w:r>
      <w:r w:rsidRPr="00B670DD">
        <w:tab/>
        <w:t>uwzględniając art. 294 ust. 2 oraz art. 207 ust. 2 Traktatu o funkcjonowaniu Unii Europejskiej, zgodnie z którymi Komisja przedstawiła wniosek Parlamentowi (C10</w:t>
      </w:r>
      <w:r w:rsidRPr="00B670DD">
        <w:noBreakHyphen/>
        <w:t>0245/2025),</w:t>
      </w:r>
    </w:p>
    <w:p w14:paraId="31DBA64E" w14:textId="77777777" w:rsidR="007C2030" w:rsidRDefault="007C2030" w:rsidP="007C2030">
      <w:pPr>
        <w:pStyle w:val="NormalHanging12a"/>
      </w:pPr>
      <w:r w:rsidRPr="00B670DD">
        <w:t>–</w:t>
      </w:r>
      <w:r w:rsidRPr="00B670DD">
        <w:tab/>
        <w:t>uwzględniając art. 294 ust. 3 Traktatu o funkcjonowaniu Unii Europejskiej,</w:t>
      </w:r>
    </w:p>
    <w:p w14:paraId="5F351320" w14:textId="58C505A4" w:rsidR="002D426A" w:rsidRPr="00B670DD" w:rsidRDefault="00692F31" w:rsidP="007C2030">
      <w:pPr>
        <w:pStyle w:val="NormalHanging12a"/>
      </w:pPr>
      <w:bookmarkStart w:id="7" w:name="_Hlk211842926"/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75</w:t>
      </w:r>
      <w:r w:rsidRPr="0090212C">
        <w:t xml:space="preserve"> ust. 4 Regulaminu oraz </w:t>
      </w:r>
      <w:r>
        <w:t>przekazane pismem z dnia 23 kwietnia 2026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7"/>
    </w:p>
    <w:p w14:paraId="5287DD32" w14:textId="77777777" w:rsidR="007C2030" w:rsidRPr="00B670DD" w:rsidRDefault="007C2030" w:rsidP="007C2030">
      <w:pPr>
        <w:pStyle w:val="NormalHanging12a"/>
      </w:pPr>
      <w:r w:rsidRPr="00B670DD">
        <w:t>–</w:t>
      </w:r>
      <w:r w:rsidRPr="00B670DD">
        <w:tab/>
        <w:t>uwzględniając art. 60 Regulaminu,</w:t>
      </w:r>
    </w:p>
    <w:p w14:paraId="413D9F5B" w14:textId="77777777" w:rsidR="007C2030" w:rsidRPr="00B670DD" w:rsidRDefault="007C2030" w:rsidP="007C2030">
      <w:pPr>
        <w:pStyle w:val="NormalHanging12a"/>
      </w:pPr>
      <w:r w:rsidRPr="00B670DD">
        <w:t>–</w:t>
      </w:r>
      <w:r w:rsidRPr="00B670DD">
        <w:tab/>
        <w:t>uwzględniając opinię przedstawioną przez Komisję Przemysłu, Badań Naukowych i Energii,</w:t>
      </w:r>
    </w:p>
    <w:p w14:paraId="741737E1" w14:textId="77777777" w:rsidR="007C2030" w:rsidRPr="00B670DD" w:rsidRDefault="007C2030" w:rsidP="007C2030">
      <w:pPr>
        <w:pStyle w:val="NormalHanging12a"/>
      </w:pPr>
      <w:r w:rsidRPr="00B670DD">
        <w:t>–</w:t>
      </w:r>
      <w:r w:rsidRPr="00B670DD">
        <w:tab/>
        <w:t>uwzględniając sprawozdanie Komisji Handlu Międzynarodowego (A10-0012/2026),</w:t>
      </w:r>
    </w:p>
    <w:p w14:paraId="39C79A11" w14:textId="77777777" w:rsidR="007C2030" w:rsidRDefault="007C2030" w:rsidP="007C2030">
      <w:pPr>
        <w:pStyle w:val="NormalHanging12a"/>
      </w:pPr>
      <w:r w:rsidRPr="00B670DD">
        <w:t>1.</w:t>
      </w:r>
      <w:r w:rsidRPr="00B670DD">
        <w:tab/>
        <w:t>przyjmuje poniższe stanowisko w pierwszym czytaniu;</w:t>
      </w:r>
    </w:p>
    <w:p w14:paraId="6B4F178A" w14:textId="3F82B51C" w:rsidR="002D426A" w:rsidRPr="002D426A" w:rsidRDefault="002D426A" w:rsidP="007C2030">
      <w:pPr>
        <w:pStyle w:val="NormalHanging12a"/>
        <w:rPr>
          <w:bCs/>
          <w:iCs/>
        </w:rPr>
      </w:pPr>
      <w:r>
        <w:rPr>
          <w:bCs/>
          <w:iCs/>
        </w:rPr>
        <w:t>2</w:t>
      </w:r>
      <w:r w:rsidRPr="00DC39F4">
        <w:rPr>
          <w:bCs/>
          <w:iCs/>
        </w:rPr>
        <w:t xml:space="preserve">. </w:t>
      </w:r>
      <w:r>
        <w:rPr>
          <w:bCs/>
          <w:iCs/>
        </w:rPr>
        <w:tab/>
      </w:r>
      <w:r w:rsidRPr="00DC39F4">
        <w:rPr>
          <w:bCs/>
          <w:iCs/>
        </w:rPr>
        <w:t xml:space="preserve">zatwierdza wspólne oświadczenie Parlamentu Europejskiego, Rady i Komisji załączone do niniejszej rezolucji, które zostanie opublikowane w serii C </w:t>
      </w:r>
      <w:r w:rsidRPr="00DC39F4">
        <w:rPr>
          <w:bCs/>
          <w:i/>
        </w:rPr>
        <w:t xml:space="preserve">Dziennika Urzędowego </w:t>
      </w:r>
      <w:r w:rsidRPr="00DC39F4">
        <w:rPr>
          <w:bCs/>
          <w:i/>
        </w:rPr>
        <w:lastRenderedPageBreak/>
        <w:t>Unii Europejskiej</w:t>
      </w:r>
      <w:r w:rsidRPr="00DC39F4">
        <w:rPr>
          <w:bCs/>
          <w:iCs/>
        </w:rPr>
        <w:t>;</w:t>
      </w:r>
    </w:p>
    <w:p w14:paraId="396E443C" w14:textId="686F99E9" w:rsidR="007C2030" w:rsidRPr="00B670DD" w:rsidRDefault="002D426A" w:rsidP="007C2030">
      <w:pPr>
        <w:pStyle w:val="NormalHanging12a"/>
      </w:pPr>
      <w:r>
        <w:t>3</w:t>
      </w:r>
      <w:r w:rsidR="007C2030" w:rsidRPr="00B670DD">
        <w:t>.</w:t>
      </w:r>
      <w:r w:rsidR="007C2030" w:rsidRPr="00B670DD">
        <w:tab/>
        <w:t>zwraca się do Komisji o ponowne przekazanie mu sprawy, jeśli zastąpi ona pierwotny wniosek, wprowadzi w nim istotne zmiany lub planuje ich wprowadzenie;</w:t>
      </w:r>
    </w:p>
    <w:p w14:paraId="49833E9F" w14:textId="1C7064A6" w:rsidR="002D426A" w:rsidRDefault="002D426A" w:rsidP="007C2030">
      <w:pPr>
        <w:pStyle w:val="NormalHanging12a"/>
        <w:sectPr w:rsidR="002D426A" w:rsidSect="00B670D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4</w:t>
      </w:r>
      <w:r w:rsidR="007C2030" w:rsidRPr="00B670DD">
        <w:t>.</w:t>
      </w:r>
      <w:r w:rsidR="007C2030" w:rsidRPr="00B670DD">
        <w:tab/>
        <w:t>zobowiązuje swoją przewodniczącą do przekazania stanowiska Parlamentu Radzie i Komisji oraz parlamentom narodowym.</w:t>
      </w:r>
    </w:p>
    <w:p w14:paraId="0738434E" w14:textId="0AB078E6" w:rsidR="00692F31" w:rsidRDefault="002D426A" w:rsidP="00692F31">
      <w:pPr>
        <w:spacing w:after="240"/>
        <w:rPr>
          <w:b/>
        </w:rPr>
      </w:pPr>
      <w:r>
        <w:rPr>
          <w:b/>
        </w:rPr>
        <w:lastRenderedPageBreak/>
        <w:t>P10_TC1-COD(20</w:t>
      </w:r>
      <w:r w:rsidR="00692F31">
        <w:rPr>
          <w:b/>
        </w:rPr>
        <w:t>25</w:t>
      </w:r>
      <w:r>
        <w:rPr>
          <w:b/>
        </w:rPr>
        <w:t>)0</w:t>
      </w:r>
      <w:r w:rsidR="00692F31">
        <w:rPr>
          <w:b/>
        </w:rPr>
        <w:t>726</w:t>
      </w:r>
    </w:p>
    <w:p w14:paraId="79814623" w14:textId="5C90F035" w:rsidR="002D426A" w:rsidRPr="00283FC8" w:rsidRDefault="002D426A" w:rsidP="00692F31">
      <w:pPr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="00692F31">
        <w:rPr>
          <w:b/>
        </w:rPr>
        <w:t>19 maja</w:t>
      </w:r>
      <w:r>
        <w:rPr>
          <w:b/>
        </w:rPr>
        <w:t xml:space="preserve"> 202</w:t>
      </w:r>
      <w:r w:rsidR="00692F31">
        <w:rPr>
          <w:b/>
        </w:rPr>
        <w:t>6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</w:t>
      </w:r>
      <w:r w:rsidR="00692F31">
        <w:rPr>
          <w:b/>
        </w:rPr>
        <w:t>6</w:t>
      </w:r>
      <w:r>
        <w:rPr>
          <w:b/>
        </w:rPr>
        <w:t>/...</w:t>
      </w:r>
      <w:r w:rsidR="00692F31">
        <w:rPr>
          <w:b/>
        </w:rPr>
        <w:t xml:space="preserve"> </w:t>
      </w:r>
      <w:r w:rsidRPr="00DF6AB2">
        <w:rPr>
          <w:b/>
        </w:rPr>
        <w:t xml:space="preserve">w sprawie przeciwdziałania związanym z handlem negatywnym skutkom globalnych nadwyżek mocy produkcyjnych na unijnym rynku stali </w:t>
      </w:r>
      <w:r w:rsidRPr="00283FC8">
        <w:rPr>
          <w:b/>
        </w:rPr>
        <w:t>oraz zmiany rozporządzenia (UE) 2020/2170</w:t>
      </w:r>
    </w:p>
    <w:p w14:paraId="15577CB8" w14:textId="77777777" w:rsidR="00283FC8" w:rsidRDefault="00283FC8" w:rsidP="00692F31">
      <w:pPr>
        <w:rPr>
          <w:b/>
          <w:i/>
          <w:iCs/>
        </w:rPr>
      </w:pPr>
    </w:p>
    <w:p w14:paraId="537CB5DE" w14:textId="77777777" w:rsidR="00283FC8" w:rsidRPr="00DF6AB2" w:rsidRDefault="00283FC8" w:rsidP="00692F31">
      <w:pPr>
        <w:rPr>
          <w:b/>
          <w:bCs/>
        </w:rPr>
      </w:pPr>
    </w:p>
    <w:p w14:paraId="35233B9F" w14:textId="19C6CB0B" w:rsidR="002D426A" w:rsidRDefault="00283FC8" w:rsidP="002D426A">
      <w:pPr>
        <w:sectPr w:rsidR="002D426A" w:rsidSect="002D426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</w:t>
      </w:r>
      <w:r>
        <w:rPr>
          <w:i/>
        </w:rPr>
        <w:t>6</w:t>
      </w:r>
      <w:r w:rsidRPr="009B0F34">
        <w:rPr>
          <w:i/>
        </w:rPr>
        <w:t>/</w:t>
      </w:r>
      <w:r>
        <w:rPr>
          <w:i/>
        </w:rPr>
        <w:t>1384</w:t>
      </w:r>
      <w:r w:rsidRPr="009B0F34">
        <w:rPr>
          <w:i/>
        </w:rPr>
        <w:t>.)</w:t>
      </w:r>
    </w:p>
    <w:p w14:paraId="15AF84C7" w14:textId="0CD79C44" w:rsidR="00AD058A" w:rsidRDefault="00AD058A" w:rsidP="00DC39F4">
      <w:pPr>
        <w:jc w:val="right"/>
      </w:pPr>
      <w:r>
        <w:lastRenderedPageBreak/>
        <w:t>ZAŁĄCZNIK DO REZOLUCJI USTAWODAWCZEJ</w:t>
      </w:r>
    </w:p>
    <w:p w14:paraId="5D72BA9D" w14:textId="756A341F" w:rsidR="002D426A" w:rsidRPr="00135F63" w:rsidRDefault="002D426A" w:rsidP="00DC39F4">
      <w:pPr>
        <w:spacing w:before="360"/>
        <w:rPr>
          <w:b/>
          <w:bCs/>
        </w:rPr>
      </w:pPr>
      <w:r w:rsidRPr="00135F63">
        <w:rPr>
          <w:b/>
        </w:rPr>
        <w:t>Wspólne oświadczenie Parlamentu Europejskiego, Rady i Komisji</w:t>
      </w:r>
      <w:r>
        <w:rPr>
          <w:b/>
        </w:rPr>
        <w:t xml:space="preserve"> </w:t>
      </w:r>
      <w:r w:rsidRPr="00135F63">
        <w:rPr>
          <w:b/>
        </w:rPr>
        <w:t>w</w:t>
      </w:r>
      <w:r>
        <w:rPr>
          <w:b/>
        </w:rPr>
        <w:t> </w:t>
      </w:r>
      <w:r w:rsidRPr="00135F63">
        <w:rPr>
          <w:b/>
        </w:rPr>
        <w:t xml:space="preserve">sprawie przywozu wyrobów stalowych z Rosji </w:t>
      </w:r>
    </w:p>
    <w:p w14:paraId="156DF86C" w14:textId="77777777" w:rsidR="002D426A" w:rsidRPr="00135F63" w:rsidRDefault="002D426A" w:rsidP="002D426A"/>
    <w:p w14:paraId="36E0037A" w14:textId="77777777" w:rsidR="002D426A" w:rsidRPr="00135F63" w:rsidRDefault="002D426A" w:rsidP="002D426A">
      <w:r w:rsidRPr="00135F63">
        <w:t>Od początku wojny Unia i jej państwa członkowskie podjęły bezprecedensowe środki, aby zmniejszyć zależność gospodarczą od Rosji i doprowadzić do tego, by działalność gospodarcza Unii nie przyczyniała się do utrzymywania zdolności Rosji do prowadzenia wojny.</w:t>
      </w:r>
    </w:p>
    <w:p w14:paraId="4AF23AA8" w14:textId="77777777" w:rsidR="002D426A" w:rsidRPr="00135F63" w:rsidRDefault="002D426A" w:rsidP="002D426A"/>
    <w:p w14:paraId="49C128FB" w14:textId="77777777" w:rsidR="002D426A" w:rsidRPr="00135F63" w:rsidRDefault="002D426A" w:rsidP="002D426A">
      <w:r w:rsidRPr="00135F63">
        <w:t>Dzięki tym środkom znacznie ograniczono przepływy handlowe w wielu sektorach, w tym w</w:t>
      </w:r>
      <w:r>
        <w:t> </w:t>
      </w:r>
      <w:r w:rsidRPr="00135F63">
        <w:t>sektorze stali, przyspieszono oddzielenie płatności od produkcji i przyczyniono się do zwiększenia odporności Unii, a jednocześnie wykazano, że Unia potrafi działać w sposób jednolity i zdecydowany, gdy zagrożone są jej wartości i interesy strategiczne.</w:t>
      </w:r>
    </w:p>
    <w:p w14:paraId="124DF8E2" w14:textId="77777777" w:rsidR="002D426A" w:rsidRPr="00135F63" w:rsidRDefault="002D426A" w:rsidP="002D426A"/>
    <w:p w14:paraId="5451A575" w14:textId="77777777" w:rsidR="002D426A" w:rsidRPr="00135F63" w:rsidRDefault="002D426A" w:rsidP="002D426A">
      <w:r w:rsidRPr="00135F63">
        <w:t>Jednocześnie Unia musi w dalszym ciągu poświęcać uwagę tym obszarom, w których utrzymują się zależności, w szczególności w przypadku niektórych wyrobów ze stali, których przywóz nie jest jeszcze w pełni zakazany.</w:t>
      </w:r>
    </w:p>
    <w:p w14:paraId="5B454B8D" w14:textId="77777777" w:rsidR="002D426A" w:rsidRPr="00135F63" w:rsidRDefault="002D426A" w:rsidP="002D426A"/>
    <w:p w14:paraId="0C703618" w14:textId="77777777" w:rsidR="002D426A" w:rsidRPr="00135F63" w:rsidRDefault="002D426A" w:rsidP="002D426A">
      <w:r w:rsidRPr="00135F63">
        <w:t>W szczególności do 30 września 2028 r. przewiduje się utrzymanie w sektorze stalowym ograniczonej części przywozu z Rosji, zgodnie z ustaleniami przejściowymi określonymi w</w:t>
      </w:r>
      <w:r>
        <w:t> </w:t>
      </w:r>
      <w:r w:rsidRPr="00135F63">
        <w:t>odpowiednich środkach ograniczających przyjętych przez Radę</w:t>
      </w:r>
      <w:r w:rsidRPr="00135F63">
        <w:rPr>
          <w:rStyle w:val="FootnoteReference"/>
        </w:rPr>
        <w:footnoteReference w:id="1"/>
      </w:r>
      <w:r w:rsidRPr="00135F63">
        <w:t>. Aby zapewnić stopniową i</w:t>
      </w:r>
      <w:r>
        <w:t> </w:t>
      </w:r>
      <w:r w:rsidRPr="00135F63">
        <w:t>stałą dywersyfikację, przywóz ten jest ograniczony kontyngentami, których wielkość zmniejsza się z roku na rok.</w:t>
      </w:r>
    </w:p>
    <w:p w14:paraId="47D7F057" w14:textId="77777777" w:rsidR="002D426A" w:rsidRPr="00135F63" w:rsidRDefault="002D426A" w:rsidP="002D426A"/>
    <w:p w14:paraId="08AB77E5" w14:textId="065E7503" w:rsidR="002D426A" w:rsidRPr="00247DC9" w:rsidRDefault="002D426A" w:rsidP="002D426A">
      <w:r w:rsidRPr="00135F63">
        <w:t>Przywołując ramy instytucjonalne mające zastosowanie do środków ograniczających, Parlament Europejski, Rada i Komisja podkreślają, że odpowiednie środki ograniczające przyjęte przez Radę tworzą podstawę stopniowego procesu prowadzącego do całkowitego wyeliminowania pozostałej części przywozu rosyjskich wyrobów stalowych, w</w:t>
      </w:r>
      <w:r>
        <w:t> </w:t>
      </w:r>
      <w:r w:rsidRPr="00135F63">
        <w:t>szczególności płyt stalowych, do 30 września 2028 r.</w:t>
      </w:r>
    </w:p>
    <w:sectPr w:rsidR="002D426A" w:rsidRPr="00247DC9" w:rsidSect="002D426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482B4" w14:textId="77777777" w:rsidR="002C3C23" w:rsidRPr="00B670DD" w:rsidRDefault="002C3C23">
      <w:r w:rsidRPr="00B670DD">
        <w:separator/>
      </w:r>
    </w:p>
  </w:endnote>
  <w:endnote w:type="continuationSeparator" w:id="0">
    <w:p w14:paraId="7F1C482E" w14:textId="77777777" w:rsidR="002C3C23" w:rsidRPr="00B670DD" w:rsidRDefault="002C3C23">
      <w:r w:rsidRPr="00B670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FE4BF" w14:textId="77777777" w:rsidR="002D426A" w:rsidRDefault="002D42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475B5" w14:textId="79B3EC3F" w:rsidR="002D426A" w:rsidRPr="00692F31" w:rsidRDefault="002D426A" w:rsidP="00692F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FAB0B" w14:textId="77777777" w:rsidR="002D426A" w:rsidRDefault="002D4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34834" w14:textId="77777777" w:rsidR="002C3C23" w:rsidRPr="00B670DD" w:rsidRDefault="002C3C23">
      <w:r w:rsidRPr="00B670DD">
        <w:separator/>
      </w:r>
    </w:p>
  </w:footnote>
  <w:footnote w:type="continuationSeparator" w:id="0">
    <w:p w14:paraId="49124F15" w14:textId="77777777" w:rsidR="002C3C23" w:rsidRPr="00B670DD" w:rsidRDefault="002C3C23">
      <w:r w:rsidRPr="00B670DD">
        <w:continuationSeparator/>
      </w:r>
    </w:p>
  </w:footnote>
  <w:footnote w:id="1">
    <w:p w14:paraId="2E1E432B" w14:textId="5FF161E1" w:rsidR="002D426A" w:rsidRPr="002D426A" w:rsidRDefault="002D426A" w:rsidP="00DC39F4">
      <w:pPr>
        <w:pStyle w:val="FootnoteText"/>
        <w:ind w:left="851" w:hanging="851"/>
        <w:rPr>
          <w:lang w:val="pl-PL"/>
        </w:rPr>
      </w:pPr>
      <w:r w:rsidRPr="00135F63">
        <w:rPr>
          <w:rStyle w:val="FootnoteReference"/>
        </w:rPr>
        <w:footnoteRef/>
      </w:r>
      <w:r w:rsidR="00283FC8">
        <w:rPr>
          <w:lang w:val="pl-PL"/>
        </w:rPr>
        <w:tab/>
      </w:r>
      <w:r w:rsidRPr="002D426A">
        <w:rPr>
          <w:lang w:val="pl-PL"/>
        </w:rPr>
        <w:t>Decyzja Rady 2014/512/</w:t>
      </w:r>
      <w:proofErr w:type="spellStart"/>
      <w:r w:rsidRPr="002D426A">
        <w:rPr>
          <w:lang w:val="pl-PL"/>
        </w:rPr>
        <w:t>WPZiB</w:t>
      </w:r>
      <w:proofErr w:type="spellEnd"/>
      <w:r w:rsidRPr="002D426A">
        <w:rPr>
          <w:lang w:val="pl-PL"/>
        </w:rPr>
        <w:t xml:space="preserve"> z dnia 31 lipca 2014 r. dotycząca środków ograniczających w związku z działaniami Rosji destabilizującymi sytuację na Ukrainie </w:t>
      </w:r>
      <w:r w:rsidR="00283FC8" w:rsidRPr="00283FC8">
        <w:rPr>
          <w:lang w:val="pl-PL"/>
        </w:rPr>
        <w:t>(</w:t>
      </w:r>
      <w:r w:rsidR="00283FC8">
        <w:rPr>
          <w:lang w:val="pl-PL"/>
        </w:rPr>
        <w:t>Dz.U.</w:t>
      </w:r>
      <w:r w:rsidR="00283FC8" w:rsidRPr="00283FC8">
        <w:rPr>
          <w:lang w:val="pl-PL"/>
        </w:rPr>
        <w:t xml:space="preserve"> L 229</w:t>
      </w:r>
      <w:r w:rsidR="00283FC8">
        <w:rPr>
          <w:lang w:val="pl-PL"/>
        </w:rPr>
        <w:t>,</w:t>
      </w:r>
      <w:r w:rsidR="00283FC8" w:rsidRPr="00283FC8">
        <w:rPr>
          <w:lang w:val="pl-PL"/>
        </w:rPr>
        <w:t xml:space="preserve"> 31.7.2014, </w:t>
      </w:r>
      <w:r w:rsidR="00283FC8">
        <w:rPr>
          <w:lang w:val="pl-PL"/>
        </w:rPr>
        <w:t>s</w:t>
      </w:r>
      <w:r w:rsidR="00283FC8" w:rsidRPr="00283FC8">
        <w:rPr>
          <w:lang w:val="pl-PL"/>
        </w:rPr>
        <w:t xml:space="preserve">. 13, ELI: </w:t>
      </w:r>
      <w:hyperlink r:id="rId1" w:history="1">
        <w:r w:rsidR="00283FC8" w:rsidRPr="00283FC8">
          <w:rPr>
            <w:rStyle w:val="Hyperlink"/>
            <w:lang w:val="pl-PL"/>
          </w:rPr>
          <w:t>http://data.europa.eu/eli/dec/2014/512/oj</w:t>
        </w:r>
      </w:hyperlink>
      <w:r w:rsidR="00283FC8" w:rsidRPr="00283FC8">
        <w:rPr>
          <w:lang w:val="pl-PL"/>
        </w:rPr>
        <w:t xml:space="preserve">) </w:t>
      </w:r>
      <w:r w:rsidRPr="002D426A">
        <w:rPr>
          <w:lang w:val="pl-PL"/>
        </w:rPr>
        <w:t>oraz rozporządzenie Rady (UE) nr 833/2014 z dnia 31 lipca 2014 r. dotyczące środków ograniczających w związku z działaniami Rosji destabilizującymi sytuację na Ukrainie</w:t>
      </w:r>
      <w:r w:rsidR="008D5A7D">
        <w:rPr>
          <w:lang w:val="pl-PL"/>
        </w:rPr>
        <w:t xml:space="preserve"> </w:t>
      </w:r>
      <w:r w:rsidR="00283FC8" w:rsidRPr="00283FC8">
        <w:rPr>
          <w:lang w:val="pl-PL"/>
        </w:rPr>
        <w:t>(</w:t>
      </w:r>
      <w:r w:rsidR="00283FC8">
        <w:rPr>
          <w:lang w:val="pl-PL"/>
        </w:rPr>
        <w:t>Dz.U.</w:t>
      </w:r>
      <w:r w:rsidR="00283FC8" w:rsidRPr="00283FC8">
        <w:rPr>
          <w:lang w:val="pl-PL"/>
        </w:rPr>
        <w:t xml:space="preserve"> L 229, 31.7.2014, </w:t>
      </w:r>
      <w:r w:rsidR="00283FC8">
        <w:rPr>
          <w:lang w:val="pl-PL"/>
        </w:rPr>
        <w:t>s</w:t>
      </w:r>
      <w:r w:rsidR="00283FC8" w:rsidRPr="00283FC8">
        <w:rPr>
          <w:lang w:val="pl-PL"/>
        </w:rPr>
        <w:t xml:space="preserve">. 1, ELI: </w:t>
      </w:r>
      <w:hyperlink r:id="rId2" w:history="1">
        <w:r w:rsidR="00283FC8" w:rsidRPr="00283FC8">
          <w:rPr>
            <w:rStyle w:val="Hyperlink"/>
            <w:lang w:val="pl-PL"/>
          </w:rPr>
          <w:t>http://data.europa.eu/eli/reg/2014/833/oj</w:t>
        </w:r>
      </w:hyperlink>
      <w:r w:rsidR="00283FC8" w:rsidRPr="00283FC8">
        <w:rPr>
          <w:lang w:val="pl-PL"/>
        </w:rPr>
        <w:t>)</w:t>
      </w:r>
      <w:r w:rsidRPr="002D426A">
        <w:rPr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8F1E" w14:textId="77777777" w:rsidR="002D426A" w:rsidRDefault="002D42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A33A1" w14:textId="77777777" w:rsidR="002D426A" w:rsidRDefault="002D42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0D09" w14:textId="77777777" w:rsidR="002D426A" w:rsidRDefault="002D42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3C77951"/>
    <w:multiLevelType w:val="hybridMultilevel"/>
    <w:tmpl w:val="CF046FD2"/>
    <w:lvl w:ilvl="0" w:tplc="FC3081C2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166E268">
      <w:start w:val="1"/>
      <w:numFmt w:val="lowerLetter"/>
      <w:lvlText w:val="(%2)"/>
      <w:lvlJc w:val="left"/>
      <w:pPr>
        <w:ind w:left="153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5D446F6A">
      <w:numFmt w:val="bullet"/>
      <w:lvlText w:val="•"/>
      <w:lvlJc w:val="left"/>
      <w:pPr>
        <w:ind w:left="2402" w:hanging="567"/>
      </w:pPr>
      <w:rPr>
        <w:lang w:val="en-US" w:eastAsia="en-US" w:bidi="ar-SA"/>
      </w:rPr>
    </w:lvl>
    <w:lvl w:ilvl="3" w:tplc="A4F85584">
      <w:numFmt w:val="bullet"/>
      <w:lvlText w:val="•"/>
      <w:lvlJc w:val="left"/>
      <w:pPr>
        <w:ind w:left="3265" w:hanging="567"/>
      </w:pPr>
      <w:rPr>
        <w:lang w:val="en-US" w:eastAsia="en-US" w:bidi="ar-SA"/>
      </w:rPr>
    </w:lvl>
    <w:lvl w:ilvl="4" w:tplc="1BBC466E">
      <w:numFmt w:val="bullet"/>
      <w:lvlText w:val="•"/>
      <w:lvlJc w:val="left"/>
      <w:pPr>
        <w:ind w:left="4128" w:hanging="567"/>
      </w:pPr>
      <w:rPr>
        <w:lang w:val="en-US" w:eastAsia="en-US" w:bidi="ar-SA"/>
      </w:rPr>
    </w:lvl>
    <w:lvl w:ilvl="5" w:tplc="56764A12">
      <w:numFmt w:val="bullet"/>
      <w:lvlText w:val="•"/>
      <w:lvlJc w:val="left"/>
      <w:pPr>
        <w:ind w:left="4991" w:hanging="567"/>
      </w:pPr>
      <w:rPr>
        <w:lang w:val="en-US" w:eastAsia="en-US" w:bidi="ar-SA"/>
      </w:rPr>
    </w:lvl>
    <w:lvl w:ilvl="6" w:tplc="0464EFDA">
      <w:numFmt w:val="bullet"/>
      <w:lvlText w:val="•"/>
      <w:lvlJc w:val="left"/>
      <w:pPr>
        <w:ind w:left="5854" w:hanging="567"/>
      </w:pPr>
      <w:rPr>
        <w:lang w:val="en-US" w:eastAsia="en-US" w:bidi="ar-SA"/>
      </w:rPr>
    </w:lvl>
    <w:lvl w:ilvl="7" w:tplc="1666A3AA">
      <w:numFmt w:val="bullet"/>
      <w:lvlText w:val="•"/>
      <w:lvlJc w:val="left"/>
      <w:pPr>
        <w:ind w:left="6717" w:hanging="567"/>
      </w:pPr>
      <w:rPr>
        <w:lang w:val="en-US" w:eastAsia="en-US" w:bidi="ar-SA"/>
      </w:rPr>
    </w:lvl>
    <w:lvl w:ilvl="8" w:tplc="3E34AAD2">
      <w:numFmt w:val="bullet"/>
      <w:lvlText w:val="•"/>
      <w:lvlJc w:val="left"/>
      <w:pPr>
        <w:ind w:left="7580" w:hanging="567"/>
      </w:pPr>
      <w:rPr>
        <w:lang w:val="en-US" w:eastAsia="en-US" w:bidi="ar-SA"/>
      </w:rPr>
    </w:lvl>
  </w:abstractNum>
  <w:abstractNum w:abstractNumId="13" w15:restartNumberingAfterBreak="0">
    <w:nsid w:val="4D3C337A"/>
    <w:multiLevelType w:val="hybridMultilevel"/>
    <w:tmpl w:val="F398A9F8"/>
    <w:lvl w:ilvl="0" w:tplc="018EFD8E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73276F8">
      <w:numFmt w:val="bullet"/>
      <w:lvlText w:val="•"/>
      <w:lvlJc w:val="left"/>
      <w:pPr>
        <w:ind w:left="1794" w:hanging="850"/>
      </w:pPr>
      <w:rPr>
        <w:lang w:val="en-US" w:eastAsia="en-US" w:bidi="ar-SA"/>
      </w:rPr>
    </w:lvl>
    <w:lvl w:ilvl="2" w:tplc="677A4940">
      <w:numFmt w:val="bullet"/>
      <w:lvlText w:val="•"/>
      <w:lvlJc w:val="left"/>
      <w:pPr>
        <w:ind w:left="2629" w:hanging="850"/>
      </w:pPr>
      <w:rPr>
        <w:lang w:val="en-US" w:eastAsia="en-US" w:bidi="ar-SA"/>
      </w:rPr>
    </w:lvl>
    <w:lvl w:ilvl="3" w:tplc="85F8F5B4">
      <w:numFmt w:val="bullet"/>
      <w:lvlText w:val="•"/>
      <w:lvlJc w:val="left"/>
      <w:pPr>
        <w:ind w:left="3463" w:hanging="850"/>
      </w:pPr>
      <w:rPr>
        <w:lang w:val="en-US" w:eastAsia="en-US" w:bidi="ar-SA"/>
      </w:rPr>
    </w:lvl>
    <w:lvl w:ilvl="4" w:tplc="A7108F38">
      <w:numFmt w:val="bullet"/>
      <w:lvlText w:val="•"/>
      <w:lvlJc w:val="left"/>
      <w:pPr>
        <w:ind w:left="4298" w:hanging="850"/>
      </w:pPr>
      <w:rPr>
        <w:lang w:val="en-US" w:eastAsia="en-US" w:bidi="ar-SA"/>
      </w:rPr>
    </w:lvl>
    <w:lvl w:ilvl="5" w:tplc="FB2C4E3C">
      <w:numFmt w:val="bullet"/>
      <w:lvlText w:val="•"/>
      <w:lvlJc w:val="left"/>
      <w:pPr>
        <w:ind w:left="5133" w:hanging="850"/>
      </w:pPr>
      <w:rPr>
        <w:lang w:val="en-US" w:eastAsia="en-US" w:bidi="ar-SA"/>
      </w:rPr>
    </w:lvl>
    <w:lvl w:ilvl="6" w:tplc="C7E4FCE0">
      <w:numFmt w:val="bullet"/>
      <w:lvlText w:val="•"/>
      <w:lvlJc w:val="left"/>
      <w:pPr>
        <w:ind w:left="5967" w:hanging="850"/>
      </w:pPr>
      <w:rPr>
        <w:lang w:val="en-US" w:eastAsia="en-US" w:bidi="ar-SA"/>
      </w:rPr>
    </w:lvl>
    <w:lvl w:ilvl="7" w:tplc="B4D4BFCE">
      <w:numFmt w:val="bullet"/>
      <w:lvlText w:val="•"/>
      <w:lvlJc w:val="left"/>
      <w:pPr>
        <w:ind w:left="6802" w:hanging="850"/>
      </w:pPr>
      <w:rPr>
        <w:lang w:val="en-US" w:eastAsia="en-US" w:bidi="ar-SA"/>
      </w:rPr>
    </w:lvl>
    <w:lvl w:ilvl="8" w:tplc="B61CC35A">
      <w:numFmt w:val="bullet"/>
      <w:lvlText w:val="•"/>
      <w:lvlJc w:val="left"/>
      <w:pPr>
        <w:ind w:left="7637" w:hanging="850"/>
      </w:pPr>
      <w:rPr>
        <w:lang w:val="en-US" w:eastAsia="en-US" w:bidi="ar-SA"/>
      </w:rPr>
    </w:lvl>
  </w:abstractNum>
  <w:abstractNum w:abstractNumId="14" w15:restartNumberingAfterBreak="0">
    <w:nsid w:val="4DFD1A87"/>
    <w:multiLevelType w:val="hybridMultilevel"/>
    <w:tmpl w:val="A52E733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0B67A4F"/>
    <w:multiLevelType w:val="hybridMultilevel"/>
    <w:tmpl w:val="F996A700"/>
    <w:lvl w:ilvl="0" w:tplc="50787F78">
      <w:start w:val="1"/>
      <w:numFmt w:val="decimal"/>
      <w:lvlText w:val="(%1)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7424DC4">
      <w:numFmt w:val="bullet"/>
      <w:lvlText w:val="•"/>
      <w:lvlJc w:val="left"/>
      <w:pPr>
        <w:ind w:left="1668" w:hanging="708"/>
      </w:pPr>
      <w:rPr>
        <w:lang w:val="en-US" w:eastAsia="en-US" w:bidi="ar-SA"/>
      </w:rPr>
    </w:lvl>
    <w:lvl w:ilvl="2" w:tplc="E8E2E97A">
      <w:numFmt w:val="bullet"/>
      <w:lvlText w:val="•"/>
      <w:lvlJc w:val="left"/>
      <w:pPr>
        <w:ind w:left="2517" w:hanging="708"/>
      </w:pPr>
      <w:rPr>
        <w:lang w:val="en-US" w:eastAsia="en-US" w:bidi="ar-SA"/>
      </w:rPr>
    </w:lvl>
    <w:lvl w:ilvl="3" w:tplc="795ACEAC">
      <w:numFmt w:val="bullet"/>
      <w:lvlText w:val="•"/>
      <w:lvlJc w:val="left"/>
      <w:pPr>
        <w:ind w:left="3365" w:hanging="708"/>
      </w:pPr>
      <w:rPr>
        <w:lang w:val="en-US" w:eastAsia="en-US" w:bidi="ar-SA"/>
      </w:rPr>
    </w:lvl>
    <w:lvl w:ilvl="4" w:tplc="208A9BC0">
      <w:numFmt w:val="bullet"/>
      <w:lvlText w:val="•"/>
      <w:lvlJc w:val="left"/>
      <w:pPr>
        <w:ind w:left="4214" w:hanging="708"/>
      </w:pPr>
      <w:rPr>
        <w:lang w:val="en-US" w:eastAsia="en-US" w:bidi="ar-SA"/>
      </w:rPr>
    </w:lvl>
    <w:lvl w:ilvl="5" w:tplc="82AA2BF0">
      <w:numFmt w:val="bullet"/>
      <w:lvlText w:val="•"/>
      <w:lvlJc w:val="left"/>
      <w:pPr>
        <w:ind w:left="5063" w:hanging="708"/>
      </w:pPr>
      <w:rPr>
        <w:lang w:val="en-US" w:eastAsia="en-US" w:bidi="ar-SA"/>
      </w:rPr>
    </w:lvl>
    <w:lvl w:ilvl="6" w:tplc="184C9968">
      <w:numFmt w:val="bullet"/>
      <w:lvlText w:val="•"/>
      <w:lvlJc w:val="left"/>
      <w:pPr>
        <w:ind w:left="5911" w:hanging="708"/>
      </w:pPr>
      <w:rPr>
        <w:lang w:val="en-US" w:eastAsia="en-US" w:bidi="ar-SA"/>
      </w:rPr>
    </w:lvl>
    <w:lvl w:ilvl="7" w:tplc="A7329E54">
      <w:numFmt w:val="bullet"/>
      <w:lvlText w:val="•"/>
      <w:lvlJc w:val="left"/>
      <w:pPr>
        <w:ind w:left="6760" w:hanging="708"/>
      </w:pPr>
      <w:rPr>
        <w:lang w:val="en-US" w:eastAsia="en-US" w:bidi="ar-SA"/>
      </w:rPr>
    </w:lvl>
    <w:lvl w:ilvl="8" w:tplc="87DEF5D0">
      <w:numFmt w:val="bullet"/>
      <w:lvlText w:val="•"/>
      <w:lvlJc w:val="left"/>
      <w:pPr>
        <w:ind w:left="7609" w:hanging="708"/>
      </w:pPr>
      <w:rPr>
        <w:lang w:val="en-US" w:eastAsia="en-US" w:bidi="ar-SA"/>
      </w:rPr>
    </w:lvl>
  </w:abstractNum>
  <w:abstractNum w:abstractNumId="16" w15:restartNumberingAfterBreak="0">
    <w:nsid w:val="66D377C0"/>
    <w:multiLevelType w:val="hybridMultilevel"/>
    <w:tmpl w:val="898671CA"/>
    <w:lvl w:ilvl="0" w:tplc="1ED2DE28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96677EA">
      <w:start w:val="1"/>
      <w:numFmt w:val="lowerLetter"/>
      <w:lvlText w:val="(%2)"/>
      <w:lvlJc w:val="left"/>
      <w:pPr>
        <w:ind w:left="153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B33C83CE">
      <w:numFmt w:val="bullet"/>
      <w:lvlText w:val="•"/>
      <w:lvlJc w:val="left"/>
      <w:pPr>
        <w:ind w:left="2402" w:hanging="567"/>
      </w:pPr>
      <w:rPr>
        <w:lang w:val="en-US" w:eastAsia="en-US" w:bidi="ar-SA"/>
      </w:rPr>
    </w:lvl>
    <w:lvl w:ilvl="3" w:tplc="D54C697E">
      <w:numFmt w:val="bullet"/>
      <w:lvlText w:val="•"/>
      <w:lvlJc w:val="left"/>
      <w:pPr>
        <w:ind w:left="3265" w:hanging="567"/>
      </w:pPr>
      <w:rPr>
        <w:lang w:val="en-US" w:eastAsia="en-US" w:bidi="ar-SA"/>
      </w:rPr>
    </w:lvl>
    <w:lvl w:ilvl="4" w:tplc="8F76092E">
      <w:numFmt w:val="bullet"/>
      <w:lvlText w:val="•"/>
      <w:lvlJc w:val="left"/>
      <w:pPr>
        <w:ind w:left="4128" w:hanging="567"/>
      </w:pPr>
      <w:rPr>
        <w:lang w:val="en-US" w:eastAsia="en-US" w:bidi="ar-SA"/>
      </w:rPr>
    </w:lvl>
    <w:lvl w:ilvl="5" w:tplc="6A1E63FE">
      <w:numFmt w:val="bullet"/>
      <w:lvlText w:val="•"/>
      <w:lvlJc w:val="left"/>
      <w:pPr>
        <w:ind w:left="4991" w:hanging="567"/>
      </w:pPr>
      <w:rPr>
        <w:lang w:val="en-US" w:eastAsia="en-US" w:bidi="ar-SA"/>
      </w:rPr>
    </w:lvl>
    <w:lvl w:ilvl="6" w:tplc="817CFA82">
      <w:numFmt w:val="bullet"/>
      <w:lvlText w:val="•"/>
      <w:lvlJc w:val="left"/>
      <w:pPr>
        <w:ind w:left="5854" w:hanging="567"/>
      </w:pPr>
      <w:rPr>
        <w:lang w:val="en-US" w:eastAsia="en-US" w:bidi="ar-SA"/>
      </w:rPr>
    </w:lvl>
    <w:lvl w:ilvl="7" w:tplc="DC28675C">
      <w:numFmt w:val="bullet"/>
      <w:lvlText w:val="•"/>
      <w:lvlJc w:val="left"/>
      <w:pPr>
        <w:ind w:left="6717" w:hanging="567"/>
      </w:pPr>
      <w:rPr>
        <w:lang w:val="en-US" w:eastAsia="en-US" w:bidi="ar-SA"/>
      </w:rPr>
    </w:lvl>
    <w:lvl w:ilvl="8" w:tplc="AA32D5C8">
      <w:numFmt w:val="bullet"/>
      <w:lvlText w:val="•"/>
      <w:lvlJc w:val="left"/>
      <w:pPr>
        <w:ind w:left="7580" w:hanging="567"/>
      </w:pPr>
      <w:rPr>
        <w:lang w:val="en-US" w:eastAsia="en-US" w:bidi="ar-SA"/>
      </w:rPr>
    </w:lvl>
  </w:abstractNum>
  <w:num w:numId="1" w16cid:durableId="1107770709">
    <w:abstractNumId w:val="9"/>
  </w:num>
  <w:num w:numId="2" w16cid:durableId="805010018">
    <w:abstractNumId w:val="9"/>
  </w:num>
  <w:num w:numId="3" w16cid:durableId="1292638546">
    <w:abstractNumId w:val="7"/>
  </w:num>
  <w:num w:numId="4" w16cid:durableId="542982947">
    <w:abstractNumId w:val="7"/>
  </w:num>
  <w:num w:numId="5" w16cid:durableId="1749766833">
    <w:abstractNumId w:val="6"/>
  </w:num>
  <w:num w:numId="6" w16cid:durableId="2116320783">
    <w:abstractNumId w:val="6"/>
  </w:num>
  <w:num w:numId="7" w16cid:durableId="1772507351">
    <w:abstractNumId w:val="5"/>
  </w:num>
  <w:num w:numId="8" w16cid:durableId="516431482">
    <w:abstractNumId w:val="5"/>
  </w:num>
  <w:num w:numId="9" w16cid:durableId="2036271479">
    <w:abstractNumId w:val="4"/>
  </w:num>
  <w:num w:numId="10" w16cid:durableId="2069376768">
    <w:abstractNumId w:val="4"/>
  </w:num>
  <w:num w:numId="11" w16cid:durableId="1381124530">
    <w:abstractNumId w:val="8"/>
  </w:num>
  <w:num w:numId="12" w16cid:durableId="1495994176">
    <w:abstractNumId w:val="8"/>
  </w:num>
  <w:num w:numId="13" w16cid:durableId="422996220">
    <w:abstractNumId w:val="3"/>
  </w:num>
  <w:num w:numId="14" w16cid:durableId="1472556025">
    <w:abstractNumId w:val="3"/>
  </w:num>
  <w:num w:numId="15" w16cid:durableId="689340016">
    <w:abstractNumId w:val="2"/>
  </w:num>
  <w:num w:numId="16" w16cid:durableId="1062291886">
    <w:abstractNumId w:val="2"/>
  </w:num>
  <w:num w:numId="17" w16cid:durableId="432868991">
    <w:abstractNumId w:val="1"/>
  </w:num>
  <w:num w:numId="18" w16cid:durableId="1450052045">
    <w:abstractNumId w:val="1"/>
  </w:num>
  <w:num w:numId="19" w16cid:durableId="2036031247">
    <w:abstractNumId w:val="0"/>
  </w:num>
  <w:num w:numId="20" w16cid:durableId="940841626">
    <w:abstractNumId w:val="0"/>
  </w:num>
  <w:num w:numId="21" w16cid:durableId="2091584021">
    <w:abstractNumId w:val="9"/>
  </w:num>
  <w:num w:numId="22" w16cid:durableId="2074691494">
    <w:abstractNumId w:val="7"/>
  </w:num>
  <w:num w:numId="23" w16cid:durableId="1655336728">
    <w:abstractNumId w:val="6"/>
  </w:num>
  <w:num w:numId="24" w16cid:durableId="1988893909">
    <w:abstractNumId w:val="5"/>
  </w:num>
  <w:num w:numId="25" w16cid:durableId="452408018">
    <w:abstractNumId w:val="4"/>
  </w:num>
  <w:num w:numId="26" w16cid:durableId="335228994">
    <w:abstractNumId w:val="8"/>
  </w:num>
  <w:num w:numId="27" w16cid:durableId="444351851">
    <w:abstractNumId w:val="3"/>
  </w:num>
  <w:num w:numId="28" w16cid:durableId="716197276">
    <w:abstractNumId w:val="2"/>
  </w:num>
  <w:num w:numId="29" w16cid:durableId="2134707624">
    <w:abstractNumId w:val="1"/>
  </w:num>
  <w:num w:numId="30" w16cid:durableId="859121213">
    <w:abstractNumId w:val="0"/>
  </w:num>
  <w:num w:numId="31" w16cid:durableId="532578080">
    <w:abstractNumId w:val="9"/>
  </w:num>
  <w:num w:numId="32" w16cid:durableId="2008899056">
    <w:abstractNumId w:val="7"/>
  </w:num>
  <w:num w:numId="33" w16cid:durableId="128864320">
    <w:abstractNumId w:val="6"/>
  </w:num>
  <w:num w:numId="34" w16cid:durableId="86923688">
    <w:abstractNumId w:val="5"/>
  </w:num>
  <w:num w:numId="35" w16cid:durableId="71241257">
    <w:abstractNumId w:val="4"/>
  </w:num>
  <w:num w:numId="36" w16cid:durableId="510796292">
    <w:abstractNumId w:val="8"/>
  </w:num>
  <w:num w:numId="37" w16cid:durableId="1501653724">
    <w:abstractNumId w:val="3"/>
  </w:num>
  <w:num w:numId="38" w16cid:durableId="551885752">
    <w:abstractNumId w:val="2"/>
  </w:num>
  <w:num w:numId="39" w16cid:durableId="962150793">
    <w:abstractNumId w:val="1"/>
  </w:num>
  <w:num w:numId="40" w16cid:durableId="1962413321">
    <w:abstractNumId w:val="0"/>
  </w:num>
  <w:num w:numId="41" w16cid:durableId="1556545735">
    <w:abstractNumId w:val="10"/>
  </w:num>
  <w:num w:numId="42" w16cid:durableId="975990135">
    <w:abstractNumId w:val="10"/>
  </w:num>
  <w:num w:numId="43" w16cid:durableId="1103109068">
    <w:abstractNumId w:val="10"/>
  </w:num>
  <w:num w:numId="44" w16cid:durableId="428231937">
    <w:abstractNumId w:val="11"/>
  </w:num>
  <w:num w:numId="45" w16cid:durableId="177623198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6" w16cid:durableId="822936252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7" w16cid:durableId="75956449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172537426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10067859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2/2026"/>
    <w:docVar w:name="dvlangue" w:val="PL"/>
    <w:docVar w:name="dvnumam" w:val="0"/>
    <w:docVar w:name="dvpe" w:val="779.727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w sprawie przeciwdziałania związanym z handlem negatywnym skutkom globalnych nadwyżek mocy produkcyjnych na unijnym rynku stali(COM(2025)0726 – C10-0245/2025 – 2025/0726(COD))"/>
  </w:docVars>
  <w:rsids>
    <w:rsidRoot w:val="002C3C23"/>
    <w:rsid w:val="00002272"/>
    <w:rsid w:val="00064002"/>
    <w:rsid w:val="000677B9"/>
    <w:rsid w:val="000831BA"/>
    <w:rsid w:val="000A42CC"/>
    <w:rsid w:val="000C25C2"/>
    <w:rsid w:val="000E7DD9"/>
    <w:rsid w:val="000F397E"/>
    <w:rsid w:val="0010095E"/>
    <w:rsid w:val="00125B37"/>
    <w:rsid w:val="00187494"/>
    <w:rsid w:val="001E4B18"/>
    <w:rsid w:val="001F32AE"/>
    <w:rsid w:val="002767FF"/>
    <w:rsid w:val="00283FC8"/>
    <w:rsid w:val="002B18FE"/>
    <w:rsid w:val="002B5493"/>
    <w:rsid w:val="002C3C23"/>
    <w:rsid w:val="002D426A"/>
    <w:rsid w:val="002E5DF0"/>
    <w:rsid w:val="00343214"/>
    <w:rsid w:val="00361C00"/>
    <w:rsid w:val="00395FA1"/>
    <w:rsid w:val="003E15D4"/>
    <w:rsid w:val="003E1D59"/>
    <w:rsid w:val="00411CCE"/>
    <w:rsid w:val="0041666E"/>
    <w:rsid w:val="00421060"/>
    <w:rsid w:val="004402D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E2A"/>
    <w:rsid w:val="005C2568"/>
    <w:rsid w:val="005C4FE0"/>
    <w:rsid w:val="005F1B17"/>
    <w:rsid w:val="006037C0"/>
    <w:rsid w:val="006631B6"/>
    <w:rsid w:val="00680577"/>
    <w:rsid w:val="00692F31"/>
    <w:rsid w:val="006F74FA"/>
    <w:rsid w:val="00731ADD"/>
    <w:rsid w:val="00734777"/>
    <w:rsid w:val="00747932"/>
    <w:rsid w:val="00751A4A"/>
    <w:rsid w:val="00756632"/>
    <w:rsid w:val="00762C74"/>
    <w:rsid w:val="00786EC0"/>
    <w:rsid w:val="007C2030"/>
    <w:rsid w:val="007D1690"/>
    <w:rsid w:val="007E22AD"/>
    <w:rsid w:val="007E69B8"/>
    <w:rsid w:val="00817416"/>
    <w:rsid w:val="00842779"/>
    <w:rsid w:val="00865F67"/>
    <w:rsid w:val="00881A7B"/>
    <w:rsid w:val="008840E5"/>
    <w:rsid w:val="00887B3E"/>
    <w:rsid w:val="008C2AC6"/>
    <w:rsid w:val="008D5A7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58A"/>
    <w:rsid w:val="00AE0928"/>
    <w:rsid w:val="00AF3B82"/>
    <w:rsid w:val="00B12E95"/>
    <w:rsid w:val="00B22876"/>
    <w:rsid w:val="00B558F0"/>
    <w:rsid w:val="00B670DD"/>
    <w:rsid w:val="00BD48FE"/>
    <w:rsid w:val="00BD7BD8"/>
    <w:rsid w:val="00BE6ADC"/>
    <w:rsid w:val="00C05BFE"/>
    <w:rsid w:val="00C23CD4"/>
    <w:rsid w:val="00C579C8"/>
    <w:rsid w:val="00C61C0C"/>
    <w:rsid w:val="00C941CB"/>
    <w:rsid w:val="00CC2357"/>
    <w:rsid w:val="00CF071A"/>
    <w:rsid w:val="00D058B8"/>
    <w:rsid w:val="00D56C11"/>
    <w:rsid w:val="00D7584B"/>
    <w:rsid w:val="00D834A0"/>
    <w:rsid w:val="00D872DF"/>
    <w:rsid w:val="00D91E21"/>
    <w:rsid w:val="00DA7FCD"/>
    <w:rsid w:val="00DC39F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63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4044AE"/>
  <w15:chartTrackingRefBased/>
  <w15:docId w15:val="{E4EB2D7D-2DCD-4CDE-AE3B-EEAE4E44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C203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C203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C203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C203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C203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C2030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7C2030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7C2030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7C2030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7C203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C203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C203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C2030"/>
    <w:pPr>
      <w:spacing w:after="120"/>
    </w:pPr>
  </w:style>
  <w:style w:type="paragraph" w:customStyle="1" w:styleId="PageHeading">
    <w:name w:val="PageHeading"/>
    <w:basedOn w:val="Normal"/>
    <w:qFormat/>
    <w:rsid w:val="007C203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C2030"/>
    <w:rPr>
      <w:b/>
    </w:rPr>
  </w:style>
  <w:style w:type="paragraph" w:customStyle="1" w:styleId="NormalBold12a">
    <w:name w:val="NormalBold12a"/>
    <w:basedOn w:val="Normal"/>
    <w:rsid w:val="007C2030"/>
    <w:pPr>
      <w:spacing w:after="240"/>
    </w:pPr>
    <w:rPr>
      <w:b/>
    </w:rPr>
  </w:style>
  <w:style w:type="paragraph" w:customStyle="1" w:styleId="AmJustText">
    <w:name w:val="AmJustText"/>
    <w:basedOn w:val="Normal"/>
    <w:rsid w:val="007C203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C203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C2030"/>
    <w:pPr>
      <w:spacing w:after="480"/>
      <w:ind w:left="1417"/>
    </w:pPr>
  </w:style>
  <w:style w:type="paragraph" w:customStyle="1" w:styleId="CoverNormal">
    <w:name w:val="CoverNormal"/>
    <w:basedOn w:val="Normal"/>
    <w:rsid w:val="007C2030"/>
    <w:pPr>
      <w:ind w:left="1418"/>
    </w:pPr>
  </w:style>
  <w:style w:type="paragraph" w:customStyle="1" w:styleId="AmCrossRef">
    <w:name w:val="AmCrossRef"/>
    <w:basedOn w:val="Normal"/>
    <w:rsid w:val="007C203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C203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C203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C203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C203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C2030"/>
    <w:pPr>
      <w:spacing w:before="240" w:after="1200"/>
    </w:pPr>
  </w:style>
  <w:style w:type="paragraph" w:styleId="Header">
    <w:name w:val="header"/>
    <w:basedOn w:val="Normal"/>
    <w:link w:val="HeaderChar"/>
    <w:rsid w:val="007C20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C2030"/>
    <w:rPr>
      <w:sz w:val="24"/>
      <w:lang w:val="pl-PL"/>
    </w:rPr>
  </w:style>
  <w:style w:type="paragraph" w:customStyle="1" w:styleId="AmOrLang">
    <w:name w:val="AmOrLang"/>
    <w:basedOn w:val="Normal"/>
    <w:rsid w:val="007C203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C203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C203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C2030"/>
    <w:pPr>
      <w:spacing w:before="240"/>
    </w:pPr>
    <w:rPr>
      <w:b/>
    </w:rPr>
  </w:style>
  <w:style w:type="paragraph" w:customStyle="1" w:styleId="EPBody">
    <w:name w:val="EPBody"/>
    <w:basedOn w:val="Normal"/>
    <w:rsid w:val="007C203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C203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C2030"/>
    <w:pPr>
      <w:spacing w:before="480" w:after="240"/>
    </w:pPr>
  </w:style>
  <w:style w:type="paragraph" w:customStyle="1" w:styleId="Lgendesigne">
    <w:name w:val="Légende signe"/>
    <w:basedOn w:val="Normal"/>
    <w:rsid w:val="007C203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C203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C2030"/>
    <w:rPr>
      <w:sz w:val="18"/>
    </w:rPr>
  </w:style>
  <w:style w:type="paragraph" w:customStyle="1" w:styleId="Default">
    <w:name w:val="Default"/>
    <w:rsid w:val="007C203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character" w:customStyle="1" w:styleId="Normal6Char">
    <w:name w:val="Normal6 Char"/>
    <w:basedOn w:val="DefaultParagraphFont"/>
    <w:link w:val="Normal6"/>
    <w:locked/>
    <w:rsid w:val="007C2030"/>
    <w:rPr>
      <w:b/>
      <w:bCs/>
      <w:i/>
      <w:iCs/>
      <w:sz w:val="24"/>
      <w:lang w:val="pl-PL"/>
    </w:rPr>
  </w:style>
  <w:style w:type="paragraph" w:customStyle="1" w:styleId="Normal6">
    <w:name w:val="Normal6"/>
    <w:basedOn w:val="Normal"/>
    <w:link w:val="Normal6Char"/>
    <w:rsid w:val="007C2030"/>
    <w:pPr>
      <w:spacing w:after="120"/>
    </w:pPr>
    <w:rPr>
      <w:b/>
      <w:bCs/>
      <w:i/>
      <w:iCs/>
    </w:rPr>
  </w:style>
  <w:style w:type="character" w:customStyle="1" w:styleId="NormalBoldChar">
    <w:name w:val="NormalBold Char"/>
    <w:basedOn w:val="DefaultParagraphFont"/>
    <w:link w:val="NormalBold"/>
    <w:locked/>
    <w:rsid w:val="007C2030"/>
    <w:rPr>
      <w:b/>
      <w:sz w:val="24"/>
      <w:lang w:val="pl-PL"/>
    </w:rPr>
  </w:style>
  <w:style w:type="paragraph" w:customStyle="1" w:styleId="ColumnHeading">
    <w:name w:val="ColumnHeading"/>
    <w:basedOn w:val="Normal"/>
    <w:rsid w:val="007C203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C203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7C2030"/>
    <w:pPr>
      <w:jc w:val="right"/>
    </w:pPr>
    <w:rPr>
      <w:lang w:val="pl-PL"/>
    </w:rPr>
  </w:style>
  <w:style w:type="character" w:styleId="Hyperlink">
    <w:name w:val="Hyperlink"/>
    <w:basedOn w:val="DefaultParagraphFont"/>
    <w:unhideWhenUsed/>
    <w:rsid w:val="007C2030"/>
    <w:rPr>
      <w:color w:val="467886"/>
      <w:u w:val="single"/>
    </w:rPr>
  </w:style>
  <w:style w:type="paragraph" w:styleId="Revision">
    <w:name w:val="Revision"/>
    <w:hidden/>
    <w:uiPriority w:val="99"/>
    <w:semiHidden/>
    <w:rsid w:val="007C2030"/>
    <w:rPr>
      <w:sz w:val="24"/>
      <w:lang w:val="pl-PL"/>
    </w:rPr>
  </w:style>
  <w:style w:type="character" w:styleId="CommentReference">
    <w:name w:val="annotation reference"/>
    <w:basedOn w:val="DefaultParagraphFont"/>
    <w:rsid w:val="007C20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C203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C2030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C20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C2030"/>
    <w:rPr>
      <w:b/>
      <w:bCs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7C203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C2030"/>
    <w:rPr>
      <w:i/>
      <w:iCs/>
    </w:rPr>
  </w:style>
  <w:style w:type="paragraph" w:styleId="ListParagraph">
    <w:name w:val="List Paragraph"/>
    <w:basedOn w:val="Normal"/>
    <w:uiPriority w:val="1"/>
    <w:qFormat/>
    <w:rsid w:val="007C203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7C2030"/>
    <w:pPr>
      <w:autoSpaceDE w:val="0"/>
      <w:autoSpaceDN w:val="0"/>
      <w:spacing w:before="12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C2030"/>
    <w:rPr>
      <w:sz w:val="24"/>
      <w:szCs w:val="24"/>
      <w:lang w:val="pl-PL" w:eastAsia="en-US"/>
    </w:rPr>
  </w:style>
  <w:style w:type="paragraph" w:customStyle="1" w:styleId="Normal12a">
    <w:name w:val="Normal12a"/>
    <w:basedOn w:val="Normal"/>
    <w:rsid w:val="007C2030"/>
    <w:pPr>
      <w:spacing w:after="240"/>
    </w:pPr>
  </w:style>
  <w:style w:type="paragraph" w:customStyle="1" w:styleId="PageHeadingNotTOC">
    <w:name w:val="PageHeadingNotTOC"/>
    <w:basedOn w:val="Normal"/>
    <w:rsid w:val="007C203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C203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7C2030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7C2030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7C203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C2030"/>
    <w:rPr>
      <w:szCs w:val="24"/>
    </w:rPr>
  </w:style>
  <w:style w:type="paragraph" w:customStyle="1" w:styleId="RollCallSymbols14pt">
    <w:name w:val="RollCallSymbols14pt"/>
    <w:basedOn w:val="Normal"/>
    <w:rsid w:val="007C203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C203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C203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C2030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7C20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030"/>
    <w:rPr>
      <w:sz w:val="24"/>
      <w:lang w:val="pl-PL"/>
    </w:rPr>
  </w:style>
  <w:style w:type="paragraph" w:customStyle="1" w:styleId="NormalCenter12a">
    <w:name w:val="NormalCenter12a"/>
    <w:basedOn w:val="Normal"/>
    <w:rsid w:val="002D426A"/>
    <w:pPr>
      <w:spacing w:after="240"/>
      <w:jc w:val="center"/>
    </w:pPr>
  </w:style>
  <w:style w:type="paragraph" w:customStyle="1" w:styleId="Institutionquiagit">
    <w:name w:val="Institution qui agit"/>
    <w:basedOn w:val="Normal"/>
    <w:next w:val="Normal"/>
    <w:rsid w:val="002D426A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2D426A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2D426A"/>
    <w:pPr>
      <w:keepLines/>
      <w:spacing w:line="240" w:lineRule="exact"/>
      <w:ind w:left="850" w:hanging="850"/>
    </w:pPr>
    <w:rPr>
      <w:sz w:val="24"/>
      <w:lang w:val="pl-PL" w:eastAsia="en-US"/>
    </w:rPr>
  </w:style>
  <w:style w:type="paragraph" w:customStyle="1" w:styleId="Considrant">
    <w:name w:val="Considérant"/>
    <w:basedOn w:val="Normal"/>
    <w:rsid w:val="002D426A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2D426A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2D426A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2D426A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2D426A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2D426A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2D426A"/>
    <w:pPr>
      <w:spacing w:before="120" w:after="120" w:line="360" w:lineRule="auto"/>
    </w:pPr>
    <w:rPr>
      <w:sz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4/833/oj" TargetMode="External"/><Relationship Id="rId1" Type="http://schemas.openxmlformats.org/officeDocument/2006/relationships/hyperlink" Target="http://data.europa.eu/eli/dec/2014/5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525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ŁOZYNSKA Alicja</dc:creator>
  <cp:keywords/>
  <cp:lastModifiedBy>BINKEVICIUTE Aurelija</cp:lastModifiedBy>
  <cp:revision>3</cp:revision>
  <cp:lastPrinted>2004-11-19T15:42:00Z</cp:lastPrinted>
  <dcterms:created xsi:type="dcterms:W3CDTF">2026-07-15T21:43:00Z</dcterms:created>
  <dcterms:modified xsi:type="dcterms:W3CDTF">2026-07-23T10:35:00Z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P10_TA(2026)0170_</vt:lpwstr>
  </property>
  <property fmtid="{D5CDD505-2E9C-101B-9397-08002B2CF9AE}" pid="4" name="&lt;Type&gt;">
    <vt:lpwstr>RR</vt:lpwstr>
  </property>
</Properties>
</file>