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7312" w14:paraId="1DE71275" w14:textId="77777777" w:rsidTr="0010095E">
        <w:trPr>
          <w:trHeight w:hRule="exact" w:val="1418"/>
        </w:trPr>
        <w:tc>
          <w:tcPr>
            <w:tcW w:w="6804" w:type="dxa"/>
            <w:shd w:val="clear" w:color="auto" w:fill="auto"/>
            <w:vAlign w:val="center"/>
          </w:tcPr>
          <w:p w14:paraId="194BD547" w14:textId="77777777" w:rsidR="00751A4A" w:rsidRPr="003A7312" w:rsidRDefault="00B87F81" w:rsidP="0010095E">
            <w:pPr>
              <w:pStyle w:val="EPName"/>
            </w:pPr>
            <w:r w:rsidRPr="003A7312">
              <w:t xml:space="preserve">Parlamento </w:t>
            </w:r>
            <w:proofErr w:type="gramStart"/>
            <w:r w:rsidRPr="003A7312">
              <w:t>Europeu</w:t>
            </w:r>
            <w:proofErr w:type="gramEnd"/>
          </w:p>
          <w:p w14:paraId="0D41B6A0" w14:textId="77777777" w:rsidR="00751A4A" w:rsidRPr="003A7312" w:rsidRDefault="005F1B17" w:rsidP="005F1B17">
            <w:pPr>
              <w:pStyle w:val="EPTerm"/>
              <w:rPr>
                <w:rStyle w:val="HideTWBExt"/>
                <w:noProof w:val="0"/>
                <w:vanish w:val="0"/>
                <w:color w:val="auto"/>
              </w:rPr>
            </w:pPr>
            <w:r w:rsidRPr="003A7312">
              <w:t>2024</w:t>
            </w:r>
            <w:r w:rsidR="00817416" w:rsidRPr="003A7312">
              <w:t>-202</w:t>
            </w:r>
            <w:r w:rsidRPr="003A7312">
              <w:t>9</w:t>
            </w:r>
          </w:p>
        </w:tc>
        <w:tc>
          <w:tcPr>
            <w:tcW w:w="2268" w:type="dxa"/>
            <w:shd w:val="clear" w:color="auto" w:fill="auto"/>
          </w:tcPr>
          <w:p w14:paraId="2D07C396" w14:textId="77777777" w:rsidR="00751A4A" w:rsidRPr="003A7312" w:rsidRDefault="00187494" w:rsidP="0010095E">
            <w:pPr>
              <w:pStyle w:val="EPLogo"/>
            </w:pPr>
            <w:r w:rsidRPr="003A7312">
              <w:rPr>
                <w:noProof/>
                <w:lang w:eastAsia="ja-JP"/>
              </w:rPr>
              <w:drawing>
                <wp:inline distT="0" distB="0" distL="0" distR="0" wp14:anchorId="4A2A4C8C" wp14:editId="53C776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BBD87D" w14:textId="77777777" w:rsidR="00D058B8" w:rsidRPr="003A7312" w:rsidRDefault="00D058B8" w:rsidP="004C5D52">
      <w:pPr>
        <w:pStyle w:val="LineTop"/>
      </w:pPr>
    </w:p>
    <w:p w14:paraId="756CFFE9" w14:textId="77777777" w:rsidR="00680577" w:rsidRPr="003A7312" w:rsidRDefault="00B87F81" w:rsidP="00680577">
      <w:pPr>
        <w:pStyle w:val="EPBodyTA1"/>
      </w:pPr>
      <w:r w:rsidRPr="003A7312">
        <w:t>TEXTOS APROVADOS</w:t>
      </w:r>
    </w:p>
    <w:p w14:paraId="71A278F0" w14:textId="77777777" w:rsidR="00D058B8" w:rsidRPr="003A7312" w:rsidRDefault="00D058B8" w:rsidP="00D058B8">
      <w:pPr>
        <w:pStyle w:val="LineBottom"/>
      </w:pPr>
    </w:p>
    <w:p w14:paraId="01069397" w14:textId="30ECC9D6" w:rsidR="00B87F81" w:rsidRPr="003A7312" w:rsidRDefault="00B87F81" w:rsidP="00B87F81">
      <w:pPr>
        <w:pStyle w:val="ATHeading1"/>
      </w:pPr>
      <w:bookmarkStart w:id="0" w:name="TANumber"/>
      <w:r w:rsidRPr="003A7312">
        <w:t>P10_TA(2026)0</w:t>
      </w:r>
      <w:r w:rsidR="002205B0">
        <w:t>170</w:t>
      </w:r>
      <w:bookmarkEnd w:id="0"/>
    </w:p>
    <w:p w14:paraId="7458B9D4" w14:textId="77777777" w:rsidR="00B87F81" w:rsidRPr="003A7312" w:rsidRDefault="00B87F81" w:rsidP="00B87F81">
      <w:pPr>
        <w:pStyle w:val="ATHeading2"/>
      </w:pPr>
      <w:bookmarkStart w:id="1" w:name="title"/>
      <w:r w:rsidRPr="003A7312">
        <w:t>Efeitos negativos relacionados com o comércio decorrentes da sobrecapacidade mundial que afetam o mercado siderúrgico da UE</w:t>
      </w:r>
      <w:bookmarkEnd w:id="1"/>
    </w:p>
    <w:p w14:paraId="0ADE0024" w14:textId="77777777" w:rsidR="00B87F81" w:rsidRPr="003A7312" w:rsidRDefault="00B87F81" w:rsidP="00B87F81">
      <w:pPr>
        <w:rPr>
          <w:i/>
          <w:vanish/>
        </w:rPr>
      </w:pPr>
      <w:r w:rsidRPr="003A7312">
        <w:rPr>
          <w:i/>
        </w:rPr>
        <w:fldChar w:fldCharType="begin"/>
      </w:r>
      <w:r w:rsidRPr="003A7312">
        <w:rPr>
          <w:i/>
        </w:rPr>
        <w:instrText xml:space="preserve"> TC"(</w:instrText>
      </w:r>
      <w:bookmarkStart w:id="2" w:name="DocNumber"/>
      <w:r w:rsidRPr="003A7312">
        <w:rPr>
          <w:i/>
        </w:rPr>
        <w:instrText>A10-0012/2026</w:instrText>
      </w:r>
      <w:bookmarkEnd w:id="2"/>
      <w:r w:rsidRPr="003A7312">
        <w:rPr>
          <w:i/>
        </w:rPr>
        <w:instrText xml:space="preserve"> - Relatora: </w:instrText>
      </w:r>
      <w:proofErr w:type="spellStart"/>
      <w:r w:rsidRPr="003A7312">
        <w:rPr>
          <w:i/>
        </w:rPr>
        <w:instrText>Karin</w:instrText>
      </w:r>
      <w:proofErr w:type="spellEnd"/>
      <w:r w:rsidRPr="003A7312">
        <w:rPr>
          <w:i/>
        </w:rPr>
        <w:instrText xml:space="preserve"> </w:instrText>
      </w:r>
      <w:proofErr w:type="spellStart"/>
      <w:r w:rsidRPr="003A7312">
        <w:rPr>
          <w:i/>
        </w:rPr>
        <w:instrText>Karlsbro</w:instrText>
      </w:r>
      <w:proofErr w:type="spellEnd"/>
      <w:r w:rsidRPr="003A7312">
        <w:rPr>
          <w:i/>
        </w:rPr>
        <w:instrText xml:space="preserve">)"\l3 \n&gt; \* MERGEFORMAT </w:instrText>
      </w:r>
      <w:r w:rsidRPr="003A7312">
        <w:rPr>
          <w:i/>
        </w:rPr>
        <w:fldChar w:fldCharType="end"/>
      </w:r>
    </w:p>
    <w:p w14:paraId="01B82958" w14:textId="77777777" w:rsidR="00B87F81" w:rsidRPr="003A7312" w:rsidRDefault="00B87F81" w:rsidP="00B87F81">
      <w:pPr>
        <w:rPr>
          <w:vanish/>
        </w:rPr>
      </w:pPr>
      <w:bookmarkStart w:id="3" w:name="Commission"/>
      <w:r w:rsidRPr="003A7312">
        <w:rPr>
          <w:vanish/>
        </w:rPr>
        <w:t>Comissão do Comércio Internacional</w:t>
      </w:r>
      <w:bookmarkEnd w:id="3"/>
    </w:p>
    <w:p w14:paraId="1116B44B" w14:textId="77777777" w:rsidR="00B87F81" w:rsidRPr="003A7312" w:rsidRDefault="00B87F81" w:rsidP="00B87F81">
      <w:pPr>
        <w:rPr>
          <w:vanish/>
        </w:rPr>
      </w:pPr>
      <w:bookmarkStart w:id="4" w:name="PE"/>
      <w:r w:rsidRPr="003A7312">
        <w:rPr>
          <w:vanish/>
        </w:rPr>
        <w:t>PE779.727</w:t>
      </w:r>
      <w:bookmarkEnd w:id="4"/>
    </w:p>
    <w:p w14:paraId="79C4EACB" w14:textId="1C5F9E36" w:rsidR="00B87F81" w:rsidRPr="003A7312" w:rsidRDefault="00B87F81" w:rsidP="00B87F81">
      <w:pPr>
        <w:pStyle w:val="ATHeading3"/>
      </w:pPr>
      <w:bookmarkStart w:id="5" w:name="Sujet"/>
      <w:r w:rsidRPr="003A7312">
        <w:t xml:space="preserve">Resolução legislativa do Parlamento Europeu, de </w:t>
      </w:r>
      <w:r w:rsidR="00A67026">
        <w:t>19</w:t>
      </w:r>
      <w:r w:rsidR="00A67026" w:rsidRPr="003A7312">
        <w:t xml:space="preserve"> </w:t>
      </w:r>
      <w:r w:rsidRPr="003A7312">
        <w:t xml:space="preserve">de </w:t>
      </w:r>
      <w:r w:rsidR="00A67026">
        <w:t>maio</w:t>
      </w:r>
      <w:r w:rsidR="00A67026" w:rsidRPr="003A7312">
        <w:t xml:space="preserve"> </w:t>
      </w:r>
      <w:r w:rsidRPr="003A7312">
        <w:t>de 2026, sobre a proposta de regulamento do Parlamento Europeu e do Conselho relativo à resposta aos efeitos negativos relacionados com o comércio decorrentes da sobrecapacidade mundial que afetam o mercado siderúrgico da UE</w:t>
      </w:r>
      <w:bookmarkEnd w:id="5"/>
      <w:r w:rsidRPr="003A7312">
        <w:t xml:space="preserve"> </w:t>
      </w:r>
      <w:bookmarkStart w:id="6" w:name="References"/>
      <w:r w:rsidRPr="003A7312">
        <w:t>(COM(2025)0726 – C10-0245/2025 – 2025/0726(COD))</w:t>
      </w:r>
      <w:bookmarkEnd w:id="6"/>
    </w:p>
    <w:p w14:paraId="18DF0EA7" w14:textId="77777777" w:rsidR="004C47D0" w:rsidRPr="003A7312" w:rsidRDefault="004C47D0" w:rsidP="004C47D0">
      <w:pPr>
        <w:pStyle w:val="NormalBold"/>
      </w:pPr>
      <w:r w:rsidRPr="003A7312">
        <w:t>(Processo legislativo ordinário: primeira leitura)</w:t>
      </w:r>
    </w:p>
    <w:p w14:paraId="4041E99F" w14:textId="77777777" w:rsidR="004C47D0" w:rsidRPr="003A7312" w:rsidRDefault="004C47D0" w:rsidP="004C47D0">
      <w:pPr>
        <w:pStyle w:val="EPComma"/>
      </w:pPr>
      <w:r w:rsidRPr="003A7312">
        <w:rPr>
          <w:i/>
        </w:rPr>
        <w:t>O Parlamento Europeu</w:t>
      </w:r>
      <w:r w:rsidRPr="003A7312">
        <w:t>,</w:t>
      </w:r>
    </w:p>
    <w:p w14:paraId="3BAC4125" w14:textId="148D29DA" w:rsidR="004C47D0" w:rsidRPr="003A7312" w:rsidRDefault="004C47D0" w:rsidP="004C47D0">
      <w:pPr>
        <w:pStyle w:val="NormalHanging12a"/>
      </w:pPr>
      <w:r w:rsidRPr="003A7312">
        <w:t>–</w:t>
      </w:r>
      <w:r w:rsidRPr="003A7312">
        <w:tab/>
        <w:t>Tendo em conta a proposta da Comissão ao Parlamento e ao Conselho (COM(2025)0726),</w:t>
      </w:r>
    </w:p>
    <w:p w14:paraId="5A4BEDC0" w14:textId="77777777" w:rsidR="004C47D0" w:rsidRPr="003A7312" w:rsidRDefault="004C47D0" w:rsidP="004C47D0">
      <w:pPr>
        <w:pStyle w:val="NormalHanging12a"/>
      </w:pPr>
      <w:r w:rsidRPr="003A7312">
        <w:t>–</w:t>
      </w:r>
      <w:r w:rsidRPr="003A7312">
        <w:tab/>
        <w:t>Tendo em conta o artigo 294.º, n.º 2, e o artigo 207.º, n.º 2, do Tratado sobre o Funcionamento da União Europeia, nos termos dos quais a proposta lhe foi apresentada pela Comissão (C10</w:t>
      </w:r>
      <w:r w:rsidRPr="003A7312">
        <w:noBreakHyphen/>
        <w:t>0245/2025),</w:t>
      </w:r>
    </w:p>
    <w:p w14:paraId="2DECB944" w14:textId="77777777" w:rsidR="004C47D0" w:rsidRDefault="004C47D0" w:rsidP="004C47D0">
      <w:pPr>
        <w:pStyle w:val="NormalHanging12a"/>
      </w:pPr>
      <w:r w:rsidRPr="003A7312">
        <w:t>–</w:t>
      </w:r>
      <w:r w:rsidRPr="003A7312">
        <w:tab/>
        <w:t>Tendo em conta o artigo 294.º, n.º 3, do Tratado sobre o Funcionamento da União Europeia,</w:t>
      </w:r>
    </w:p>
    <w:p w14:paraId="488B4A1D" w14:textId="36889018" w:rsidR="008F58BB" w:rsidRPr="003A7312" w:rsidRDefault="008F58BB" w:rsidP="004C47D0">
      <w:pPr>
        <w:pStyle w:val="NormalHanging12a"/>
      </w:pPr>
      <w:r>
        <w:t>–</w:t>
      </w:r>
      <w:r>
        <w:tab/>
      </w:r>
      <w:r w:rsidR="004A5DF8" w:rsidRPr="004A5DF8">
        <w:t xml:space="preserve">Tendo em conta o acordo provisório aprovado pela comissão competente nos termos do artigo 75.º, n.º 4, do seu Regimento e o compromisso assumido pelo representante do Conselho, em carta de </w:t>
      </w:r>
      <w:r w:rsidR="004A5DF8">
        <w:t>23</w:t>
      </w:r>
      <w:r w:rsidR="004A5DF8" w:rsidRPr="004A5DF8">
        <w:t xml:space="preserve"> de </w:t>
      </w:r>
      <w:r w:rsidR="004A5DF8">
        <w:t>abril</w:t>
      </w:r>
      <w:r w:rsidR="004A5DF8" w:rsidRPr="004A5DF8">
        <w:t xml:space="preserve"> de 202</w:t>
      </w:r>
      <w:r w:rsidR="004A5DF8">
        <w:t>6</w:t>
      </w:r>
      <w:r w:rsidR="004A5DF8" w:rsidRPr="004A5DF8">
        <w:t>, de aprovar a posição do Parlamento, nos termos do artigo 294.º, n.º 4, do Tratado sobre o Funcionamento da União Europeia,</w:t>
      </w:r>
    </w:p>
    <w:p w14:paraId="6D8C295C" w14:textId="77777777" w:rsidR="004C47D0" w:rsidRPr="003A7312" w:rsidRDefault="004C47D0" w:rsidP="004C47D0">
      <w:pPr>
        <w:pStyle w:val="NormalHanging12a"/>
      </w:pPr>
      <w:r w:rsidRPr="003A7312">
        <w:t>–</w:t>
      </w:r>
      <w:r w:rsidRPr="003A7312">
        <w:tab/>
        <w:t>Tendo em conta o artigo 60.º do seu Regimento,</w:t>
      </w:r>
    </w:p>
    <w:p w14:paraId="351BAF73" w14:textId="77777777" w:rsidR="004C47D0" w:rsidRPr="003A7312" w:rsidRDefault="004C47D0" w:rsidP="004C47D0">
      <w:pPr>
        <w:pStyle w:val="NormalHanging12a"/>
      </w:pPr>
      <w:r w:rsidRPr="003A7312">
        <w:t>–</w:t>
      </w:r>
      <w:r w:rsidRPr="003A7312">
        <w:tab/>
        <w:t>Tendo em conta o parecer da Comissão da Indústria, da Investigação e da Energia,</w:t>
      </w:r>
    </w:p>
    <w:p w14:paraId="0226A087" w14:textId="77777777" w:rsidR="004C47D0" w:rsidRPr="003A7312" w:rsidRDefault="004C47D0" w:rsidP="004C47D0">
      <w:pPr>
        <w:pStyle w:val="NormalHanging12a"/>
      </w:pPr>
      <w:r w:rsidRPr="003A7312">
        <w:t>–</w:t>
      </w:r>
      <w:r w:rsidRPr="003A7312">
        <w:tab/>
        <w:t>Tendo em conta o relatório da Comissão do Comércio Internacional (A10-0012/2026),</w:t>
      </w:r>
    </w:p>
    <w:p w14:paraId="1EE9150A" w14:textId="77777777" w:rsidR="004C47D0" w:rsidRPr="003A7312" w:rsidRDefault="004C47D0" w:rsidP="004C47D0">
      <w:pPr>
        <w:pStyle w:val="NormalHanging12a"/>
      </w:pPr>
      <w:r w:rsidRPr="003A7312">
        <w:t>1.</w:t>
      </w:r>
      <w:r w:rsidRPr="003A7312">
        <w:tab/>
        <w:t>Aprova a posição em primeira leitura que se segue;</w:t>
      </w:r>
    </w:p>
    <w:p w14:paraId="12B7D460" w14:textId="068B3C68" w:rsidR="006D296B" w:rsidRDefault="004C47D0" w:rsidP="004C47D0">
      <w:pPr>
        <w:pStyle w:val="NormalHanging12a"/>
      </w:pPr>
      <w:r w:rsidRPr="003A7312">
        <w:t>2.</w:t>
      </w:r>
      <w:r w:rsidRPr="003A7312">
        <w:tab/>
      </w:r>
      <w:r w:rsidR="006D296B" w:rsidRPr="006D296B">
        <w:t>Aprova a declaração</w:t>
      </w:r>
      <w:r w:rsidR="006D296B">
        <w:t xml:space="preserve"> </w:t>
      </w:r>
      <w:r w:rsidR="006D296B" w:rsidRPr="006D296B">
        <w:t>comum</w:t>
      </w:r>
      <w:r w:rsidR="006D296B">
        <w:t xml:space="preserve"> </w:t>
      </w:r>
      <w:r w:rsidR="006D296B" w:rsidRPr="006D296B">
        <w:t>do Parlamento</w:t>
      </w:r>
      <w:r w:rsidR="006D296B">
        <w:t xml:space="preserve">, </w:t>
      </w:r>
      <w:r w:rsidR="006D296B" w:rsidRPr="006D296B">
        <w:t>do Conselho</w:t>
      </w:r>
      <w:r w:rsidR="006D296B">
        <w:t xml:space="preserve"> e </w:t>
      </w:r>
      <w:r w:rsidR="00536EB4">
        <w:t xml:space="preserve">da Comissão </w:t>
      </w:r>
      <w:r w:rsidR="006D296B" w:rsidRPr="006D296B">
        <w:t xml:space="preserve">anexa à presente resolução, que será publicada na série </w:t>
      </w:r>
      <w:r w:rsidR="006D296B">
        <w:t>C</w:t>
      </w:r>
      <w:r w:rsidR="006D296B" w:rsidRPr="006D296B">
        <w:t xml:space="preserve"> do </w:t>
      </w:r>
      <w:r w:rsidR="006D296B" w:rsidRPr="002205B0">
        <w:rPr>
          <w:i/>
          <w:iCs/>
        </w:rPr>
        <w:t>Jornal Oficial da União Europeia</w:t>
      </w:r>
      <w:r w:rsidR="006D296B" w:rsidRPr="006D296B">
        <w:t>;</w:t>
      </w:r>
    </w:p>
    <w:p w14:paraId="6ED8EABD" w14:textId="70E3DFFF" w:rsidR="004C47D0" w:rsidRPr="003A7312" w:rsidRDefault="006D296B" w:rsidP="004C47D0">
      <w:pPr>
        <w:pStyle w:val="NormalHanging12a"/>
      </w:pPr>
      <w:r>
        <w:lastRenderedPageBreak/>
        <w:t>3.</w:t>
      </w:r>
      <w:r>
        <w:tab/>
      </w:r>
      <w:r w:rsidR="004C47D0" w:rsidRPr="003A7312">
        <w:t>Requer à Comissão que lhe submeta de novo a sua proposta, se a substituir, se a alterar substancialmente ou se pretender alterá-la substancialmente;</w:t>
      </w:r>
    </w:p>
    <w:p w14:paraId="12B237CB" w14:textId="26991BB4" w:rsidR="004C47D0" w:rsidRPr="003A7312" w:rsidRDefault="006D296B" w:rsidP="008C3367">
      <w:pPr>
        <w:pStyle w:val="EPComma"/>
        <w:spacing w:before="0"/>
        <w:ind w:left="567" w:hanging="567"/>
      </w:pPr>
      <w:r>
        <w:t>4</w:t>
      </w:r>
      <w:r w:rsidR="004C47D0" w:rsidRPr="003A7312">
        <w:t>.</w:t>
      </w:r>
      <w:r w:rsidR="004C47D0" w:rsidRPr="003A7312">
        <w:tab/>
        <w:t>Encarrega a sua Presidente de transmitir a posição do Parlamento ao Conselho, à Comissão e aos parlamentos nacionais.</w:t>
      </w:r>
    </w:p>
    <w:p w14:paraId="5A132636" w14:textId="77777777" w:rsidR="004C47D0" w:rsidRPr="003A7312" w:rsidRDefault="004C47D0" w:rsidP="004C47D0"/>
    <w:p w14:paraId="1B7F8F11" w14:textId="77777777" w:rsidR="008F58BB" w:rsidRDefault="008F58BB" w:rsidP="004C47D0">
      <w:pPr>
        <w:pStyle w:val="AmNumberTabs"/>
        <w:sectPr w:rsidR="008F58BB" w:rsidSect="003A73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063321" w14:textId="7AFC7798" w:rsidR="00D434B4" w:rsidRPr="00D434B4" w:rsidRDefault="00D434B4" w:rsidP="00D434B4">
      <w:pPr>
        <w:widowControl/>
        <w:spacing w:after="240"/>
        <w:jc w:val="both"/>
        <w:rPr>
          <w:rFonts w:eastAsia="Calibri"/>
          <w:b/>
          <w:szCs w:val="24"/>
          <w:lang w:eastAsia="en-US"/>
        </w:rPr>
      </w:pPr>
      <w:r w:rsidRPr="00D434B4">
        <w:rPr>
          <w:rFonts w:eastAsia="Calibri"/>
          <w:b/>
          <w:szCs w:val="24"/>
          <w:lang w:eastAsia="en-US"/>
        </w:rPr>
        <w:lastRenderedPageBreak/>
        <w:t>P10_TC1-COD(</w:t>
      </w:r>
      <w:r>
        <w:rPr>
          <w:rFonts w:eastAsia="Calibri"/>
          <w:b/>
          <w:szCs w:val="24"/>
          <w:lang w:eastAsia="en-US"/>
        </w:rPr>
        <w:t>2025</w:t>
      </w:r>
      <w:r w:rsidRPr="00D434B4">
        <w:rPr>
          <w:rFonts w:eastAsia="Calibri"/>
          <w:b/>
          <w:szCs w:val="24"/>
          <w:lang w:eastAsia="en-US"/>
        </w:rPr>
        <w:t>)</w:t>
      </w:r>
      <w:r>
        <w:rPr>
          <w:rFonts w:eastAsia="Calibri"/>
          <w:b/>
          <w:szCs w:val="24"/>
          <w:lang w:eastAsia="en-US"/>
        </w:rPr>
        <w:t>0726</w:t>
      </w:r>
    </w:p>
    <w:p w14:paraId="34779BF0" w14:textId="3D6DFB39" w:rsidR="00826653" w:rsidRPr="00826653" w:rsidRDefault="00D434B4" w:rsidP="00826653">
      <w:pPr>
        <w:rPr>
          <w:b/>
          <w:szCs w:val="24"/>
        </w:rPr>
      </w:pPr>
      <w:r w:rsidRPr="00D434B4">
        <w:rPr>
          <w:b/>
          <w:szCs w:val="24"/>
        </w:rPr>
        <w:t>Posição do Parlamento Europeu aprovada em primeira leitura em 19 de maio de 2026 tendo em vista a adoção do Regulamento</w:t>
      </w:r>
      <w:r w:rsidRPr="004203CF">
        <w:rPr>
          <w:b/>
          <w:szCs w:val="24"/>
        </w:rPr>
        <w:t xml:space="preserve"> </w:t>
      </w:r>
      <w:r w:rsidRPr="002205B0">
        <w:rPr>
          <w:b/>
          <w:szCs w:val="24"/>
        </w:rPr>
        <w:t>(UE) 202</w:t>
      </w:r>
      <w:r w:rsidR="00826653" w:rsidRPr="002205B0">
        <w:rPr>
          <w:b/>
          <w:szCs w:val="24"/>
        </w:rPr>
        <w:t>6</w:t>
      </w:r>
      <w:r w:rsidRPr="002205B0">
        <w:rPr>
          <w:b/>
          <w:szCs w:val="24"/>
        </w:rPr>
        <w:t>/...</w:t>
      </w:r>
      <w:r w:rsidRPr="004203CF">
        <w:rPr>
          <w:b/>
          <w:szCs w:val="24"/>
        </w:rPr>
        <w:t xml:space="preserve"> </w:t>
      </w:r>
      <w:r w:rsidRPr="00D434B4">
        <w:rPr>
          <w:b/>
          <w:szCs w:val="24"/>
        </w:rPr>
        <w:t xml:space="preserve">do Parlamento Europeu e do Conselho </w:t>
      </w:r>
      <w:r w:rsidR="00826653" w:rsidRPr="003B4DE1">
        <w:rPr>
          <w:b/>
          <w:color w:val="000000"/>
          <w:szCs w:val="24"/>
          <w:lang w:eastAsia="en-US"/>
        </w:rPr>
        <w:t>relativo à resposta aos efeitos comerciais negativos decorrentes da sobrecapacidade mundial que afetam o mercado do aço da União</w:t>
      </w:r>
      <w:r w:rsidR="00826653" w:rsidRPr="00890DE1">
        <w:rPr>
          <w:b/>
          <w:color w:val="000000"/>
          <w:szCs w:val="24"/>
          <w:lang w:eastAsia="en-US"/>
        </w:rPr>
        <w:t xml:space="preserve"> e que altera o Regulamento (UE) 2020/2170</w:t>
      </w:r>
    </w:p>
    <w:p w14:paraId="38F2C032" w14:textId="2D34128F" w:rsidR="00161939" w:rsidRPr="00890DE1" w:rsidRDefault="00890DE1" w:rsidP="00890DE1">
      <w:pPr>
        <w:spacing w:before="240"/>
        <w:rPr>
          <w:i/>
          <w:iCs/>
        </w:rPr>
      </w:pPr>
      <w:r w:rsidRPr="00890DE1">
        <w:rPr>
          <w:i/>
          <w:iCs/>
        </w:rPr>
        <w:t>(Uma vez que foi alcançado um acordo entre o Parlamento e o Conselho, a posição do Parlamento corresponde ao texto legislativo final, Regulamento (UE) 2026/1384.)</w:t>
      </w:r>
    </w:p>
    <w:p w14:paraId="0D199FBD" w14:textId="77777777" w:rsidR="00890DE1" w:rsidRDefault="00890DE1" w:rsidP="00D434B4"/>
    <w:p w14:paraId="50CCF2E2" w14:textId="77777777" w:rsidR="00161939" w:rsidRDefault="00161939" w:rsidP="00D434B4">
      <w:pPr>
        <w:sectPr w:rsidR="00161939" w:rsidSect="003A7312">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732AFA" w14:textId="40B3BB21" w:rsidR="00826653" w:rsidRPr="007A4FC3" w:rsidRDefault="00161939" w:rsidP="00161939">
      <w:pPr>
        <w:spacing w:before="120" w:after="120" w:line="360" w:lineRule="auto"/>
        <w:jc w:val="right"/>
      </w:pPr>
      <w:r w:rsidRPr="007A4FC3">
        <w:lastRenderedPageBreak/>
        <w:t>ANEXO DA RESOLUÇÃO LEGISLATIVA</w:t>
      </w:r>
    </w:p>
    <w:p w14:paraId="477D97A1" w14:textId="77777777" w:rsidR="00161939" w:rsidRPr="00161939" w:rsidRDefault="00161939" w:rsidP="00161939">
      <w:pPr>
        <w:spacing w:after="240"/>
      </w:pPr>
      <w:r w:rsidRPr="00161939">
        <w:rPr>
          <w:b/>
          <w:bCs/>
        </w:rPr>
        <w:t>Declaração comum do Parlamento Europeu, do Conselho e da Comissão sobre a importação de produtos siderúrgicos da Rússia</w:t>
      </w:r>
    </w:p>
    <w:p w14:paraId="382EDE18" w14:textId="77777777" w:rsidR="00161939" w:rsidRPr="00161939" w:rsidRDefault="00161939" w:rsidP="00161939">
      <w:pPr>
        <w:spacing w:after="240"/>
      </w:pPr>
      <w:r w:rsidRPr="00161939">
        <w:t>Desde o início da guerra, a União e os seus Estados Membros tomaram medidas sem precedentes para reduzir a dependência económica em relação à Rússia e para velar por que a atividade económica da União não contribua para sustentar o esforço de guerra da Rússia.</w:t>
      </w:r>
    </w:p>
    <w:p w14:paraId="790B1A0E" w14:textId="77777777" w:rsidR="00161939" w:rsidRPr="00161939" w:rsidRDefault="00161939" w:rsidP="00161939">
      <w:pPr>
        <w:spacing w:after="240"/>
      </w:pPr>
      <w:r w:rsidRPr="00161939">
        <w:t>Estas medidas reduziram consideravelmente os fluxos comerciais numa vasta gama de setores, incluindo o aço, aceleraram a dissociação e contribuíram para a resiliência da União, tendo simultaneamente demonstrado a capacidade da União para atuar de forma unida e determinada sempre que estiverem em causa os seus valores e interesses estratégicos.</w:t>
      </w:r>
    </w:p>
    <w:p w14:paraId="39F37509" w14:textId="77777777" w:rsidR="00161939" w:rsidRPr="00161939" w:rsidRDefault="00161939" w:rsidP="00161939">
      <w:pPr>
        <w:spacing w:after="240"/>
      </w:pPr>
      <w:r w:rsidRPr="00161939">
        <w:t>A União deve, ao mesmo tempo, continuar atenta às áreas em que ainda existe dependência, em especial no que diz respeito a determinados produtos siderúrgicos cuja importação ainda não foi totalmente proibida.</w:t>
      </w:r>
    </w:p>
    <w:p w14:paraId="4BDDAE1D" w14:textId="77777777" w:rsidR="00161939" w:rsidRPr="00161939" w:rsidRDefault="00161939" w:rsidP="00161939">
      <w:pPr>
        <w:spacing w:after="240"/>
      </w:pPr>
      <w:r w:rsidRPr="00161939">
        <w:t>Em particular, em conformidade com as disposições transitórias previstas nas medidas restritivas pertinentes adotadas pelo Conselho, no setor siderúrgico mantêm se algumas importações limitadas provenientes da Rússia, até 30 de setembro de 2028</w:t>
      </w:r>
      <w:r w:rsidRPr="00161939">
        <w:rPr>
          <w:vertAlign w:val="superscript"/>
        </w:rPr>
        <w:footnoteReference w:id="1"/>
      </w:r>
      <w:r w:rsidRPr="00161939">
        <w:t>. Para assegurar uma diversificação progressiva e constante, estas importações são limitadas por contingentes, diminuindo os volumes anualmente.</w:t>
      </w:r>
    </w:p>
    <w:p w14:paraId="0115FF6E" w14:textId="126D7231" w:rsidR="00161939" w:rsidRDefault="00161939" w:rsidP="00161939">
      <w:pPr>
        <w:spacing w:after="240"/>
      </w:pPr>
      <w:r w:rsidRPr="00161939">
        <w:t>Recordando o quadro institucional aplicável às medidas restritivas, o Parlamento Europeu, o Conselho e a Comissão salientam que as medidas restritivas pertinentes adotadas pelo Conselho sustentam uma trajetória no sentido da eliminação total das restantes importações de produtos siderúrgicos russos, designadamente brames de aço, até 30 de setembro de 2028.</w:t>
      </w:r>
    </w:p>
    <w:p w14:paraId="24D6D02B" w14:textId="77777777" w:rsidR="00161939" w:rsidRPr="003A7312" w:rsidRDefault="00161939" w:rsidP="00161939">
      <w:pPr>
        <w:spacing w:before="120" w:after="120" w:line="360" w:lineRule="auto"/>
      </w:pPr>
    </w:p>
    <w:sectPr w:rsidR="00161939" w:rsidRPr="003A7312" w:rsidSect="003A73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30665" w14:textId="77777777" w:rsidR="00B87F81" w:rsidRPr="003A7312" w:rsidRDefault="00B87F81">
      <w:r w:rsidRPr="003A7312">
        <w:separator/>
      </w:r>
    </w:p>
  </w:endnote>
  <w:endnote w:type="continuationSeparator" w:id="0">
    <w:p w14:paraId="0E8C486C" w14:textId="77777777" w:rsidR="00B87F81" w:rsidRPr="003A7312" w:rsidRDefault="00B87F81">
      <w:r w:rsidRPr="003A73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4E639" w14:textId="77777777" w:rsidR="000A48F3" w:rsidRDefault="000A4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B1B74" w14:textId="77777777" w:rsidR="00B87F81" w:rsidRPr="003A7312" w:rsidRDefault="00B87F81">
      <w:r w:rsidRPr="003A7312">
        <w:separator/>
      </w:r>
    </w:p>
  </w:footnote>
  <w:footnote w:type="continuationSeparator" w:id="0">
    <w:p w14:paraId="1BE45218" w14:textId="77777777" w:rsidR="00B87F81" w:rsidRPr="003A7312" w:rsidRDefault="00B87F81">
      <w:r w:rsidRPr="003A7312">
        <w:continuationSeparator/>
      </w:r>
    </w:p>
  </w:footnote>
  <w:footnote w:id="1">
    <w:p w14:paraId="0BC28B9C" w14:textId="14C987DD" w:rsidR="00161939" w:rsidRPr="00161939" w:rsidRDefault="00161939" w:rsidP="00161939">
      <w:pPr>
        <w:pStyle w:val="FootnoteText"/>
        <w:ind w:left="851" w:hanging="851"/>
        <w:rPr>
          <w:sz w:val="24"/>
          <w:szCs w:val="24"/>
          <w:lang w:val="pt-PT"/>
        </w:rPr>
      </w:pPr>
      <w:r w:rsidRPr="00EB5F45">
        <w:rPr>
          <w:rStyle w:val="FootnoteReference"/>
          <w:sz w:val="24"/>
          <w:szCs w:val="24"/>
        </w:rPr>
        <w:footnoteRef/>
      </w:r>
      <w:r w:rsidRPr="00161939">
        <w:rPr>
          <w:sz w:val="24"/>
          <w:szCs w:val="24"/>
          <w:lang w:val="pt-PT"/>
        </w:rPr>
        <w:t xml:space="preserve"> </w:t>
      </w:r>
      <w:r w:rsidRPr="00161939">
        <w:rPr>
          <w:sz w:val="24"/>
          <w:szCs w:val="24"/>
          <w:lang w:val="pt-PT"/>
        </w:rPr>
        <w:tab/>
        <w:t>Decisão 2014/512/PESC do Conselho, de 31 de julho de 2014, que impõe medidas restritivas tendo em conta as ações da Rússia que desestabilizam a situação na Ucrânia</w:t>
      </w:r>
      <w:r w:rsidR="00890DE1">
        <w:rPr>
          <w:sz w:val="24"/>
          <w:szCs w:val="24"/>
          <w:lang w:val="pt-PT"/>
        </w:rPr>
        <w:t xml:space="preserve"> </w:t>
      </w:r>
      <w:r w:rsidR="00890DE1" w:rsidRPr="00890DE1">
        <w:rPr>
          <w:sz w:val="24"/>
          <w:szCs w:val="24"/>
          <w:lang w:val="pt-PT"/>
        </w:rPr>
        <w:t>(</w:t>
      </w:r>
      <w:r w:rsidR="00890DE1">
        <w:rPr>
          <w:sz w:val="24"/>
          <w:szCs w:val="24"/>
          <w:lang w:val="pt-PT"/>
        </w:rPr>
        <w:t>JO</w:t>
      </w:r>
      <w:r w:rsidR="00890DE1" w:rsidRPr="00890DE1">
        <w:rPr>
          <w:sz w:val="24"/>
          <w:szCs w:val="24"/>
          <w:lang w:val="pt-PT"/>
        </w:rPr>
        <w:t xml:space="preserve"> L 229</w:t>
      </w:r>
      <w:r w:rsidR="00890DE1">
        <w:rPr>
          <w:sz w:val="24"/>
          <w:szCs w:val="24"/>
          <w:lang w:val="pt-PT"/>
        </w:rPr>
        <w:t xml:space="preserve"> de</w:t>
      </w:r>
      <w:r w:rsidR="00890DE1" w:rsidRPr="00890DE1">
        <w:rPr>
          <w:sz w:val="24"/>
          <w:szCs w:val="24"/>
          <w:lang w:val="pt-PT"/>
        </w:rPr>
        <w:t xml:space="preserve"> 31.7.2014, p. 13, ELI: </w:t>
      </w:r>
      <w:hyperlink r:id="rId1" w:history="1">
        <w:r w:rsidR="00890DE1" w:rsidRPr="00890DE1">
          <w:rPr>
            <w:rStyle w:val="Hyperlink"/>
            <w:sz w:val="24"/>
            <w:szCs w:val="24"/>
            <w:lang w:val="pt-PT"/>
          </w:rPr>
          <w:t>http://data.europa</w:t>
        </w:r>
        <w:r w:rsidR="00890DE1" w:rsidRPr="00890DE1">
          <w:rPr>
            <w:rStyle w:val="Hyperlink"/>
            <w:sz w:val="24"/>
            <w:szCs w:val="24"/>
            <w:lang w:val="pt-PT"/>
          </w:rPr>
          <w:t>.</w:t>
        </w:r>
        <w:r w:rsidR="00890DE1" w:rsidRPr="00890DE1">
          <w:rPr>
            <w:rStyle w:val="Hyperlink"/>
            <w:sz w:val="24"/>
            <w:szCs w:val="24"/>
            <w:lang w:val="pt-PT"/>
          </w:rPr>
          <w:t>eu/eli/dec/2014/512/oj</w:t>
        </w:r>
      </w:hyperlink>
      <w:r w:rsidR="00890DE1">
        <w:rPr>
          <w:sz w:val="24"/>
          <w:szCs w:val="24"/>
          <w:lang w:val="pt-PT"/>
        </w:rPr>
        <w:t>)</w:t>
      </w:r>
      <w:r w:rsidRPr="00161939">
        <w:rPr>
          <w:sz w:val="24"/>
          <w:szCs w:val="24"/>
          <w:lang w:val="pt-PT"/>
        </w:rPr>
        <w:t>, e Regulamento (UE) n.º</w:t>
      </w:r>
      <w:r w:rsidR="007A4FC3">
        <w:rPr>
          <w:sz w:val="24"/>
          <w:szCs w:val="24"/>
          <w:lang w:val="pt-PT"/>
        </w:rPr>
        <w:t> </w:t>
      </w:r>
      <w:r w:rsidRPr="00161939">
        <w:rPr>
          <w:sz w:val="24"/>
          <w:szCs w:val="24"/>
          <w:lang w:val="pt-PT"/>
        </w:rPr>
        <w:t>833/2014 do Conselho, de 31 de julho de 2014, que impõe medidas restritivas tendo em conta as ações da Rússia que desestabilizam a situação na Ucrânia</w:t>
      </w:r>
      <w:r w:rsidR="00890DE1">
        <w:rPr>
          <w:sz w:val="24"/>
          <w:szCs w:val="24"/>
          <w:lang w:val="pt-PT"/>
        </w:rPr>
        <w:t xml:space="preserve"> </w:t>
      </w:r>
      <w:r w:rsidR="00890DE1" w:rsidRPr="00890DE1">
        <w:rPr>
          <w:sz w:val="24"/>
          <w:szCs w:val="24"/>
          <w:lang w:val="pt-PT"/>
        </w:rPr>
        <w:t>(</w:t>
      </w:r>
      <w:r w:rsidR="00890DE1">
        <w:rPr>
          <w:sz w:val="24"/>
          <w:szCs w:val="24"/>
          <w:lang w:val="pt-PT"/>
        </w:rPr>
        <w:t>JO</w:t>
      </w:r>
      <w:r w:rsidR="00890DE1" w:rsidRPr="00890DE1">
        <w:rPr>
          <w:sz w:val="24"/>
          <w:szCs w:val="24"/>
          <w:lang w:val="pt-PT"/>
        </w:rPr>
        <w:t xml:space="preserve"> L 229</w:t>
      </w:r>
      <w:r w:rsidR="00890DE1">
        <w:rPr>
          <w:sz w:val="24"/>
          <w:szCs w:val="24"/>
          <w:lang w:val="pt-PT"/>
        </w:rPr>
        <w:t xml:space="preserve"> de</w:t>
      </w:r>
      <w:r w:rsidR="00890DE1" w:rsidRPr="00890DE1">
        <w:rPr>
          <w:sz w:val="24"/>
          <w:szCs w:val="24"/>
          <w:lang w:val="pt-PT"/>
        </w:rPr>
        <w:t xml:space="preserve"> 31.7.2014, p.</w:t>
      </w:r>
      <w:r w:rsidR="007A4FC3">
        <w:rPr>
          <w:sz w:val="24"/>
          <w:szCs w:val="24"/>
          <w:lang w:val="pt-PT"/>
        </w:rPr>
        <w:t> </w:t>
      </w:r>
      <w:r w:rsidR="00890DE1" w:rsidRPr="00890DE1">
        <w:rPr>
          <w:sz w:val="24"/>
          <w:szCs w:val="24"/>
          <w:lang w:val="pt-PT"/>
        </w:rPr>
        <w:t xml:space="preserve">1, ELI: </w:t>
      </w:r>
      <w:hyperlink r:id="rId2" w:history="1">
        <w:r w:rsidR="00890DE1" w:rsidRPr="00890DE1">
          <w:rPr>
            <w:rStyle w:val="Hyperlink"/>
            <w:sz w:val="24"/>
            <w:szCs w:val="24"/>
            <w:lang w:val="pt-PT"/>
          </w:rPr>
          <w:t>http://data.europa.eu/eli/reg/2014/833/oj</w:t>
        </w:r>
      </w:hyperlink>
      <w:r w:rsidR="00890DE1">
        <w:rPr>
          <w:sz w:val="24"/>
          <w:szCs w:val="24"/>
          <w:lang w:val="pt-PT"/>
        </w:rPr>
        <w:t>)</w:t>
      </w:r>
      <w:r w:rsidRPr="00161939">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A742867"/>
    <w:multiLevelType w:val="hybridMultilevel"/>
    <w:tmpl w:val="21DAEA34"/>
    <w:lvl w:ilvl="0" w:tplc="689E158C">
      <w:start w:val="1"/>
      <w:numFmt w:val="lowerLetter"/>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13" w15:restartNumberingAfterBreak="0">
    <w:nsid w:val="43C77951"/>
    <w:multiLevelType w:val="hybridMultilevel"/>
    <w:tmpl w:val="CF046FD2"/>
    <w:lvl w:ilvl="0" w:tplc="BBCE430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C8DAEB28">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F06E51E8">
      <w:numFmt w:val="bullet"/>
      <w:lvlText w:val="•"/>
      <w:lvlJc w:val="left"/>
      <w:pPr>
        <w:ind w:left="2402" w:hanging="567"/>
      </w:pPr>
      <w:rPr>
        <w:lang w:val="en-US" w:eastAsia="en-US" w:bidi="ar-SA"/>
      </w:rPr>
    </w:lvl>
    <w:lvl w:ilvl="3" w:tplc="BBBA472A">
      <w:numFmt w:val="bullet"/>
      <w:lvlText w:val="•"/>
      <w:lvlJc w:val="left"/>
      <w:pPr>
        <w:ind w:left="3265" w:hanging="567"/>
      </w:pPr>
      <w:rPr>
        <w:lang w:val="en-US" w:eastAsia="en-US" w:bidi="ar-SA"/>
      </w:rPr>
    </w:lvl>
    <w:lvl w:ilvl="4" w:tplc="ADE82790">
      <w:numFmt w:val="bullet"/>
      <w:lvlText w:val="•"/>
      <w:lvlJc w:val="left"/>
      <w:pPr>
        <w:ind w:left="4128" w:hanging="567"/>
      </w:pPr>
      <w:rPr>
        <w:lang w:val="en-US" w:eastAsia="en-US" w:bidi="ar-SA"/>
      </w:rPr>
    </w:lvl>
    <w:lvl w:ilvl="5" w:tplc="2A7ACF5A">
      <w:numFmt w:val="bullet"/>
      <w:lvlText w:val="•"/>
      <w:lvlJc w:val="left"/>
      <w:pPr>
        <w:ind w:left="4991" w:hanging="567"/>
      </w:pPr>
      <w:rPr>
        <w:lang w:val="en-US" w:eastAsia="en-US" w:bidi="ar-SA"/>
      </w:rPr>
    </w:lvl>
    <w:lvl w:ilvl="6" w:tplc="2474F536">
      <w:numFmt w:val="bullet"/>
      <w:lvlText w:val="•"/>
      <w:lvlJc w:val="left"/>
      <w:pPr>
        <w:ind w:left="5854" w:hanging="567"/>
      </w:pPr>
      <w:rPr>
        <w:lang w:val="en-US" w:eastAsia="en-US" w:bidi="ar-SA"/>
      </w:rPr>
    </w:lvl>
    <w:lvl w:ilvl="7" w:tplc="D41CEDFC">
      <w:numFmt w:val="bullet"/>
      <w:lvlText w:val="•"/>
      <w:lvlJc w:val="left"/>
      <w:pPr>
        <w:ind w:left="6717" w:hanging="567"/>
      </w:pPr>
      <w:rPr>
        <w:lang w:val="en-US" w:eastAsia="en-US" w:bidi="ar-SA"/>
      </w:rPr>
    </w:lvl>
    <w:lvl w:ilvl="8" w:tplc="634A71E6">
      <w:numFmt w:val="bullet"/>
      <w:lvlText w:val="•"/>
      <w:lvlJc w:val="left"/>
      <w:pPr>
        <w:ind w:left="7580" w:hanging="567"/>
      </w:pPr>
      <w:rPr>
        <w:lang w:val="en-US" w:eastAsia="en-US" w:bidi="ar-SA"/>
      </w:rPr>
    </w:lvl>
  </w:abstractNum>
  <w:abstractNum w:abstractNumId="14" w15:restartNumberingAfterBreak="0">
    <w:nsid w:val="4D3C337A"/>
    <w:multiLevelType w:val="hybridMultilevel"/>
    <w:tmpl w:val="F398A9F8"/>
    <w:lvl w:ilvl="0" w:tplc="715EC59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0688DCF2">
      <w:numFmt w:val="bullet"/>
      <w:lvlText w:val="•"/>
      <w:lvlJc w:val="left"/>
      <w:pPr>
        <w:ind w:left="1794" w:hanging="850"/>
      </w:pPr>
      <w:rPr>
        <w:lang w:val="en-US" w:eastAsia="en-US" w:bidi="ar-SA"/>
      </w:rPr>
    </w:lvl>
    <w:lvl w:ilvl="2" w:tplc="CB52B97A">
      <w:numFmt w:val="bullet"/>
      <w:lvlText w:val="•"/>
      <w:lvlJc w:val="left"/>
      <w:pPr>
        <w:ind w:left="2629" w:hanging="850"/>
      </w:pPr>
      <w:rPr>
        <w:lang w:val="en-US" w:eastAsia="en-US" w:bidi="ar-SA"/>
      </w:rPr>
    </w:lvl>
    <w:lvl w:ilvl="3" w:tplc="F3CA14C0">
      <w:numFmt w:val="bullet"/>
      <w:lvlText w:val="•"/>
      <w:lvlJc w:val="left"/>
      <w:pPr>
        <w:ind w:left="3463" w:hanging="850"/>
      </w:pPr>
      <w:rPr>
        <w:lang w:val="en-US" w:eastAsia="en-US" w:bidi="ar-SA"/>
      </w:rPr>
    </w:lvl>
    <w:lvl w:ilvl="4" w:tplc="5F72EEDC">
      <w:numFmt w:val="bullet"/>
      <w:lvlText w:val="•"/>
      <w:lvlJc w:val="left"/>
      <w:pPr>
        <w:ind w:left="4298" w:hanging="850"/>
      </w:pPr>
      <w:rPr>
        <w:lang w:val="en-US" w:eastAsia="en-US" w:bidi="ar-SA"/>
      </w:rPr>
    </w:lvl>
    <w:lvl w:ilvl="5" w:tplc="2738E558">
      <w:numFmt w:val="bullet"/>
      <w:lvlText w:val="•"/>
      <w:lvlJc w:val="left"/>
      <w:pPr>
        <w:ind w:left="5133" w:hanging="850"/>
      </w:pPr>
      <w:rPr>
        <w:lang w:val="en-US" w:eastAsia="en-US" w:bidi="ar-SA"/>
      </w:rPr>
    </w:lvl>
    <w:lvl w:ilvl="6" w:tplc="1DCC6B8A">
      <w:numFmt w:val="bullet"/>
      <w:lvlText w:val="•"/>
      <w:lvlJc w:val="left"/>
      <w:pPr>
        <w:ind w:left="5967" w:hanging="850"/>
      </w:pPr>
      <w:rPr>
        <w:lang w:val="en-US" w:eastAsia="en-US" w:bidi="ar-SA"/>
      </w:rPr>
    </w:lvl>
    <w:lvl w:ilvl="7" w:tplc="04FA2334">
      <w:numFmt w:val="bullet"/>
      <w:lvlText w:val="•"/>
      <w:lvlJc w:val="left"/>
      <w:pPr>
        <w:ind w:left="6802" w:hanging="850"/>
      </w:pPr>
      <w:rPr>
        <w:lang w:val="en-US" w:eastAsia="en-US" w:bidi="ar-SA"/>
      </w:rPr>
    </w:lvl>
    <w:lvl w:ilvl="8" w:tplc="D96EDCFA">
      <w:numFmt w:val="bullet"/>
      <w:lvlText w:val="•"/>
      <w:lvlJc w:val="left"/>
      <w:pPr>
        <w:ind w:left="7637" w:hanging="850"/>
      </w:pPr>
      <w:rPr>
        <w:lang w:val="en-US" w:eastAsia="en-US" w:bidi="ar-SA"/>
      </w:rPr>
    </w:lvl>
  </w:abstractNum>
  <w:abstractNum w:abstractNumId="15" w15:restartNumberingAfterBreak="0">
    <w:nsid w:val="60B67A4F"/>
    <w:multiLevelType w:val="hybridMultilevel"/>
    <w:tmpl w:val="F996A700"/>
    <w:lvl w:ilvl="0" w:tplc="EBD03C70">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103625FA">
      <w:numFmt w:val="bullet"/>
      <w:lvlText w:val="•"/>
      <w:lvlJc w:val="left"/>
      <w:pPr>
        <w:ind w:left="1668" w:hanging="708"/>
      </w:pPr>
      <w:rPr>
        <w:lang w:val="en-US" w:eastAsia="en-US" w:bidi="ar-SA"/>
      </w:rPr>
    </w:lvl>
    <w:lvl w:ilvl="2" w:tplc="562093D6">
      <w:numFmt w:val="bullet"/>
      <w:lvlText w:val="•"/>
      <w:lvlJc w:val="left"/>
      <w:pPr>
        <w:ind w:left="2517" w:hanging="708"/>
      </w:pPr>
      <w:rPr>
        <w:lang w:val="en-US" w:eastAsia="en-US" w:bidi="ar-SA"/>
      </w:rPr>
    </w:lvl>
    <w:lvl w:ilvl="3" w:tplc="07DE25F2">
      <w:numFmt w:val="bullet"/>
      <w:lvlText w:val="•"/>
      <w:lvlJc w:val="left"/>
      <w:pPr>
        <w:ind w:left="3365" w:hanging="708"/>
      </w:pPr>
      <w:rPr>
        <w:lang w:val="en-US" w:eastAsia="en-US" w:bidi="ar-SA"/>
      </w:rPr>
    </w:lvl>
    <w:lvl w:ilvl="4" w:tplc="F8346E7C">
      <w:numFmt w:val="bullet"/>
      <w:lvlText w:val="•"/>
      <w:lvlJc w:val="left"/>
      <w:pPr>
        <w:ind w:left="4214" w:hanging="708"/>
      </w:pPr>
      <w:rPr>
        <w:lang w:val="en-US" w:eastAsia="en-US" w:bidi="ar-SA"/>
      </w:rPr>
    </w:lvl>
    <w:lvl w:ilvl="5" w:tplc="0AC22548">
      <w:numFmt w:val="bullet"/>
      <w:lvlText w:val="•"/>
      <w:lvlJc w:val="left"/>
      <w:pPr>
        <w:ind w:left="5063" w:hanging="708"/>
      </w:pPr>
      <w:rPr>
        <w:lang w:val="en-US" w:eastAsia="en-US" w:bidi="ar-SA"/>
      </w:rPr>
    </w:lvl>
    <w:lvl w:ilvl="6" w:tplc="94E21628">
      <w:numFmt w:val="bullet"/>
      <w:lvlText w:val="•"/>
      <w:lvlJc w:val="left"/>
      <w:pPr>
        <w:ind w:left="5911" w:hanging="708"/>
      </w:pPr>
      <w:rPr>
        <w:lang w:val="en-US" w:eastAsia="en-US" w:bidi="ar-SA"/>
      </w:rPr>
    </w:lvl>
    <w:lvl w:ilvl="7" w:tplc="7A045A42">
      <w:numFmt w:val="bullet"/>
      <w:lvlText w:val="•"/>
      <w:lvlJc w:val="left"/>
      <w:pPr>
        <w:ind w:left="6760" w:hanging="708"/>
      </w:pPr>
      <w:rPr>
        <w:lang w:val="en-US" w:eastAsia="en-US" w:bidi="ar-SA"/>
      </w:rPr>
    </w:lvl>
    <w:lvl w:ilvl="8" w:tplc="12825870">
      <w:numFmt w:val="bullet"/>
      <w:lvlText w:val="•"/>
      <w:lvlJc w:val="left"/>
      <w:pPr>
        <w:ind w:left="7609" w:hanging="708"/>
      </w:pPr>
      <w:rPr>
        <w:lang w:val="en-US" w:eastAsia="en-US" w:bidi="ar-SA"/>
      </w:rPr>
    </w:lvl>
  </w:abstractNum>
  <w:abstractNum w:abstractNumId="16" w15:restartNumberingAfterBreak="0">
    <w:nsid w:val="66D377C0"/>
    <w:multiLevelType w:val="hybridMultilevel"/>
    <w:tmpl w:val="898671CA"/>
    <w:lvl w:ilvl="0" w:tplc="2D5CAC8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8DFC743E">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C7CEE566">
      <w:numFmt w:val="bullet"/>
      <w:lvlText w:val="•"/>
      <w:lvlJc w:val="left"/>
      <w:pPr>
        <w:ind w:left="2402" w:hanging="567"/>
      </w:pPr>
      <w:rPr>
        <w:lang w:val="en-US" w:eastAsia="en-US" w:bidi="ar-SA"/>
      </w:rPr>
    </w:lvl>
    <w:lvl w:ilvl="3" w:tplc="F94EEE4A">
      <w:numFmt w:val="bullet"/>
      <w:lvlText w:val="•"/>
      <w:lvlJc w:val="left"/>
      <w:pPr>
        <w:ind w:left="3265" w:hanging="567"/>
      </w:pPr>
      <w:rPr>
        <w:lang w:val="en-US" w:eastAsia="en-US" w:bidi="ar-SA"/>
      </w:rPr>
    </w:lvl>
    <w:lvl w:ilvl="4" w:tplc="14B858EE">
      <w:numFmt w:val="bullet"/>
      <w:lvlText w:val="•"/>
      <w:lvlJc w:val="left"/>
      <w:pPr>
        <w:ind w:left="4128" w:hanging="567"/>
      </w:pPr>
      <w:rPr>
        <w:lang w:val="en-US" w:eastAsia="en-US" w:bidi="ar-SA"/>
      </w:rPr>
    </w:lvl>
    <w:lvl w:ilvl="5" w:tplc="153AD268">
      <w:numFmt w:val="bullet"/>
      <w:lvlText w:val="•"/>
      <w:lvlJc w:val="left"/>
      <w:pPr>
        <w:ind w:left="4991" w:hanging="567"/>
      </w:pPr>
      <w:rPr>
        <w:lang w:val="en-US" w:eastAsia="en-US" w:bidi="ar-SA"/>
      </w:rPr>
    </w:lvl>
    <w:lvl w:ilvl="6" w:tplc="5FDAB42E">
      <w:numFmt w:val="bullet"/>
      <w:lvlText w:val="•"/>
      <w:lvlJc w:val="left"/>
      <w:pPr>
        <w:ind w:left="5854" w:hanging="567"/>
      </w:pPr>
      <w:rPr>
        <w:lang w:val="en-US" w:eastAsia="en-US" w:bidi="ar-SA"/>
      </w:rPr>
    </w:lvl>
    <w:lvl w:ilvl="7" w:tplc="DC2E76D8">
      <w:numFmt w:val="bullet"/>
      <w:lvlText w:val="•"/>
      <w:lvlJc w:val="left"/>
      <w:pPr>
        <w:ind w:left="6717" w:hanging="567"/>
      </w:pPr>
      <w:rPr>
        <w:lang w:val="en-US" w:eastAsia="en-US" w:bidi="ar-SA"/>
      </w:rPr>
    </w:lvl>
    <w:lvl w:ilvl="8" w:tplc="A06A76AC">
      <w:numFmt w:val="bullet"/>
      <w:lvlText w:val="•"/>
      <w:lvlJc w:val="left"/>
      <w:pPr>
        <w:ind w:left="7580" w:hanging="567"/>
      </w:pPr>
      <w:rPr>
        <w:lang w:val="en-US" w:eastAsia="en-US" w:bidi="ar-SA"/>
      </w:rPr>
    </w:lvl>
  </w:abstractNum>
  <w:abstractNum w:abstractNumId="17" w15:restartNumberingAfterBreak="0">
    <w:nsid w:val="6F281ACF"/>
    <w:multiLevelType w:val="hybridMultilevel"/>
    <w:tmpl w:val="5164C992"/>
    <w:lvl w:ilvl="0" w:tplc="0EDEDA04">
      <w:start w:val="1"/>
      <w:numFmt w:val="lowerLetter"/>
      <w:lvlText w:val="%1)"/>
      <w:lvlJc w:val="left"/>
      <w:pPr>
        <w:ind w:left="1020" w:hanging="360"/>
      </w:pPr>
    </w:lvl>
    <w:lvl w:ilvl="1" w:tplc="89E6AF00">
      <w:start w:val="1"/>
      <w:numFmt w:val="lowerLetter"/>
      <w:lvlText w:val="%2)"/>
      <w:lvlJc w:val="left"/>
      <w:pPr>
        <w:ind w:left="1020" w:hanging="360"/>
      </w:pPr>
    </w:lvl>
    <w:lvl w:ilvl="2" w:tplc="10DC30B6">
      <w:start w:val="1"/>
      <w:numFmt w:val="lowerLetter"/>
      <w:lvlText w:val="%3)"/>
      <w:lvlJc w:val="left"/>
      <w:pPr>
        <w:ind w:left="1020" w:hanging="360"/>
      </w:pPr>
    </w:lvl>
    <w:lvl w:ilvl="3" w:tplc="3F1EBD9E">
      <w:start w:val="1"/>
      <w:numFmt w:val="lowerLetter"/>
      <w:lvlText w:val="%4)"/>
      <w:lvlJc w:val="left"/>
      <w:pPr>
        <w:ind w:left="1020" w:hanging="360"/>
      </w:pPr>
    </w:lvl>
    <w:lvl w:ilvl="4" w:tplc="CE1C9BD2">
      <w:start w:val="1"/>
      <w:numFmt w:val="lowerLetter"/>
      <w:lvlText w:val="%5)"/>
      <w:lvlJc w:val="left"/>
      <w:pPr>
        <w:ind w:left="1020" w:hanging="360"/>
      </w:pPr>
    </w:lvl>
    <w:lvl w:ilvl="5" w:tplc="482C11E8">
      <w:start w:val="1"/>
      <w:numFmt w:val="lowerLetter"/>
      <w:lvlText w:val="%6)"/>
      <w:lvlJc w:val="left"/>
      <w:pPr>
        <w:ind w:left="1020" w:hanging="360"/>
      </w:pPr>
    </w:lvl>
    <w:lvl w:ilvl="6" w:tplc="6B424AE6">
      <w:start w:val="1"/>
      <w:numFmt w:val="lowerLetter"/>
      <w:lvlText w:val="%7)"/>
      <w:lvlJc w:val="left"/>
      <w:pPr>
        <w:ind w:left="1020" w:hanging="360"/>
      </w:pPr>
    </w:lvl>
    <w:lvl w:ilvl="7" w:tplc="EBB4EA06">
      <w:start w:val="1"/>
      <w:numFmt w:val="lowerLetter"/>
      <w:lvlText w:val="%8)"/>
      <w:lvlJc w:val="left"/>
      <w:pPr>
        <w:ind w:left="1020" w:hanging="360"/>
      </w:pPr>
    </w:lvl>
    <w:lvl w:ilvl="8" w:tplc="91805F16">
      <w:start w:val="1"/>
      <w:numFmt w:val="lowerLetter"/>
      <w:lvlText w:val="%9)"/>
      <w:lvlJc w:val="left"/>
      <w:pPr>
        <w:ind w:left="1020" w:hanging="360"/>
      </w:pPr>
    </w:lvl>
  </w:abstractNum>
  <w:num w:numId="1" w16cid:durableId="53085919">
    <w:abstractNumId w:val="9"/>
  </w:num>
  <w:num w:numId="2" w16cid:durableId="682977645">
    <w:abstractNumId w:val="9"/>
  </w:num>
  <w:num w:numId="3" w16cid:durableId="174534726">
    <w:abstractNumId w:val="7"/>
  </w:num>
  <w:num w:numId="4" w16cid:durableId="1139497129">
    <w:abstractNumId w:val="7"/>
  </w:num>
  <w:num w:numId="5" w16cid:durableId="631902846">
    <w:abstractNumId w:val="6"/>
  </w:num>
  <w:num w:numId="6" w16cid:durableId="1247808317">
    <w:abstractNumId w:val="6"/>
  </w:num>
  <w:num w:numId="7" w16cid:durableId="298801796">
    <w:abstractNumId w:val="5"/>
  </w:num>
  <w:num w:numId="8" w16cid:durableId="812141952">
    <w:abstractNumId w:val="5"/>
  </w:num>
  <w:num w:numId="9" w16cid:durableId="985739991">
    <w:abstractNumId w:val="4"/>
  </w:num>
  <w:num w:numId="10" w16cid:durableId="2053191981">
    <w:abstractNumId w:val="4"/>
  </w:num>
  <w:num w:numId="11" w16cid:durableId="8996650">
    <w:abstractNumId w:val="8"/>
  </w:num>
  <w:num w:numId="12" w16cid:durableId="669331618">
    <w:abstractNumId w:val="8"/>
  </w:num>
  <w:num w:numId="13" w16cid:durableId="2020889558">
    <w:abstractNumId w:val="3"/>
  </w:num>
  <w:num w:numId="14" w16cid:durableId="1866672085">
    <w:abstractNumId w:val="3"/>
  </w:num>
  <w:num w:numId="15" w16cid:durableId="2146851627">
    <w:abstractNumId w:val="2"/>
  </w:num>
  <w:num w:numId="16" w16cid:durableId="793253069">
    <w:abstractNumId w:val="2"/>
  </w:num>
  <w:num w:numId="17" w16cid:durableId="875702988">
    <w:abstractNumId w:val="1"/>
  </w:num>
  <w:num w:numId="18" w16cid:durableId="1403605737">
    <w:abstractNumId w:val="1"/>
  </w:num>
  <w:num w:numId="19" w16cid:durableId="752047193">
    <w:abstractNumId w:val="0"/>
  </w:num>
  <w:num w:numId="20" w16cid:durableId="1083143976">
    <w:abstractNumId w:val="0"/>
  </w:num>
  <w:num w:numId="21" w16cid:durableId="1912036460">
    <w:abstractNumId w:val="9"/>
  </w:num>
  <w:num w:numId="22" w16cid:durableId="1997953346">
    <w:abstractNumId w:val="7"/>
  </w:num>
  <w:num w:numId="23" w16cid:durableId="1690527968">
    <w:abstractNumId w:val="6"/>
  </w:num>
  <w:num w:numId="24" w16cid:durableId="1081829662">
    <w:abstractNumId w:val="5"/>
  </w:num>
  <w:num w:numId="25" w16cid:durableId="472137519">
    <w:abstractNumId w:val="4"/>
  </w:num>
  <w:num w:numId="26" w16cid:durableId="873811957">
    <w:abstractNumId w:val="8"/>
  </w:num>
  <w:num w:numId="27" w16cid:durableId="401299005">
    <w:abstractNumId w:val="3"/>
  </w:num>
  <w:num w:numId="28" w16cid:durableId="1022629829">
    <w:abstractNumId w:val="2"/>
  </w:num>
  <w:num w:numId="29" w16cid:durableId="190189770">
    <w:abstractNumId w:val="1"/>
  </w:num>
  <w:num w:numId="30" w16cid:durableId="2029092045">
    <w:abstractNumId w:val="0"/>
  </w:num>
  <w:num w:numId="31" w16cid:durableId="532621726">
    <w:abstractNumId w:val="9"/>
  </w:num>
  <w:num w:numId="32" w16cid:durableId="1871720373">
    <w:abstractNumId w:val="7"/>
  </w:num>
  <w:num w:numId="33" w16cid:durableId="2030134139">
    <w:abstractNumId w:val="6"/>
  </w:num>
  <w:num w:numId="34" w16cid:durableId="2022584180">
    <w:abstractNumId w:val="5"/>
  </w:num>
  <w:num w:numId="35" w16cid:durableId="1920016938">
    <w:abstractNumId w:val="4"/>
  </w:num>
  <w:num w:numId="36" w16cid:durableId="733702943">
    <w:abstractNumId w:val="8"/>
  </w:num>
  <w:num w:numId="37" w16cid:durableId="622542690">
    <w:abstractNumId w:val="3"/>
  </w:num>
  <w:num w:numId="38" w16cid:durableId="480393351">
    <w:abstractNumId w:val="2"/>
  </w:num>
  <w:num w:numId="39" w16cid:durableId="1687898385">
    <w:abstractNumId w:val="1"/>
  </w:num>
  <w:num w:numId="40" w16cid:durableId="842739632">
    <w:abstractNumId w:val="0"/>
  </w:num>
  <w:num w:numId="41" w16cid:durableId="1906911783">
    <w:abstractNumId w:val="10"/>
  </w:num>
  <w:num w:numId="42" w16cid:durableId="701827058">
    <w:abstractNumId w:val="10"/>
  </w:num>
  <w:num w:numId="43" w16cid:durableId="271205223">
    <w:abstractNumId w:val="10"/>
  </w:num>
  <w:num w:numId="44" w16cid:durableId="1366098370">
    <w:abstractNumId w:val="11"/>
  </w:num>
  <w:num w:numId="45" w16cid:durableId="177623198">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4"/>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5"/>
    <w:lvlOverride w:ilvl="0">
      <w:startOverride w:val="1"/>
    </w:lvlOverride>
    <w:lvlOverride w:ilvl="1"/>
    <w:lvlOverride w:ilvl="2"/>
    <w:lvlOverride w:ilvl="3"/>
    <w:lvlOverride w:ilvl="4"/>
    <w:lvlOverride w:ilvl="5"/>
    <w:lvlOverride w:ilvl="6"/>
    <w:lvlOverride w:ilvl="7"/>
    <w:lvlOverride w:ilvl="8"/>
  </w:num>
  <w:num w:numId="49" w16cid:durableId="1490095117">
    <w:abstractNumId w:val="17"/>
  </w:num>
  <w:num w:numId="50" w16cid:durableId="11570660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PT"/>
    <w:docVar w:name="dvnumam" w:val="88"/>
    <w:docVar w:name="dvpe" w:val="779.727"/>
    <w:docVar w:name="dvrapporteur" w:val="Relatora: "/>
    <w:docVar w:name="dvstar" w:val="***I"/>
    <w:docVar w:name="dvtitre" w:val="Resolução legislativa do Parlamento Europeu, de ... de ... de 2026,_x000d__x000a_ sobre a proposta de regulamento do Parlamento Europeu e do Conselho relativo à resposta aos efeitos negativos relacionados com o comércio decorrentes da sobrecapacidade mundial que afetam o mercado siderúrgico da UE(COM(2025)0726 – C10-0245/2025 – 2025/0726(COD))"/>
  </w:docVars>
  <w:rsids>
    <w:rsidRoot w:val="00B87F81"/>
    <w:rsid w:val="00002272"/>
    <w:rsid w:val="00011C2B"/>
    <w:rsid w:val="00064002"/>
    <w:rsid w:val="000677B9"/>
    <w:rsid w:val="000831BA"/>
    <w:rsid w:val="000A42CC"/>
    <w:rsid w:val="000A48F3"/>
    <w:rsid w:val="000D11C8"/>
    <w:rsid w:val="000E3B11"/>
    <w:rsid w:val="000E7DD9"/>
    <w:rsid w:val="0010095E"/>
    <w:rsid w:val="001168B0"/>
    <w:rsid w:val="00125B37"/>
    <w:rsid w:val="00134FDA"/>
    <w:rsid w:val="00141063"/>
    <w:rsid w:val="00161939"/>
    <w:rsid w:val="00182F97"/>
    <w:rsid w:val="00187494"/>
    <w:rsid w:val="001F32AE"/>
    <w:rsid w:val="002205B0"/>
    <w:rsid w:val="002767FF"/>
    <w:rsid w:val="002B18FE"/>
    <w:rsid w:val="002B5493"/>
    <w:rsid w:val="002B6BC3"/>
    <w:rsid w:val="00343214"/>
    <w:rsid w:val="00347FDB"/>
    <w:rsid w:val="00361C00"/>
    <w:rsid w:val="00367F77"/>
    <w:rsid w:val="00395FA1"/>
    <w:rsid w:val="003A7312"/>
    <w:rsid w:val="003E15D4"/>
    <w:rsid w:val="00411CCE"/>
    <w:rsid w:val="0041666E"/>
    <w:rsid w:val="004203CF"/>
    <w:rsid w:val="00421060"/>
    <w:rsid w:val="00471C19"/>
    <w:rsid w:val="004867E3"/>
    <w:rsid w:val="00494A28"/>
    <w:rsid w:val="004A5DF8"/>
    <w:rsid w:val="004C0004"/>
    <w:rsid w:val="004C47D0"/>
    <w:rsid w:val="004C5D52"/>
    <w:rsid w:val="0050519A"/>
    <w:rsid w:val="005072A1"/>
    <w:rsid w:val="00514517"/>
    <w:rsid w:val="00536EB4"/>
    <w:rsid w:val="00545827"/>
    <w:rsid w:val="00560270"/>
    <w:rsid w:val="005C2568"/>
    <w:rsid w:val="005E4ABF"/>
    <w:rsid w:val="005F1B17"/>
    <w:rsid w:val="006037C0"/>
    <w:rsid w:val="006631B6"/>
    <w:rsid w:val="00680577"/>
    <w:rsid w:val="006D296B"/>
    <w:rsid w:val="006E5E69"/>
    <w:rsid w:val="006F74FA"/>
    <w:rsid w:val="00731ADD"/>
    <w:rsid w:val="00734777"/>
    <w:rsid w:val="00747932"/>
    <w:rsid w:val="00751A4A"/>
    <w:rsid w:val="00756632"/>
    <w:rsid w:val="00762C74"/>
    <w:rsid w:val="00786EC0"/>
    <w:rsid w:val="007A4FC3"/>
    <w:rsid w:val="007D1690"/>
    <w:rsid w:val="007E22AD"/>
    <w:rsid w:val="00817416"/>
    <w:rsid w:val="00826653"/>
    <w:rsid w:val="00842779"/>
    <w:rsid w:val="00850A53"/>
    <w:rsid w:val="00865F67"/>
    <w:rsid w:val="00881A7B"/>
    <w:rsid w:val="008840E5"/>
    <w:rsid w:val="00887B3E"/>
    <w:rsid w:val="00890DE1"/>
    <w:rsid w:val="008C2AC6"/>
    <w:rsid w:val="008C3367"/>
    <w:rsid w:val="008F58BB"/>
    <w:rsid w:val="00930C23"/>
    <w:rsid w:val="0093193B"/>
    <w:rsid w:val="009509D8"/>
    <w:rsid w:val="00950B64"/>
    <w:rsid w:val="00981893"/>
    <w:rsid w:val="00A1687D"/>
    <w:rsid w:val="00A43E52"/>
    <w:rsid w:val="00A46475"/>
    <w:rsid w:val="00A4678D"/>
    <w:rsid w:val="00A67026"/>
    <w:rsid w:val="00A778C7"/>
    <w:rsid w:val="00AB441E"/>
    <w:rsid w:val="00AB6293"/>
    <w:rsid w:val="00AE0928"/>
    <w:rsid w:val="00AF3B82"/>
    <w:rsid w:val="00B12E95"/>
    <w:rsid w:val="00B22876"/>
    <w:rsid w:val="00B338EA"/>
    <w:rsid w:val="00B558F0"/>
    <w:rsid w:val="00B87F81"/>
    <w:rsid w:val="00BD48FE"/>
    <w:rsid w:val="00BD7BD8"/>
    <w:rsid w:val="00BE6ADC"/>
    <w:rsid w:val="00C05BFE"/>
    <w:rsid w:val="00C23CD4"/>
    <w:rsid w:val="00C61C0C"/>
    <w:rsid w:val="00C941CB"/>
    <w:rsid w:val="00CA37A3"/>
    <w:rsid w:val="00CC2357"/>
    <w:rsid w:val="00CF071A"/>
    <w:rsid w:val="00D058B8"/>
    <w:rsid w:val="00D434B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90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30C635C"/>
  <w15:chartTrackingRefBased/>
  <w15:docId w15:val="{4A9ECB2D-D77D-495A-B616-1E42989C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C47D0"/>
    <w:rPr>
      <w:b/>
      <w:kern w:val="28"/>
      <w:sz w:val="28"/>
      <w:lang w:val="fr-FR" w:eastAsia="fr-FR"/>
    </w:rPr>
  </w:style>
  <w:style w:type="character" w:customStyle="1" w:styleId="Heading2Char">
    <w:name w:val="Heading 2 Char"/>
    <w:basedOn w:val="DefaultParagraphFont"/>
    <w:link w:val="Heading2"/>
    <w:semiHidden/>
    <w:rsid w:val="004C47D0"/>
    <w:rPr>
      <w:sz w:val="24"/>
      <w:lang w:val="fr-FR" w:eastAsia="fr-FR"/>
    </w:rPr>
  </w:style>
  <w:style w:type="character" w:customStyle="1" w:styleId="Heading3Char">
    <w:name w:val="Heading 3 Char"/>
    <w:basedOn w:val="DefaultParagraphFont"/>
    <w:link w:val="Heading3"/>
    <w:semiHidden/>
    <w:rsid w:val="004C47D0"/>
    <w:rPr>
      <w:rFonts w:ascii="Arial" w:hAnsi="Arial"/>
      <w:sz w:val="24"/>
      <w:lang w:val="fr-FR" w:eastAsia="fr-FR"/>
    </w:rPr>
  </w:style>
  <w:style w:type="character" w:customStyle="1" w:styleId="Heading4Char">
    <w:name w:val="Heading 4 Char"/>
    <w:basedOn w:val="DefaultParagraphFont"/>
    <w:link w:val="Heading4"/>
    <w:semiHidden/>
    <w:rsid w:val="004C47D0"/>
    <w:rPr>
      <w:sz w:val="24"/>
      <w:lang w:val="en-US" w:eastAsia="fr-FR"/>
    </w:rPr>
  </w:style>
  <w:style w:type="character" w:customStyle="1" w:styleId="Heading5Char">
    <w:name w:val="Heading 5 Char"/>
    <w:basedOn w:val="DefaultParagraphFont"/>
    <w:link w:val="Heading5"/>
    <w:semiHidden/>
    <w:rsid w:val="004C47D0"/>
    <w:rPr>
      <w:sz w:val="24"/>
      <w:lang w:val="en-US" w:eastAsia="fr-FR"/>
    </w:rPr>
  </w:style>
  <w:style w:type="character" w:customStyle="1" w:styleId="Heading6Char">
    <w:name w:val="Heading 6 Char"/>
    <w:basedOn w:val="DefaultParagraphFont"/>
    <w:link w:val="Heading6"/>
    <w:semiHidden/>
    <w:rsid w:val="004C47D0"/>
    <w:rPr>
      <w:i/>
      <w:sz w:val="22"/>
      <w:lang w:val="pt-PT"/>
    </w:rPr>
  </w:style>
  <w:style w:type="character" w:customStyle="1" w:styleId="Heading7Char">
    <w:name w:val="Heading 7 Char"/>
    <w:basedOn w:val="DefaultParagraphFont"/>
    <w:link w:val="Heading7"/>
    <w:semiHidden/>
    <w:rsid w:val="004C47D0"/>
    <w:rPr>
      <w:rFonts w:ascii="Arial" w:hAnsi="Arial"/>
      <w:sz w:val="24"/>
      <w:lang w:val="pt-PT"/>
    </w:rPr>
  </w:style>
  <w:style w:type="character" w:customStyle="1" w:styleId="Heading8Char">
    <w:name w:val="Heading 8 Char"/>
    <w:basedOn w:val="DefaultParagraphFont"/>
    <w:link w:val="Heading8"/>
    <w:semiHidden/>
    <w:rsid w:val="004C47D0"/>
    <w:rPr>
      <w:rFonts w:ascii="Arial" w:hAnsi="Arial"/>
      <w:i/>
      <w:sz w:val="24"/>
      <w:lang w:val="pt-PT"/>
    </w:rPr>
  </w:style>
  <w:style w:type="character" w:customStyle="1" w:styleId="Heading9Char">
    <w:name w:val="Heading 9 Char"/>
    <w:basedOn w:val="DefaultParagraphFont"/>
    <w:link w:val="Heading9"/>
    <w:semiHidden/>
    <w:rsid w:val="004C47D0"/>
    <w:rPr>
      <w:rFonts w:ascii="Arial" w:hAnsi="Arial"/>
      <w:b/>
      <w:i/>
      <w:sz w:val="18"/>
      <w:lang w:val="pt-PT"/>
    </w:rPr>
  </w:style>
  <w:style w:type="paragraph" w:styleId="TOCHeading">
    <w:name w:val="TOC Heading"/>
    <w:basedOn w:val="Normal"/>
    <w:next w:val="Normal"/>
    <w:uiPriority w:val="39"/>
    <w:unhideWhenUsed/>
    <w:qFormat/>
    <w:rsid w:val="004C47D0"/>
    <w:pPr>
      <w:widowControl/>
      <w:spacing w:after="240"/>
    </w:pPr>
    <w:rPr>
      <w:lang w:val="en-GB"/>
    </w:rPr>
  </w:style>
  <w:style w:type="paragraph" w:customStyle="1" w:styleId="EPFooter2">
    <w:name w:val="EPFooter2"/>
    <w:basedOn w:val="Normal"/>
    <w:next w:val="Normal"/>
    <w:rsid w:val="004C47D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C47D0"/>
    <w:pPr>
      <w:keepNext/>
      <w:spacing w:after="240"/>
      <w:jc w:val="right"/>
    </w:pPr>
    <w:rPr>
      <w:rFonts w:ascii="Arial" w:hAnsi="Arial"/>
      <w:b/>
    </w:rPr>
  </w:style>
  <w:style w:type="paragraph" w:customStyle="1" w:styleId="Normal6a">
    <w:name w:val="Normal6a"/>
    <w:basedOn w:val="Normal"/>
    <w:rsid w:val="004C47D0"/>
    <w:pPr>
      <w:spacing w:after="120"/>
    </w:pPr>
  </w:style>
  <w:style w:type="paragraph" w:customStyle="1" w:styleId="PageHeading">
    <w:name w:val="PageHeading"/>
    <w:basedOn w:val="Normal"/>
    <w:qFormat/>
    <w:rsid w:val="004C47D0"/>
    <w:pPr>
      <w:keepNext/>
      <w:spacing w:after="480"/>
      <w:jc w:val="center"/>
    </w:pPr>
    <w:rPr>
      <w:rFonts w:ascii="Arial" w:hAnsi="Arial" w:cs="Arial"/>
      <w:b/>
    </w:rPr>
  </w:style>
  <w:style w:type="paragraph" w:customStyle="1" w:styleId="NormalBold">
    <w:name w:val="NormalBold"/>
    <w:basedOn w:val="Normal"/>
    <w:link w:val="NormalBoldChar"/>
    <w:rsid w:val="004C47D0"/>
    <w:rPr>
      <w:b/>
    </w:rPr>
  </w:style>
  <w:style w:type="paragraph" w:customStyle="1" w:styleId="NormalBold12a">
    <w:name w:val="NormalBold12a"/>
    <w:basedOn w:val="Normal"/>
    <w:rsid w:val="004C47D0"/>
    <w:pPr>
      <w:spacing w:after="240"/>
    </w:pPr>
    <w:rPr>
      <w:b/>
    </w:rPr>
  </w:style>
  <w:style w:type="paragraph" w:customStyle="1" w:styleId="AmJustText">
    <w:name w:val="AmJustText"/>
    <w:basedOn w:val="Normal"/>
    <w:rsid w:val="004C47D0"/>
    <w:pPr>
      <w:spacing w:after="240"/>
    </w:pPr>
    <w:rPr>
      <w:i/>
    </w:rPr>
  </w:style>
  <w:style w:type="paragraph" w:customStyle="1" w:styleId="NormalHanging12a">
    <w:name w:val="NormalHanging12a"/>
    <w:basedOn w:val="Normal"/>
    <w:rsid w:val="004C47D0"/>
    <w:pPr>
      <w:spacing w:after="240"/>
      <w:ind w:left="567" w:hanging="567"/>
    </w:pPr>
  </w:style>
  <w:style w:type="paragraph" w:customStyle="1" w:styleId="CoverNormal24a">
    <w:name w:val="CoverNormal24a"/>
    <w:basedOn w:val="Normal"/>
    <w:rsid w:val="004C47D0"/>
    <w:pPr>
      <w:spacing w:after="480"/>
      <w:ind w:left="1417"/>
    </w:pPr>
  </w:style>
  <w:style w:type="paragraph" w:customStyle="1" w:styleId="CoverNormal">
    <w:name w:val="CoverNormal"/>
    <w:basedOn w:val="Normal"/>
    <w:rsid w:val="004C47D0"/>
    <w:pPr>
      <w:ind w:left="1418"/>
    </w:pPr>
  </w:style>
  <w:style w:type="paragraph" w:customStyle="1" w:styleId="AmCrossRef">
    <w:name w:val="AmCrossRef"/>
    <w:basedOn w:val="Normal"/>
    <w:rsid w:val="004C47D0"/>
    <w:pPr>
      <w:spacing w:before="240" w:after="240"/>
      <w:jc w:val="center"/>
    </w:pPr>
    <w:rPr>
      <w:i/>
    </w:rPr>
  </w:style>
  <w:style w:type="paragraph" w:customStyle="1" w:styleId="AmJustTitle">
    <w:name w:val="AmJustTitle"/>
    <w:basedOn w:val="Normal"/>
    <w:next w:val="AmJustText"/>
    <w:rsid w:val="004C47D0"/>
    <w:pPr>
      <w:keepNext/>
      <w:spacing w:before="240" w:after="240"/>
      <w:jc w:val="center"/>
    </w:pPr>
    <w:rPr>
      <w:i/>
    </w:rPr>
  </w:style>
  <w:style w:type="paragraph" w:customStyle="1" w:styleId="CoverReference">
    <w:name w:val="CoverReference"/>
    <w:basedOn w:val="Normal"/>
    <w:rsid w:val="004C47D0"/>
    <w:pPr>
      <w:spacing w:before="1080"/>
      <w:jc w:val="right"/>
    </w:pPr>
    <w:rPr>
      <w:rFonts w:ascii="Arial" w:hAnsi="Arial" w:cs="Arial"/>
      <w:b/>
    </w:rPr>
  </w:style>
  <w:style w:type="paragraph" w:customStyle="1" w:styleId="CoverDocType">
    <w:name w:val="CoverDocType"/>
    <w:basedOn w:val="Normal"/>
    <w:rsid w:val="004C47D0"/>
    <w:pPr>
      <w:ind w:left="1418"/>
    </w:pPr>
    <w:rPr>
      <w:rFonts w:ascii="Arial" w:hAnsi="Arial"/>
      <w:b/>
      <w:sz w:val="48"/>
    </w:rPr>
  </w:style>
  <w:style w:type="paragraph" w:customStyle="1" w:styleId="CoverDocType24a">
    <w:name w:val="CoverDocType24a"/>
    <w:basedOn w:val="Normal"/>
    <w:rsid w:val="004C47D0"/>
    <w:pPr>
      <w:spacing w:after="480"/>
      <w:ind w:left="1418"/>
    </w:pPr>
    <w:rPr>
      <w:rFonts w:ascii="Arial" w:hAnsi="Arial"/>
      <w:b/>
      <w:sz w:val="48"/>
    </w:rPr>
  </w:style>
  <w:style w:type="paragraph" w:customStyle="1" w:styleId="CoverDate">
    <w:name w:val="CoverDate"/>
    <w:basedOn w:val="Normal"/>
    <w:rsid w:val="004C47D0"/>
    <w:pPr>
      <w:spacing w:before="240" w:after="1200"/>
    </w:pPr>
  </w:style>
  <w:style w:type="paragraph" w:styleId="Header">
    <w:name w:val="header"/>
    <w:basedOn w:val="Normal"/>
    <w:link w:val="HeaderChar"/>
    <w:rsid w:val="004C47D0"/>
    <w:pPr>
      <w:tabs>
        <w:tab w:val="center" w:pos="4513"/>
        <w:tab w:val="right" w:pos="9026"/>
      </w:tabs>
    </w:pPr>
  </w:style>
  <w:style w:type="character" w:customStyle="1" w:styleId="HeaderChar">
    <w:name w:val="Header Char"/>
    <w:basedOn w:val="DefaultParagraphFont"/>
    <w:link w:val="Header"/>
    <w:rsid w:val="004C47D0"/>
    <w:rPr>
      <w:sz w:val="24"/>
      <w:lang w:val="pt-PT"/>
    </w:rPr>
  </w:style>
  <w:style w:type="paragraph" w:customStyle="1" w:styleId="AmOrLang">
    <w:name w:val="AmOrLang"/>
    <w:basedOn w:val="Normal"/>
    <w:rsid w:val="004C47D0"/>
    <w:pPr>
      <w:spacing w:before="240" w:after="240"/>
      <w:jc w:val="right"/>
    </w:pPr>
  </w:style>
  <w:style w:type="paragraph" w:customStyle="1" w:styleId="AmColumnHeading">
    <w:name w:val="AmColumnHeading"/>
    <w:basedOn w:val="Normal"/>
    <w:rsid w:val="004C47D0"/>
    <w:pPr>
      <w:spacing w:after="240"/>
      <w:jc w:val="center"/>
    </w:pPr>
    <w:rPr>
      <w:i/>
    </w:rPr>
  </w:style>
  <w:style w:type="paragraph" w:customStyle="1" w:styleId="AmNumberTabs">
    <w:name w:val="AmNumberTabs"/>
    <w:basedOn w:val="Normal"/>
    <w:rsid w:val="004C47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47D0"/>
    <w:pPr>
      <w:spacing w:before="240"/>
    </w:pPr>
    <w:rPr>
      <w:b/>
    </w:rPr>
  </w:style>
  <w:style w:type="paragraph" w:customStyle="1" w:styleId="EPBody">
    <w:name w:val="EPBody"/>
    <w:basedOn w:val="Normal"/>
    <w:rsid w:val="004C47D0"/>
    <w:pPr>
      <w:jc w:val="center"/>
    </w:pPr>
    <w:rPr>
      <w:rFonts w:ascii="Arial" w:hAnsi="Arial" w:cs="Arial"/>
      <w:i/>
      <w:sz w:val="22"/>
      <w:szCs w:val="22"/>
    </w:rPr>
  </w:style>
  <w:style w:type="paragraph" w:customStyle="1" w:styleId="EPFooter">
    <w:name w:val="EPFooter"/>
    <w:basedOn w:val="Normal"/>
    <w:rsid w:val="004C47D0"/>
    <w:pPr>
      <w:tabs>
        <w:tab w:val="center" w:pos="4535"/>
        <w:tab w:val="right" w:pos="9071"/>
      </w:tabs>
      <w:spacing w:before="240" w:after="240"/>
    </w:pPr>
    <w:rPr>
      <w:color w:val="010000"/>
      <w:sz w:val="22"/>
    </w:rPr>
  </w:style>
  <w:style w:type="paragraph" w:customStyle="1" w:styleId="EPComma">
    <w:name w:val="EPComma"/>
    <w:basedOn w:val="Normal"/>
    <w:rsid w:val="004C47D0"/>
    <w:pPr>
      <w:spacing w:before="480" w:after="240"/>
    </w:pPr>
  </w:style>
  <w:style w:type="paragraph" w:customStyle="1" w:styleId="Lgendesigne">
    <w:name w:val="Légende signe"/>
    <w:basedOn w:val="Normal"/>
    <w:rsid w:val="004C47D0"/>
    <w:pPr>
      <w:tabs>
        <w:tab w:val="right" w:pos="454"/>
        <w:tab w:val="left" w:pos="737"/>
      </w:tabs>
      <w:ind w:left="737" w:hanging="737"/>
    </w:pPr>
    <w:rPr>
      <w:snapToGrid w:val="0"/>
      <w:sz w:val="18"/>
      <w:lang w:eastAsia="en-US"/>
    </w:rPr>
  </w:style>
  <w:style w:type="paragraph" w:customStyle="1" w:styleId="Lgendetitre">
    <w:name w:val="Légende titre"/>
    <w:basedOn w:val="Normal"/>
    <w:rsid w:val="004C47D0"/>
    <w:pPr>
      <w:spacing w:before="240" w:after="240"/>
    </w:pPr>
    <w:rPr>
      <w:b/>
      <w:i/>
      <w:snapToGrid w:val="0"/>
      <w:lang w:eastAsia="en-US"/>
    </w:rPr>
  </w:style>
  <w:style w:type="paragraph" w:customStyle="1" w:styleId="Lgendestandard">
    <w:name w:val="Légende standard"/>
    <w:basedOn w:val="Normal"/>
    <w:rsid w:val="004C47D0"/>
    <w:rPr>
      <w:sz w:val="18"/>
    </w:rPr>
  </w:style>
  <w:style w:type="character" w:customStyle="1" w:styleId="NormalBoldChar">
    <w:name w:val="NormalBold Char"/>
    <w:basedOn w:val="DefaultParagraphFont"/>
    <w:link w:val="NormalBold"/>
    <w:locked/>
    <w:rsid w:val="004C47D0"/>
    <w:rPr>
      <w:b/>
      <w:sz w:val="24"/>
      <w:lang w:val="pt-PT"/>
    </w:rPr>
  </w:style>
  <w:style w:type="character" w:styleId="Hyperlink">
    <w:name w:val="Hyperlink"/>
    <w:basedOn w:val="DefaultParagraphFont"/>
    <w:unhideWhenUsed/>
    <w:rsid w:val="004C47D0"/>
    <w:rPr>
      <w:color w:val="467886"/>
      <w:u w:val="single"/>
    </w:rPr>
  </w:style>
  <w:style w:type="character" w:styleId="Emphasis">
    <w:name w:val="Emphasis"/>
    <w:basedOn w:val="DefaultParagraphFont"/>
    <w:uiPriority w:val="20"/>
    <w:qFormat/>
    <w:rsid w:val="004C47D0"/>
    <w:rPr>
      <w:i/>
      <w:iCs/>
    </w:rPr>
  </w:style>
  <w:style w:type="character" w:styleId="UnresolvedMention">
    <w:name w:val="Unresolved Mention"/>
    <w:basedOn w:val="DefaultParagraphFont"/>
    <w:uiPriority w:val="99"/>
    <w:semiHidden/>
    <w:unhideWhenUsed/>
    <w:rsid w:val="004C47D0"/>
    <w:rPr>
      <w:color w:val="605E5C"/>
      <w:shd w:val="clear" w:color="auto" w:fill="E1DFDD"/>
    </w:rPr>
  </w:style>
  <w:style w:type="paragraph" w:customStyle="1" w:styleId="Default">
    <w:name w:val="Default"/>
    <w:rsid w:val="004C47D0"/>
    <w:pPr>
      <w:autoSpaceDE w:val="0"/>
      <w:autoSpaceDN w:val="0"/>
      <w:adjustRightInd w:val="0"/>
    </w:pPr>
    <w:rPr>
      <w:color w:val="000000"/>
      <w:sz w:val="24"/>
      <w:szCs w:val="24"/>
      <w:lang w:val="pt-PT"/>
    </w:rPr>
  </w:style>
  <w:style w:type="character" w:customStyle="1" w:styleId="Normal6Char">
    <w:name w:val="Normal6 Char"/>
    <w:basedOn w:val="DefaultParagraphFont"/>
    <w:link w:val="Normal6"/>
    <w:locked/>
    <w:rsid w:val="004C47D0"/>
    <w:rPr>
      <w:b/>
      <w:bCs/>
      <w:i/>
      <w:iCs/>
      <w:sz w:val="24"/>
      <w:lang w:val="pt-PT"/>
    </w:rPr>
  </w:style>
  <w:style w:type="paragraph" w:customStyle="1" w:styleId="Normal6">
    <w:name w:val="Normal6"/>
    <w:basedOn w:val="Normal"/>
    <w:link w:val="Normal6Char"/>
    <w:rsid w:val="004C47D0"/>
    <w:pPr>
      <w:spacing w:after="120"/>
    </w:pPr>
    <w:rPr>
      <w:b/>
      <w:bCs/>
      <w:i/>
      <w:iCs/>
    </w:rPr>
  </w:style>
  <w:style w:type="paragraph" w:customStyle="1" w:styleId="ColumnHeading">
    <w:name w:val="ColumnHeading"/>
    <w:basedOn w:val="Normal"/>
    <w:rsid w:val="004C47D0"/>
    <w:pPr>
      <w:spacing w:after="240"/>
      <w:jc w:val="center"/>
    </w:pPr>
    <w:rPr>
      <w:i/>
    </w:rPr>
  </w:style>
  <w:style w:type="paragraph" w:customStyle="1" w:styleId="AMNumberTabs0">
    <w:name w:val="AMNumberTabs"/>
    <w:basedOn w:val="Normal"/>
    <w:rsid w:val="004C47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C47D0"/>
    <w:pPr>
      <w:jc w:val="right"/>
    </w:pPr>
    <w:rPr>
      <w:lang w:val="pt-PT"/>
    </w:rPr>
  </w:style>
  <w:style w:type="paragraph" w:styleId="Revision">
    <w:name w:val="Revision"/>
    <w:hidden/>
    <w:uiPriority w:val="99"/>
    <w:semiHidden/>
    <w:rsid w:val="004C47D0"/>
    <w:rPr>
      <w:sz w:val="24"/>
      <w:lang w:val="pt-PT"/>
    </w:rPr>
  </w:style>
  <w:style w:type="character" w:styleId="CommentReference">
    <w:name w:val="annotation reference"/>
    <w:basedOn w:val="DefaultParagraphFont"/>
    <w:rsid w:val="004C47D0"/>
    <w:rPr>
      <w:sz w:val="16"/>
      <w:szCs w:val="16"/>
    </w:rPr>
  </w:style>
  <w:style w:type="paragraph" w:styleId="CommentText">
    <w:name w:val="annotation text"/>
    <w:basedOn w:val="Normal"/>
    <w:link w:val="CommentTextChar"/>
    <w:rsid w:val="004C47D0"/>
    <w:rPr>
      <w:sz w:val="20"/>
    </w:rPr>
  </w:style>
  <w:style w:type="character" w:customStyle="1" w:styleId="CommentTextChar">
    <w:name w:val="Comment Text Char"/>
    <w:basedOn w:val="DefaultParagraphFont"/>
    <w:link w:val="CommentText"/>
    <w:rsid w:val="004C47D0"/>
    <w:rPr>
      <w:lang w:val="pt-PT"/>
    </w:rPr>
  </w:style>
  <w:style w:type="paragraph" w:styleId="CommentSubject">
    <w:name w:val="annotation subject"/>
    <w:basedOn w:val="CommentText"/>
    <w:next w:val="CommentText"/>
    <w:link w:val="CommentSubjectChar"/>
    <w:unhideWhenUsed/>
    <w:rsid w:val="004C47D0"/>
    <w:rPr>
      <w:b/>
      <w:bCs/>
    </w:rPr>
  </w:style>
  <w:style w:type="character" w:customStyle="1" w:styleId="CommentSubjectChar">
    <w:name w:val="Comment Subject Char"/>
    <w:basedOn w:val="CommentTextChar"/>
    <w:link w:val="CommentSubject"/>
    <w:rsid w:val="004C47D0"/>
    <w:rPr>
      <w:b/>
      <w:bCs/>
      <w:lang w:val="pt-PT"/>
    </w:rPr>
  </w:style>
  <w:style w:type="paragraph" w:styleId="ListParagraph">
    <w:name w:val="List Paragraph"/>
    <w:basedOn w:val="Normal"/>
    <w:uiPriority w:val="34"/>
    <w:qFormat/>
    <w:rsid w:val="004C47D0"/>
    <w:pPr>
      <w:ind w:left="720"/>
      <w:contextualSpacing/>
    </w:pPr>
  </w:style>
  <w:style w:type="paragraph" w:styleId="BodyText">
    <w:name w:val="Body Text"/>
    <w:basedOn w:val="Normal"/>
    <w:link w:val="BodyTextChar"/>
    <w:uiPriority w:val="1"/>
    <w:unhideWhenUsed/>
    <w:qFormat/>
    <w:rsid w:val="004C47D0"/>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4C47D0"/>
    <w:rPr>
      <w:sz w:val="24"/>
      <w:szCs w:val="24"/>
      <w:lang w:val="pt-PT" w:eastAsia="en-US"/>
    </w:rPr>
  </w:style>
  <w:style w:type="paragraph" w:customStyle="1" w:styleId="Normal12a">
    <w:name w:val="Normal12a"/>
    <w:basedOn w:val="Normal"/>
    <w:rsid w:val="004C47D0"/>
    <w:pPr>
      <w:spacing w:after="240"/>
    </w:pPr>
  </w:style>
  <w:style w:type="paragraph" w:customStyle="1" w:styleId="PageHeadingNotTOC">
    <w:name w:val="PageHeadingNotTOC"/>
    <w:basedOn w:val="Normal"/>
    <w:rsid w:val="004C47D0"/>
    <w:pPr>
      <w:keepNext/>
      <w:spacing w:after="480"/>
      <w:jc w:val="center"/>
    </w:pPr>
    <w:rPr>
      <w:rFonts w:ascii="Arial" w:hAnsi="Arial" w:cs="Arial"/>
      <w:b/>
    </w:rPr>
  </w:style>
  <w:style w:type="paragraph" w:customStyle="1" w:styleId="AmHeadingPA">
    <w:name w:val="AmHeadingPA"/>
    <w:basedOn w:val="Normal"/>
    <w:next w:val="Normal"/>
    <w:rsid w:val="004C47D0"/>
    <w:pPr>
      <w:spacing w:before="480" w:after="240"/>
      <w:jc w:val="center"/>
    </w:pPr>
    <w:rPr>
      <w:rFonts w:ascii="Arial" w:hAnsi="Arial"/>
      <w:b/>
      <w:caps/>
      <w:snapToGrid w:val="0"/>
      <w:szCs w:val="24"/>
      <w:lang w:eastAsia="en-US"/>
    </w:rPr>
  </w:style>
  <w:style w:type="paragraph" w:customStyle="1" w:styleId="Normal24a">
    <w:name w:val="Normal24a"/>
    <w:basedOn w:val="Normal"/>
    <w:rsid w:val="004C47D0"/>
    <w:pPr>
      <w:spacing w:after="480"/>
    </w:pPr>
    <w:rPr>
      <w:szCs w:val="24"/>
    </w:rPr>
  </w:style>
  <w:style w:type="paragraph" w:customStyle="1" w:styleId="NormalBoldCenter">
    <w:name w:val="NormalBoldCenter"/>
    <w:basedOn w:val="Normal"/>
    <w:rsid w:val="004C47D0"/>
    <w:pPr>
      <w:jc w:val="center"/>
    </w:pPr>
    <w:rPr>
      <w:b/>
      <w:szCs w:val="24"/>
    </w:rPr>
  </w:style>
  <w:style w:type="paragraph" w:customStyle="1" w:styleId="Footprint12b">
    <w:name w:val="Footprint12b"/>
    <w:basedOn w:val="Normal"/>
    <w:rsid w:val="004C47D0"/>
    <w:pPr>
      <w:spacing w:before="240"/>
    </w:pPr>
    <w:rPr>
      <w:szCs w:val="24"/>
    </w:rPr>
  </w:style>
  <w:style w:type="paragraph" w:customStyle="1" w:styleId="NormalSingle">
    <w:name w:val="NormalSingle"/>
    <w:basedOn w:val="Normal"/>
    <w:qFormat/>
    <w:rsid w:val="004C47D0"/>
    <w:rPr>
      <w:szCs w:val="24"/>
    </w:rPr>
  </w:style>
  <w:style w:type="paragraph" w:customStyle="1" w:styleId="RollCallSymbols14pt">
    <w:name w:val="RollCallSymbols14pt"/>
    <w:basedOn w:val="Normal"/>
    <w:rsid w:val="004C47D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C47D0"/>
    <w:pPr>
      <w:tabs>
        <w:tab w:val="center" w:pos="284"/>
        <w:tab w:val="left" w:pos="426"/>
      </w:tabs>
    </w:pPr>
    <w:rPr>
      <w:snapToGrid w:val="0"/>
      <w:lang w:eastAsia="en-US"/>
    </w:rPr>
  </w:style>
  <w:style w:type="paragraph" w:customStyle="1" w:styleId="RollCallVotes">
    <w:name w:val="RollCallVotes"/>
    <w:basedOn w:val="Normal"/>
    <w:rsid w:val="004C47D0"/>
    <w:pPr>
      <w:spacing w:before="120" w:after="120"/>
      <w:jc w:val="center"/>
    </w:pPr>
    <w:rPr>
      <w:b/>
      <w:bCs/>
      <w:snapToGrid w:val="0"/>
      <w:sz w:val="16"/>
      <w:lang w:eastAsia="en-US"/>
    </w:rPr>
  </w:style>
  <w:style w:type="paragraph" w:customStyle="1" w:styleId="RollCallTable">
    <w:name w:val="RollCallTable"/>
    <w:basedOn w:val="Normal"/>
    <w:rsid w:val="004C47D0"/>
    <w:pPr>
      <w:spacing w:before="120" w:after="120"/>
    </w:pPr>
    <w:rPr>
      <w:snapToGrid w:val="0"/>
      <w:sz w:val="16"/>
      <w:lang w:eastAsia="en-US"/>
    </w:rPr>
  </w:style>
  <w:style w:type="paragraph" w:styleId="Footer">
    <w:name w:val="footer"/>
    <w:basedOn w:val="Normal"/>
    <w:link w:val="FooterChar"/>
    <w:uiPriority w:val="99"/>
    <w:rsid w:val="004C47D0"/>
    <w:pPr>
      <w:tabs>
        <w:tab w:val="center" w:pos="4513"/>
        <w:tab w:val="right" w:pos="9026"/>
      </w:tabs>
    </w:pPr>
  </w:style>
  <w:style w:type="character" w:customStyle="1" w:styleId="FooterChar">
    <w:name w:val="Footer Char"/>
    <w:basedOn w:val="DefaultParagraphFont"/>
    <w:link w:val="Footer"/>
    <w:uiPriority w:val="99"/>
    <w:rsid w:val="004C47D0"/>
    <w:rPr>
      <w:sz w:val="24"/>
      <w:lang w:val="pt-PT"/>
    </w:rPr>
  </w:style>
  <w:style w:type="character" w:styleId="FollowedHyperlink">
    <w:name w:val="FollowedHyperlink"/>
    <w:basedOn w:val="DefaultParagraphFont"/>
    <w:rsid w:val="004A5DF8"/>
    <w:rPr>
      <w:color w:val="954F72" w:themeColor="followedHyperlink"/>
      <w:u w:val="single"/>
    </w:rPr>
  </w:style>
  <w:style w:type="paragraph" w:customStyle="1" w:styleId="AmDocTypeTab">
    <w:name w:val="AmDocTypeTab"/>
    <w:basedOn w:val="Normal"/>
    <w:rsid w:val="000A48F3"/>
    <w:pPr>
      <w:tabs>
        <w:tab w:val="right" w:pos="9072"/>
      </w:tabs>
    </w:pPr>
    <w:rPr>
      <w:b/>
    </w:rPr>
  </w:style>
  <w:style w:type="paragraph" w:customStyle="1" w:styleId="NormalCenter12a">
    <w:name w:val="NormalCenter12a"/>
    <w:basedOn w:val="Normal"/>
    <w:rsid w:val="000A48F3"/>
    <w:pPr>
      <w:spacing w:after="240"/>
      <w:jc w:val="center"/>
    </w:pPr>
  </w:style>
  <w:style w:type="paragraph" w:customStyle="1" w:styleId="AmDateTab">
    <w:name w:val="AmDateTab"/>
    <w:basedOn w:val="Normal"/>
    <w:rsid w:val="000A48F3"/>
    <w:pPr>
      <w:tabs>
        <w:tab w:val="right" w:pos="9072"/>
      </w:tabs>
    </w:pPr>
  </w:style>
  <w:style w:type="paragraph" w:customStyle="1" w:styleId="AmHeadingConsam">
    <w:name w:val="AmHeadingConsam"/>
    <w:basedOn w:val="Normal"/>
    <w:next w:val="NormalCenter12a"/>
    <w:rsid w:val="000A48F3"/>
    <w:pPr>
      <w:spacing w:before="720" w:after="240"/>
      <w:jc w:val="center"/>
    </w:pPr>
  </w:style>
  <w:style w:type="numbering" w:customStyle="1" w:styleId="NoList1">
    <w:name w:val="No List1"/>
    <w:next w:val="NoList"/>
    <w:uiPriority w:val="99"/>
    <w:semiHidden/>
    <w:unhideWhenUsed/>
    <w:rsid w:val="000A48F3"/>
  </w:style>
  <w:style w:type="paragraph" w:customStyle="1" w:styleId="Institutionquiagit">
    <w:name w:val="Institution qui agit"/>
    <w:basedOn w:val="Normal"/>
    <w:next w:val="Normal"/>
    <w:rsid w:val="000A48F3"/>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0A48F3"/>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0A48F3"/>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0A48F3"/>
    <w:pPr>
      <w:widowControl/>
      <w:spacing w:after="240" w:line="360" w:lineRule="auto"/>
      <w:ind w:left="5102"/>
    </w:pPr>
    <w:rPr>
      <w:szCs w:val="24"/>
      <w:lang w:eastAsia="en-US"/>
    </w:rPr>
  </w:style>
  <w:style w:type="paragraph" w:customStyle="1" w:styleId="Statut">
    <w:name w:val="Statut"/>
    <w:basedOn w:val="Normal"/>
    <w:next w:val="Normal"/>
    <w:rsid w:val="000A48F3"/>
    <w:pPr>
      <w:widowControl/>
      <w:spacing w:before="840" w:line="360" w:lineRule="auto"/>
      <w:jc w:val="center"/>
    </w:pPr>
    <w:rPr>
      <w:szCs w:val="24"/>
      <w:lang w:eastAsia="en-US"/>
    </w:rPr>
  </w:style>
  <w:style w:type="paragraph" w:customStyle="1" w:styleId="Typedudocument">
    <w:name w:val="Type du document"/>
    <w:basedOn w:val="Normal"/>
    <w:next w:val="Normal"/>
    <w:rsid w:val="000A48F3"/>
    <w:pPr>
      <w:widowControl/>
      <w:spacing w:before="360" w:line="360" w:lineRule="auto"/>
      <w:jc w:val="center"/>
    </w:pPr>
    <w:rPr>
      <w:b/>
      <w:szCs w:val="24"/>
      <w:lang w:eastAsia="en-US"/>
    </w:rPr>
  </w:style>
  <w:style w:type="paragraph" w:customStyle="1" w:styleId="Titreobjet">
    <w:name w:val="Titre objet"/>
    <w:basedOn w:val="Normal"/>
    <w:next w:val="Normal"/>
    <w:rsid w:val="000A48F3"/>
    <w:pPr>
      <w:widowControl/>
      <w:spacing w:before="360" w:after="360" w:line="360" w:lineRule="auto"/>
      <w:jc w:val="center"/>
    </w:pPr>
    <w:rPr>
      <w:b/>
      <w:szCs w:val="24"/>
      <w:lang w:eastAsia="en-US"/>
    </w:rPr>
  </w:style>
  <w:style w:type="paragraph" w:customStyle="1" w:styleId="Normal3a">
    <w:name w:val="Normal3a"/>
    <w:basedOn w:val="Normal"/>
    <w:rsid w:val="000A48F3"/>
    <w:pPr>
      <w:widowControl/>
      <w:spacing w:after="60"/>
    </w:pPr>
    <w:rPr>
      <w:szCs w:val="24"/>
      <w:lang w:eastAsia="en-US"/>
    </w:rPr>
  </w:style>
  <w:style w:type="paragraph" w:customStyle="1" w:styleId="FootnoteTextForceStyle">
    <w:name w:val="Footnote Text ForceStyle"/>
    <w:rsid w:val="000A48F3"/>
    <w:pPr>
      <w:keepLines/>
      <w:spacing w:line="240" w:lineRule="exact"/>
      <w:ind w:left="850" w:hanging="850"/>
    </w:pPr>
    <w:rPr>
      <w:sz w:val="24"/>
      <w:lang w:val="pt-PT" w:eastAsia="en-US"/>
    </w:rPr>
  </w:style>
  <w:style w:type="character" w:customStyle="1" w:styleId="Footer2">
    <w:name w:val="Footer2"/>
    <w:rsid w:val="000A48F3"/>
    <w:rPr>
      <w:rFonts w:ascii="Arial" w:hAnsi="Arial"/>
      <w:b/>
      <w:sz w:val="48"/>
    </w:rPr>
  </w:style>
  <w:style w:type="paragraph" w:customStyle="1" w:styleId="Considrant">
    <w:name w:val="Considérant"/>
    <w:basedOn w:val="Normal"/>
    <w:rsid w:val="000A48F3"/>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0A48F3"/>
    <w:pPr>
      <w:widowControl/>
      <w:jc w:val="center"/>
    </w:pPr>
    <w:rPr>
      <w:szCs w:val="24"/>
      <w:lang w:eastAsia="en-US"/>
    </w:rPr>
  </w:style>
  <w:style w:type="paragraph" w:customStyle="1" w:styleId="Footer1">
    <w:name w:val="Footer1"/>
    <w:basedOn w:val="Normal"/>
    <w:rsid w:val="000A48F3"/>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0A48F3"/>
    <w:pPr>
      <w:keepNext/>
      <w:widowControl/>
      <w:tabs>
        <w:tab w:val="left" w:pos="4252"/>
      </w:tabs>
      <w:spacing w:before="720"/>
      <w:jc w:val="both"/>
    </w:pPr>
    <w:rPr>
      <w:i/>
      <w:szCs w:val="24"/>
      <w:lang w:eastAsia="en-US"/>
    </w:rPr>
  </w:style>
  <w:style w:type="paragraph" w:customStyle="1" w:styleId="SignaturePersonne">
    <w:name w:val="Signature Personne"/>
    <w:basedOn w:val="Normal"/>
    <w:rsid w:val="000A48F3"/>
    <w:pPr>
      <w:widowControl/>
      <w:tabs>
        <w:tab w:val="left" w:pos="4252"/>
      </w:tabs>
      <w:spacing w:line="360" w:lineRule="auto"/>
    </w:pPr>
    <w:rPr>
      <w:i/>
      <w:szCs w:val="24"/>
      <w:lang w:eastAsia="en-US"/>
    </w:rPr>
  </w:style>
  <w:style w:type="paragraph" w:customStyle="1" w:styleId="Fait">
    <w:name w:val="Fait à"/>
    <w:basedOn w:val="Normal"/>
    <w:rsid w:val="000A48F3"/>
    <w:pPr>
      <w:keepNext/>
      <w:widowControl/>
      <w:spacing w:before="120" w:line="360" w:lineRule="auto"/>
    </w:pPr>
    <w:rPr>
      <w:szCs w:val="24"/>
      <w:lang w:eastAsia="en-US"/>
    </w:rPr>
  </w:style>
  <w:style w:type="paragraph" w:customStyle="1" w:styleId="TableText">
    <w:name w:val="Table Text"/>
    <w:basedOn w:val="Normal"/>
    <w:rsid w:val="000A48F3"/>
    <w:pPr>
      <w:widowControl/>
      <w:spacing w:before="60" w:after="60"/>
    </w:pPr>
    <w:rPr>
      <w:szCs w:val="24"/>
      <w:lang w:eastAsia="en-US"/>
    </w:rPr>
  </w:style>
  <w:style w:type="paragraph" w:customStyle="1" w:styleId="Applicationdirecte">
    <w:name w:val="Application directe"/>
    <w:basedOn w:val="Normal"/>
    <w:next w:val="Normal"/>
    <w:rsid w:val="000A48F3"/>
    <w:pPr>
      <w:widowControl/>
      <w:spacing w:before="120" w:after="120" w:line="360" w:lineRule="auto"/>
    </w:pPr>
    <w:rPr>
      <w:szCs w:val="24"/>
      <w:lang w:eastAsia="en-US"/>
    </w:rPr>
  </w:style>
  <w:style w:type="paragraph" w:customStyle="1" w:styleId="Normale">
    <w:name w:val="Normale"/>
    <w:rsid w:val="000A48F3"/>
    <w:pPr>
      <w:spacing w:before="120" w:after="120" w:line="360" w:lineRule="auto"/>
    </w:pPr>
    <w:rPr>
      <w:sz w:val="24"/>
      <w:lang w:val="pt-PT" w:eastAsia="en-US"/>
    </w:rPr>
  </w:style>
  <w:style w:type="character" w:customStyle="1" w:styleId="CMissingStyle">
    <w:name w:val="C_MissingStyle"/>
    <w:rsid w:val="000A48F3"/>
    <w:rPr>
      <w:color w:val="FFFFFF"/>
      <w:sz w:val="22"/>
      <w:shd w:val="clear" w:color="000000" w:fill="000000"/>
    </w:rPr>
  </w:style>
  <w:style w:type="paragraph" w:customStyle="1" w:styleId="PMissingStyle">
    <w:name w:val="P_MissingStyle"/>
    <w:basedOn w:val="Normal"/>
    <w:rsid w:val="000A48F3"/>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0A48F3"/>
    <w:rPr>
      <w:color w:val="0000FF"/>
      <w:u w:val="single"/>
    </w:rPr>
  </w:style>
  <w:style w:type="character" w:customStyle="1" w:styleId="FooterChar1">
    <w:name w:val="Footer Char1"/>
    <w:basedOn w:val="DefaultParagraphFont"/>
    <w:rsid w:val="000A48F3"/>
    <w:rPr>
      <w:sz w:val="24"/>
      <w:szCs w:val="24"/>
    </w:rPr>
  </w:style>
  <w:style w:type="character" w:customStyle="1" w:styleId="FollowedHyperlink1">
    <w:name w:val="FollowedHyperlink1"/>
    <w:basedOn w:val="DefaultParagraphFont"/>
    <w:rsid w:val="000A48F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7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643</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MARTINSIsabelAlex-Statement</dc:creator>
  <cp:keywords/>
  <cp:lastModifiedBy>SEMEDO Teresa</cp:lastModifiedBy>
  <cp:revision>2</cp:revision>
  <cp:lastPrinted>2004-11-19T15:42:00Z</cp:lastPrinted>
  <dcterms:created xsi:type="dcterms:W3CDTF">2026-07-14T09:08:00Z</dcterms:created>
  <dcterms:modified xsi:type="dcterms:W3CDTF">2026-07-14T09:08:00Z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P10_TA(2026)0170_</vt:lpwstr>
  </property>
  <property fmtid="{D5CDD505-2E9C-101B-9397-08002B2CF9AE}" pid="4" name="&lt;Type&gt;">
    <vt:lpwstr>RR</vt:lpwstr>
  </property>
</Properties>
</file>