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599B" w14:paraId="2D2615D4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063FA701" w14:textId="77777777" w:rsidR="00751A4A" w:rsidRPr="0079599B" w:rsidRDefault="00AD4A7E" w:rsidP="0010095E">
            <w:pPr>
              <w:pStyle w:val="EPName"/>
            </w:pPr>
            <w:r w:rsidRPr="0079599B">
              <w:t>Európsky parlament</w:t>
            </w:r>
          </w:p>
          <w:p w14:paraId="52F68AE8" w14:textId="77777777" w:rsidR="00751A4A" w:rsidRPr="0079599B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599B">
              <w:t>2024</w:t>
            </w:r>
            <w:r w:rsidR="00817416" w:rsidRPr="0079599B">
              <w:t>-202</w:t>
            </w:r>
            <w:r w:rsidRPr="0079599B">
              <w:t>9</w:t>
            </w:r>
          </w:p>
        </w:tc>
        <w:tc>
          <w:tcPr>
            <w:tcW w:w="2268" w:type="dxa"/>
            <w:shd w:val="clear" w:color="auto" w:fill="auto"/>
          </w:tcPr>
          <w:p w14:paraId="573BD34D" w14:textId="77777777" w:rsidR="00751A4A" w:rsidRPr="0079599B" w:rsidRDefault="00187494" w:rsidP="0010095E">
            <w:pPr>
              <w:pStyle w:val="EPLogo"/>
            </w:pPr>
            <w:r w:rsidRPr="0079599B">
              <w:rPr>
                <w:noProof/>
                <w:lang w:eastAsia="ja-JP"/>
              </w:rPr>
              <w:drawing>
                <wp:inline distT="0" distB="0" distL="0" distR="0" wp14:anchorId="106CAD61" wp14:editId="34441651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9202C3A" w14:textId="77777777" w:rsidR="00D058B8" w:rsidRPr="0079599B" w:rsidRDefault="00D058B8" w:rsidP="004C5D52">
      <w:pPr>
        <w:pStyle w:val="LineTop"/>
      </w:pPr>
    </w:p>
    <w:p w14:paraId="524D681D" w14:textId="77777777" w:rsidR="00680577" w:rsidRPr="0079599B" w:rsidRDefault="00AD4A7E" w:rsidP="00680577">
      <w:pPr>
        <w:pStyle w:val="EPBodyTA1"/>
      </w:pPr>
      <w:r w:rsidRPr="0079599B">
        <w:t>PRIJATÉ TEXTY</w:t>
      </w:r>
    </w:p>
    <w:p w14:paraId="7E9FFF77" w14:textId="77777777" w:rsidR="00D058B8" w:rsidRPr="0079599B" w:rsidRDefault="00D058B8" w:rsidP="00D058B8">
      <w:pPr>
        <w:pStyle w:val="LineBottom"/>
      </w:pPr>
    </w:p>
    <w:p w14:paraId="5B187DC0" w14:textId="2E4008A5" w:rsidR="00AD4A7E" w:rsidRPr="0079599B" w:rsidRDefault="00AD4A7E" w:rsidP="00AD4A7E">
      <w:pPr>
        <w:pStyle w:val="ATHeading1"/>
      </w:pPr>
      <w:bookmarkStart w:id="0" w:name="TANumber"/>
      <w:r w:rsidRPr="0079599B">
        <w:t>P10_TA(2026)0</w:t>
      </w:r>
      <w:r w:rsidR="005B434D" w:rsidRPr="0079599B">
        <w:t>170</w:t>
      </w:r>
      <w:bookmarkEnd w:id="0"/>
    </w:p>
    <w:p w14:paraId="559D22F6" w14:textId="77777777" w:rsidR="00AD4A7E" w:rsidRPr="0079599B" w:rsidRDefault="00AD4A7E" w:rsidP="00AD4A7E">
      <w:pPr>
        <w:pStyle w:val="ATHeading2"/>
      </w:pPr>
      <w:bookmarkStart w:id="1" w:name="title"/>
      <w:r w:rsidRPr="0079599B">
        <w:t>Negatívne účinky celosvetovej nadmernej kapacity na trh Únie s oceľou súvisiacich s obchodom</w:t>
      </w:r>
      <w:bookmarkEnd w:id="1"/>
    </w:p>
    <w:p w14:paraId="08532D02" w14:textId="77777777" w:rsidR="00AD4A7E" w:rsidRPr="0079599B" w:rsidRDefault="00AD4A7E" w:rsidP="00AD4A7E">
      <w:pPr>
        <w:rPr>
          <w:i/>
          <w:vanish/>
        </w:rPr>
      </w:pPr>
      <w:r w:rsidRPr="0079599B">
        <w:rPr>
          <w:i/>
        </w:rPr>
        <w:fldChar w:fldCharType="begin"/>
      </w:r>
      <w:r w:rsidRPr="0079599B">
        <w:rPr>
          <w:i/>
        </w:rPr>
        <w:instrText xml:space="preserve"> TC"(</w:instrText>
      </w:r>
      <w:bookmarkStart w:id="2" w:name="DocNumber"/>
      <w:r w:rsidRPr="0079599B">
        <w:rPr>
          <w:i/>
        </w:rPr>
        <w:instrText>A10-0012/2026</w:instrText>
      </w:r>
      <w:bookmarkEnd w:id="2"/>
      <w:r w:rsidRPr="0079599B">
        <w:rPr>
          <w:i/>
        </w:rPr>
        <w:instrText xml:space="preserve"> - Spravodajkyňa: Karin Karlsbro)"\l3 \n&gt; \* MERGEFORMAT </w:instrText>
      </w:r>
      <w:r w:rsidRPr="0079599B">
        <w:rPr>
          <w:i/>
        </w:rPr>
        <w:fldChar w:fldCharType="end"/>
      </w:r>
    </w:p>
    <w:p w14:paraId="79F25FF1" w14:textId="77777777" w:rsidR="00AD4A7E" w:rsidRPr="0079599B" w:rsidRDefault="00AD4A7E" w:rsidP="00AD4A7E">
      <w:pPr>
        <w:rPr>
          <w:vanish/>
        </w:rPr>
      </w:pPr>
      <w:bookmarkStart w:id="3" w:name="Commission"/>
      <w:r w:rsidRPr="0079599B">
        <w:rPr>
          <w:vanish/>
        </w:rPr>
        <w:t>Výbor pre medzinárodný obchod</w:t>
      </w:r>
      <w:bookmarkEnd w:id="3"/>
    </w:p>
    <w:p w14:paraId="6257A5EC" w14:textId="77777777" w:rsidR="00AD4A7E" w:rsidRPr="0079599B" w:rsidRDefault="00AD4A7E" w:rsidP="00AD4A7E">
      <w:pPr>
        <w:rPr>
          <w:vanish/>
        </w:rPr>
      </w:pPr>
      <w:bookmarkStart w:id="4" w:name="PE"/>
      <w:r w:rsidRPr="0079599B">
        <w:rPr>
          <w:vanish/>
        </w:rPr>
        <w:t>PE779.727</w:t>
      </w:r>
      <w:bookmarkEnd w:id="4"/>
    </w:p>
    <w:p w14:paraId="578534DC" w14:textId="64FF56B5" w:rsidR="00AD4A7E" w:rsidRPr="0079599B" w:rsidRDefault="00AD4A7E" w:rsidP="00AD4A7E">
      <w:pPr>
        <w:pStyle w:val="ATHeading3"/>
      </w:pPr>
      <w:bookmarkStart w:id="5" w:name="Sujet"/>
      <w:r w:rsidRPr="0079599B">
        <w:t xml:space="preserve">Legislatívne uznesenie Európskeho parlamentu z </w:t>
      </w:r>
      <w:r w:rsidR="00FC5EC4" w:rsidRPr="0079599B">
        <w:t>19</w:t>
      </w:r>
      <w:r w:rsidRPr="0079599B">
        <w:t xml:space="preserve">. </w:t>
      </w:r>
      <w:r w:rsidR="00333277" w:rsidRPr="0079599B">
        <w:t xml:space="preserve">mája </w:t>
      </w:r>
      <w:r w:rsidRPr="0079599B">
        <w:t>2026 o návrhu nariadenia Európskeho parlamentu a Rady, ktorým sa riešia negatívne účinky celosvetovej nadmernej kapacity na trh Únie s oceľou súvisiace s obchodom</w:t>
      </w:r>
      <w:bookmarkEnd w:id="5"/>
      <w:r w:rsidRPr="0079599B">
        <w:t xml:space="preserve"> </w:t>
      </w:r>
      <w:bookmarkStart w:id="6" w:name="References"/>
      <w:r w:rsidRPr="0079599B">
        <w:t>(COM(2025)0726 – C10-0245/2025 – 2025/0726(COD))</w:t>
      </w:r>
      <w:bookmarkEnd w:id="6"/>
    </w:p>
    <w:p w14:paraId="5425EFD5" w14:textId="77777777" w:rsidR="005A519F" w:rsidRPr="0079599B" w:rsidRDefault="005A519F" w:rsidP="005A519F">
      <w:pPr>
        <w:pStyle w:val="NormalBold"/>
      </w:pPr>
      <w:r w:rsidRPr="0079599B">
        <w:t>(Riadny legislatívny postup: prvé čítanie)</w:t>
      </w:r>
    </w:p>
    <w:p w14:paraId="4E6EAB66" w14:textId="77777777" w:rsidR="005A519F" w:rsidRPr="0079599B" w:rsidRDefault="005A519F" w:rsidP="005A519F">
      <w:pPr>
        <w:pStyle w:val="EPComma"/>
      </w:pPr>
      <w:r w:rsidRPr="0079599B">
        <w:rPr>
          <w:i/>
        </w:rPr>
        <w:t>Európsky parlament</w:t>
      </w:r>
      <w:r w:rsidRPr="0079599B">
        <w:t>,</w:t>
      </w:r>
    </w:p>
    <w:p w14:paraId="06B24CE9" w14:textId="77777777" w:rsidR="005A519F" w:rsidRPr="0079599B" w:rsidRDefault="005A519F" w:rsidP="005A519F">
      <w:pPr>
        <w:pStyle w:val="NormalHanging12a"/>
      </w:pPr>
      <w:r w:rsidRPr="0079599B">
        <w:t>–</w:t>
      </w:r>
      <w:r w:rsidRPr="0079599B">
        <w:tab/>
        <w:t>so zreteľom na návrh Komisie pre Európsky parlament a Radu (COM(2025)0726),</w:t>
      </w:r>
    </w:p>
    <w:p w14:paraId="013D4CDB" w14:textId="77777777" w:rsidR="005A519F" w:rsidRPr="0079599B" w:rsidRDefault="005A519F" w:rsidP="005A519F">
      <w:pPr>
        <w:pStyle w:val="NormalHanging12a"/>
      </w:pPr>
      <w:r w:rsidRPr="0079599B">
        <w:t>–</w:t>
      </w:r>
      <w:r w:rsidRPr="0079599B">
        <w:tab/>
        <w:t>so zreteľom na článok 294 ods. 2 a článok 207 ods. 2 Zmluvy o fungovaní Európskej únie, v súlade s ktorými Komisia predložila návrh Európskemu parlamentu (C10</w:t>
      </w:r>
      <w:r w:rsidRPr="0079599B">
        <w:noBreakHyphen/>
        <w:t>0245/2025),</w:t>
      </w:r>
    </w:p>
    <w:p w14:paraId="27BA289B" w14:textId="77777777" w:rsidR="005A519F" w:rsidRPr="0079599B" w:rsidRDefault="005A519F" w:rsidP="005A519F">
      <w:pPr>
        <w:pStyle w:val="NormalHanging12a"/>
      </w:pPr>
      <w:r w:rsidRPr="0079599B">
        <w:t>–</w:t>
      </w:r>
      <w:r w:rsidRPr="0079599B">
        <w:tab/>
        <w:t>so zreteľom na článok 294 ods. 3 Zmluvy o fungovaní Európskej únie,</w:t>
      </w:r>
    </w:p>
    <w:p w14:paraId="0F83540F" w14:textId="3002CB05" w:rsidR="00FC5EC4" w:rsidRPr="0079599B" w:rsidRDefault="00FC5EC4" w:rsidP="00FC5EC4">
      <w:pPr>
        <w:pStyle w:val="NormalHanging12a"/>
      </w:pPr>
      <w:r w:rsidRPr="0079599B">
        <w:t>–</w:t>
      </w:r>
      <w:r w:rsidRPr="0079599B">
        <w:tab/>
        <w:t>so zreteľom na predbežnú dohodu schválenú gestorským výborom podľa článku 75 ods. 4 rokovacieho poriadku, a na záväzok zástupcu Rady, vyjadrený v liste z 23. apríla 2026, schváliť pozíciu Európskeho parlamentu v súlade s článkom 294 ods. 4 Zmluvy o fungovaní Európskej únie,</w:t>
      </w:r>
    </w:p>
    <w:p w14:paraId="2BB47AE2" w14:textId="77777777" w:rsidR="005A519F" w:rsidRPr="0079599B" w:rsidRDefault="005A519F" w:rsidP="005A519F">
      <w:pPr>
        <w:pStyle w:val="NormalHanging12a"/>
      </w:pPr>
      <w:r w:rsidRPr="0079599B">
        <w:t>–</w:t>
      </w:r>
      <w:r w:rsidRPr="0079599B">
        <w:tab/>
        <w:t>so zreteľom na článok 60 rokovacieho poriadku,</w:t>
      </w:r>
    </w:p>
    <w:p w14:paraId="45DAF466" w14:textId="77777777" w:rsidR="005A519F" w:rsidRPr="0079599B" w:rsidRDefault="005A519F" w:rsidP="005A519F">
      <w:pPr>
        <w:pStyle w:val="NormalHanging12a"/>
      </w:pPr>
      <w:r w:rsidRPr="0079599B">
        <w:t>–</w:t>
      </w:r>
      <w:r w:rsidRPr="0079599B">
        <w:tab/>
        <w:t>so zreteľom na stanovisko Výboru pre priemysel, výskum a energetiku,</w:t>
      </w:r>
    </w:p>
    <w:p w14:paraId="7BDEC967" w14:textId="77777777" w:rsidR="005A519F" w:rsidRPr="0079599B" w:rsidRDefault="005A519F" w:rsidP="005A519F">
      <w:pPr>
        <w:pStyle w:val="NormalHanging12a"/>
      </w:pPr>
      <w:r w:rsidRPr="0079599B">
        <w:t>–</w:t>
      </w:r>
      <w:r w:rsidRPr="0079599B">
        <w:tab/>
        <w:t>so zreteľom na správu Výboru pre medzinárodný obchod (A10-0012/2026),</w:t>
      </w:r>
    </w:p>
    <w:p w14:paraId="2CE15C92" w14:textId="77777777" w:rsidR="005A519F" w:rsidRPr="0079599B" w:rsidRDefault="005A519F" w:rsidP="005A519F">
      <w:pPr>
        <w:pStyle w:val="NormalHanging12a"/>
      </w:pPr>
      <w:r w:rsidRPr="0079599B">
        <w:t>1.</w:t>
      </w:r>
      <w:r w:rsidRPr="0079599B">
        <w:tab/>
        <w:t>prijíma nasledujúcu pozíciu v prvom čítaní;</w:t>
      </w:r>
    </w:p>
    <w:p w14:paraId="250FE429" w14:textId="22391E83" w:rsidR="00921ABD" w:rsidRPr="0079599B" w:rsidRDefault="00921ABD" w:rsidP="005A519F">
      <w:pPr>
        <w:pStyle w:val="NormalHanging12a"/>
      </w:pPr>
      <w:r w:rsidRPr="0079599B">
        <w:t>2.</w:t>
      </w:r>
      <w:r w:rsidRPr="0079599B">
        <w:tab/>
        <w:t xml:space="preserve">schvaľuje spoločné vyhlásenie Európskeho parlamentu, Rady a Komisie, ktoré je uvedené v prílohe k tomuto uzneseniu a ktoré bude uverejnené v sérii C </w:t>
      </w:r>
      <w:r w:rsidRPr="0079599B">
        <w:rPr>
          <w:i/>
          <w:iCs/>
        </w:rPr>
        <w:t>Úradného vestníka Európskej únie</w:t>
      </w:r>
      <w:r w:rsidRPr="0079599B">
        <w:t>;</w:t>
      </w:r>
    </w:p>
    <w:p w14:paraId="5CA91318" w14:textId="4A90084F" w:rsidR="005A519F" w:rsidRPr="0079599B" w:rsidRDefault="00921ABD" w:rsidP="005A519F">
      <w:pPr>
        <w:pStyle w:val="NormalHanging12a"/>
      </w:pPr>
      <w:r w:rsidRPr="0079599B">
        <w:t>3</w:t>
      </w:r>
      <w:r w:rsidR="005A519F" w:rsidRPr="0079599B">
        <w:t>.</w:t>
      </w:r>
      <w:r w:rsidR="005A519F" w:rsidRPr="0079599B">
        <w:tab/>
        <w:t xml:space="preserve">žiada Komisiu, aby mu vec znovu predložila, ak nahrádza, podstatne mení alebo má v </w:t>
      </w:r>
      <w:r w:rsidR="005A519F" w:rsidRPr="0079599B">
        <w:lastRenderedPageBreak/>
        <w:t>úmysle podstatne zmeniť svoj návrh;</w:t>
      </w:r>
    </w:p>
    <w:p w14:paraId="5D4E798D" w14:textId="129BA667" w:rsidR="005A519F" w:rsidRPr="0079599B" w:rsidRDefault="00921ABD" w:rsidP="005A519F">
      <w:pPr>
        <w:pStyle w:val="NormalHanging12a"/>
      </w:pPr>
      <w:r w:rsidRPr="0079599B">
        <w:t>4</w:t>
      </w:r>
      <w:r w:rsidR="005A519F" w:rsidRPr="0079599B">
        <w:t>.</w:t>
      </w:r>
      <w:r w:rsidR="005A519F" w:rsidRPr="0079599B">
        <w:tab/>
        <w:t>poveruje svoju predsedníčku, aby postúpila túto pozíciu Rade, Komisii a národným parlamentom.</w:t>
      </w:r>
    </w:p>
    <w:p w14:paraId="7ECBA78A" w14:textId="77777777" w:rsidR="00FC5EC4" w:rsidRPr="0079599B" w:rsidRDefault="00FC5EC4" w:rsidP="005A519F">
      <w:pPr>
        <w:pStyle w:val="NormalHanging12a"/>
        <w:sectPr w:rsidR="00FC5EC4" w:rsidRPr="0079599B" w:rsidSect="002404CC"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3F902816" w14:textId="3291E304" w:rsidR="00921ABD" w:rsidRPr="0079599B" w:rsidRDefault="00921ABD" w:rsidP="00921ABD">
      <w:pPr>
        <w:pStyle w:val="Institutionquiagit"/>
        <w:keepNext w:val="0"/>
        <w:spacing w:before="120"/>
        <w:jc w:val="left"/>
        <w:outlineLvl w:val="0"/>
        <w:rPr>
          <w:b/>
          <w:lang w:val="sk-SK"/>
        </w:rPr>
      </w:pPr>
      <w:r w:rsidRPr="0079599B">
        <w:rPr>
          <w:b/>
          <w:lang w:val="sk-SK"/>
        </w:rPr>
        <w:lastRenderedPageBreak/>
        <w:t>P10_TC1-COD(202</w:t>
      </w:r>
      <w:r w:rsidR="00EF243F" w:rsidRPr="0079599B">
        <w:rPr>
          <w:b/>
          <w:lang w:val="sk-SK"/>
        </w:rPr>
        <w:t>5</w:t>
      </w:r>
      <w:r w:rsidRPr="0079599B">
        <w:rPr>
          <w:b/>
          <w:lang w:val="sk-SK"/>
        </w:rPr>
        <w:t>)0</w:t>
      </w:r>
      <w:r w:rsidR="00EF243F" w:rsidRPr="0079599B">
        <w:rPr>
          <w:b/>
          <w:lang w:val="sk-SK"/>
        </w:rPr>
        <w:t>726</w:t>
      </w:r>
    </w:p>
    <w:p w14:paraId="683C17B4" w14:textId="3D8BDA5F" w:rsidR="00921ABD" w:rsidRPr="0079599B" w:rsidRDefault="00921ABD" w:rsidP="00EF243F">
      <w:pPr>
        <w:pStyle w:val="AmNumberTabs"/>
        <w:rPr>
          <w:bCs/>
          <w:color w:val="000000"/>
          <w:szCs w:val="24"/>
          <w:lang w:eastAsia="en-US"/>
        </w:rPr>
      </w:pPr>
      <w:r w:rsidRPr="0079599B">
        <w:t>Pozícia Európskeho parlamentu prijatá v prvom čítaní 19. mája</w:t>
      </w:r>
      <w:r w:rsidRPr="0079599B">
        <w:rPr>
          <w:color w:val="FFFF00"/>
        </w:rPr>
        <w:t xml:space="preserve"> </w:t>
      </w:r>
      <w:r w:rsidRPr="0079599B">
        <w:t xml:space="preserve">2026 na účely prijatia nariadenia Európskeho parlamentu a Rady (EÚ) </w:t>
      </w:r>
      <w:r w:rsidRPr="0079599B">
        <w:rPr>
          <w:color w:val="000000" w:themeColor="text1"/>
        </w:rPr>
        <w:t>2026</w:t>
      </w:r>
      <w:r w:rsidRPr="0079599B">
        <w:t>/...</w:t>
      </w:r>
      <w:r w:rsidR="00EF243F" w:rsidRPr="0079599B">
        <w:t>,</w:t>
      </w:r>
      <w:r w:rsidRPr="0079599B">
        <w:t xml:space="preserve"> </w:t>
      </w:r>
      <w:r w:rsidRPr="0079599B">
        <w:rPr>
          <w:color w:val="000000"/>
          <w:szCs w:val="24"/>
          <w:lang w:eastAsia="en-US"/>
        </w:rPr>
        <w:t xml:space="preserve">ktorým sa riešia negatívne účinky celosvetovej nadmernej kapacity na trh Únie s oceľou súvisiace s obchodom </w:t>
      </w:r>
      <w:r w:rsidRPr="0079599B">
        <w:rPr>
          <w:i/>
          <w:color w:val="000000"/>
          <w:szCs w:val="24"/>
          <w:lang w:eastAsia="en-US"/>
        </w:rPr>
        <w:t xml:space="preserve">a </w:t>
      </w:r>
      <w:r w:rsidRPr="00D0206A">
        <w:rPr>
          <w:iCs/>
          <w:color w:val="000000"/>
          <w:szCs w:val="24"/>
          <w:lang w:eastAsia="en-US"/>
        </w:rPr>
        <w:t>mení nariadenie (EÚ) 2020/2170</w:t>
      </w:r>
    </w:p>
    <w:p w14:paraId="21EB1063" w14:textId="19212AB5" w:rsidR="004441BF" w:rsidRDefault="004441BF" w:rsidP="006721BA">
      <w:pPr>
        <w:widowControl/>
        <w:spacing w:before="480"/>
        <w:rPr>
          <w:i/>
          <w:iCs/>
          <w:color w:val="000000"/>
          <w:szCs w:val="24"/>
          <w:lang w:eastAsia="en-US"/>
        </w:rPr>
      </w:pPr>
      <w:r w:rsidRPr="004441BF">
        <w:rPr>
          <w:i/>
          <w:iCs/>
          <w:color w:val="000000"/>
          <w:szCs w:val="24"/>
          <w:lang w:eastAsia="en-US"/>
        </w:rPr>
        <w:t xml:space="preserve">(Keďže bola dosiahnutá dohoda medzi Európskym parlamentom a Radou, pozícia Európskeho parlamentu zodpovedá záverečnému legislatívnemu aktu, nariadeniu (EÚ) </w:t>
      </w:r>
      <w:r>
        <w:rPr>
          <w:i/>
          <w:iCs/>
          <w:color w:val="000000"/>
          <w:szCs w:val="24"/>
          <w:lang w:eastAsia="en-US"/>
        </w:rPr>
        <w:t>2026/1384).</w:t>
      </w:r>
    </w:p>
    <w:p w14:paraId="700ABD2C" w14:textId="77777777" w:rsidR="006721BA" w:rsidRPr="006721BA" w:rsidRDefault="006721BA" w:rsidP="006721BA">
      <w:pPr>
        <w:widowControl/>
        <w:spacing w:before="120"/>
        <w:rPr>
          <w:i/>
          <w:iCs/>
          <w:color w:val="000000"/>
          <w:szCs w:val="24"/>
          <w:lang w:eastAsia="en-US"/>
        </w:rPr>
      </w:pPr>
    </w:p>
    <w:p w14:paraId="25DACFCA" w14:textId="77777777" w:rsidR="004441BF" w:rsidRPr="0079599B" w:rsidRDefault="004441BF" w:rsidP="00921ABD">
      <w:pPr>
        <w:widowControl/>
        <w:spacing w:before="120" w:after="120" w:line="360" w:lineRule="auto"/>
        <w:rPr>
          <w:color w:val="000000"/>
          <w:szCs w:val="24"/>
          <w:lang w:eastAsia="en-US"/>
        </w:rPr>
        <w:sectPr w:rsidR="004441BF" w:rsidRPr="0079599B" w:rsidSect="002404CC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14:paraId="438C2390" w14:textId="77777777" w:rsidR="00921ABD" w:rsidRPr="0079599B" w:rsidRDefault="00921ABD" w:rsidP="00921ABD">
      <w:pPr>
        <w:pStyle w:val="AmNumberTabs"/>
        <w:spacing w:after="360"/>
        <w:jc w:val="right"/>
        <w:rPr>
          <w:b w:val="0"/>
          <w:bCs/>
        </w:rPr>
      </w:pPr>
      <w:r w:rsidRPr="0079599B">
        <w:rPr>
          <w:b w:val="0"/>
          <w:bCs/>
        </w:rPr>
        <w:lastRenderedPageBreak/>
        <w:t>PRÍLOHA K LEGISLATÍVNEMU UZNESENIU</w:t>
      </w:r>
    </w:p>
    <w:p w14:paraId="2CC692E9" w14:textId="77777777" w:rsidR="00921ABD" w:rsidRPr="0079599B" w:rsidRDefault="00921ABD" w:rsidP="00003786">
      <w:pPr>
        <w:spacing w:after="240"/>
        <w:rPr>
          <w:b/>
          <w:bCs/>
          <w:szCs w:val="24"/>
        </w:rPr>
      </w:pPr>
      <w:r w:rsidRPr="0079599B">
        <w:rPr>
          <w:b/>
          <w:szCs w:val="24"/>
        </w:rPr>
        <w:t xml:space="preserve">Spoločné vyhlásenie Európskeho parlamentu, Rady a Európskej komisie o dovoze výrobkov z ocele z Ruska </w:t>
      </w:r>
    </w:p>
    <w:p w14:paraId="58FEC6FD" w14:textId="77777777" w:rsidR="00921ABD" w:rsidRPr="0079599B" w:rsidRDefault="00921ABD" w:rsidP="0079599B">
      <w:pPr>
        <w:widowControl/>
        <w:spacing w:after="240"/>
        <w:rPr>
          <w:szCs w:val="24"/>
        </w:rPr>
      </w:pPr>
      <w:r w:rsidRPr="0079599B">
        <w:rPr>
          <w:szCs w:val="24"/>
        </w:rPr>
        <w:t>Únia a jej členské štáty prijali od začiatku vojny bezprecedentné opatrenia na zníženie hospodárskej závislosti od Ruska a na zabezpečenie toho, aby hospodárska činnosť Únie neprispievala k podpore ruskej vojnovej mašinérie.</w:t>
      </w:r>
    </w:p>
    <w:p w14:paraId="4124C9A7" w14:textId="77777777" w:rsidR="00921ABD" w:rsidRPr="0079599B" w:rsidRDefault="00921ABD" w:rsidP="0079599B">
      <w:pPr>
        <w:widowControl/>
        <w:spacing w:after="240"/>
        <w:rPr>
          <w:szCs w:val="24"/>
        </w:rPr>
      </w:pPr>
      <w:r w:rsidRPr="0079599B">
        <w:rPr>
          <w:szCs w:val="24"/>
        </w:rPr>
        <w:t>Tieto opatrenia výrazne znížili obchodné toky v celej škále odvetví vrátane oceliarstva, urýchlili oddelenie, prispeli k zvýšenej odolnosti Únie a zároveň preukázali, že Únia dokáže konať jednotne a rozhodne, ak sú ohrozené jej hodnoty a strategické záujmy.</w:t>
      </w:r>
    </w:p>
    <w:p w14:paraId="3B58DB2B" w14:textId="77777777" w:rsidR="00921ABD" w:rsidRPr="0079599B" w:rsidRDefault="00921ABD" w:rsidP="0079599B">
      <w:pPr>
        <w:widowControl/>
        <w:spacing w:after="240"/>
        <w:rPr>
          <w:szCs w:val="24"/>
        </w:rPr>
      </w:pPr>
      <w:r w:rsidRPr="0079599B">
        <w:rPr>
          <w:szCs w:val="24"/>
        </w:rPr>
        <w:t>Únia musí zároveň naďalej venovať pozornosť oblastiam, v ktorých závislosť pretrváva, najmä pokiaľ ide o určité výrobky z ocele, ktorých dovoz ešte nie je úplne zakázaný.</w:t>
      </w:r>
    </w:p>
    <w:p w14:paraId="5ADCCFBE" w14:textId="77777777" w:rsidR="00921ABD" w:rsidRPr="0079599B" w:rsidRDefault="00921ABD" w:rsidP="0079599B">
      <w:pPr>
        <w:widowControl/>
        <w:spacing w:after="240"/>
        <w:rPr>
          <w:szCs w:val="24"/>
        </w:rPr>
      </w:pPr>
      <w:r w:rsidRPr="0079599B">
        <w:rPr>
          <w:szCs w:val="24"/>
        </w:rPr>
        <w:t>Konkrétne v oceliarstve pokračuje až do 30. septembra 2028 určitý obmedzený dovoz z Ruska v súlade s prechodnými opatreniami stanovenými v príslušných reštriktívnych opatreniach, ktoré prijala Rada</w:t>
      </w:r>
      <w:r w:rsidRPr="0079599B">
        <w:rPr>
          <w:szCs w:val="24"/>
          <w:vertAlign w:val="superscript"/>
        </w:rPr>
        <w:footnoteReference w:id="1"/>
      </w:r>
      <w:r w:rsidRPr="0079599B">
        <w:rPr>
          <w:szCs w:val="24"/>
        </w:rPr>
        <w:t>. V záujme zabezpečenia postupnej a plynulej diverzifikácie je tento dovoz obmedzený kvótami, ktorých objem sa každoročne znižuje.</w:t>
      </w:r>
    </w:p>
    <w:p w14:paraId="0922381D" w14:textId="3727DBE7" w:rsidR="00921ABD" w:rsidRPr="0079599B" w:rsidRDefault="00921ABD" w:rsidP="00003786">
      <w:pPr>
        <w:widowControl/>
        <w:spacing w:after="240"/>
        <w:rPr>
          <w:szCs w:val="24"/>
        </w:rPr>
      </w:pPr>
      <w:r w:rsidRPr="0079599B">
        <w:rPr>
          <w:szCs w:val="24"/>
        </w:rPr>
        <w:t xml:space="preserve">Európsky parlament, Rada a Európska komisia pripomínajú inštitucionálny rámec, ktorý sa vzťahuje na reštriktívne opatrenia, a zároveň zdôrazňujú, že príslušné reštriktívne opatrenia prijaté Radou sú základom trajektórie na postupné ukončenie zostávajúceho dovozu ruských výrobkov z ocele, najmä oceľových </w:t>
      </w:r>
      <w:proofErr w:type="spellStart"/>
      <w:r w:rsidRPr="0079599B">
        <w:rPr>
          <w:szCs w:val="24"/>
        </w:rPr>
        <w:t>brám</w:t>
      </w:r>
      <w:proofErr w:type="spellEnd"/>
      <w:r w:rsidRPr="0079599B">
        <w:rPr>
          <w:szCs w:val="24"/>
        </w:rPr>
        <w:t>, do 30. septembra 2028.</w:t>
      </w:r>
    </w:p>
    <w:sectPr w:rsidR="00921ABD" w:rsidRPr="0079599B" w:rsidSect="002404CC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D6D85B" w14:textId="77777777" w:rsidR="00AD4A7E" w:rsidRPr="002404CC" w:rsidRDefault="00AD4A7E">
      <w:r w:rsidRPr="002404CC">
        <w:separator/>
      </w:r>
    </w:p>
  </w:endnote>
  <w:endnote w:type="continuationSeparator" w:id="0">
    <w:p w14:paraId="37B502E6" w14:textId="77777777" w:rsidR="00AD4A7E" w:rsidRPr="002404CC" w:rsidRDefault="00AD4A7E">
      <w:r w:rsidRPr="002404CC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2CB523" w14:textId="77777777" w:rsidR="00921ABD" w:rsidRDefault="00921AB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EB7C3A3" w14:textId="4D94412D" w:rsidR="00921ABD" w:rsidRPr="00921ABD" w:rsidRDefault="00921ABD" w:rsidP="00921AB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22754D" w14:textId="77777777" w:rsidR="00921ABD" w:rsidRDefault="00921AB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0E03AE" w14:textId="77777777" w:rsidR="00AD4A7E" w:rsidRPr="002404CC" w:rsidRDefault="00AD4A7E">
      <w:r w:rsidRPr="002404CC">
        <w:separator/>
      </w:r>
    </w:p>
  </w:footnote>
  <w:footnote w:type="continuationSeparator" w:id="0">
    <w:p w14:paraId="200D650E" w14:textId="77777777" w:rsidR="00AD4A7E" w:rsidRPr="002404CC" w:rsidRDefault="00AD4A7E">
      <w:r w:rsidRPr="002404CC">
        <w:continuationSeparator/>
      </w:r>
    </w:p>
  </w:footnote>
  <w:footnote w:id="1">
    <w:p w14:paraId="6D3A0B28" w14:textId="61B10E9B" w:rsidR="00921ABD" w:rsidRPr="00921ABD" w:rsidRDefault="00921ABD" w:rsidP="00D0206A">
      <w:pPr>
        <w:pStyle w:val="FootnoteText"/>
        <w:tabs>
          <w:tab w:val="left" w:pos="709"/>
        </w:tabs>
        <w:ind w:left="709" w:hanging="709"/>
        <w:rPr>
          <w:sz w:val="24"/>
          <w:szCs w:val="24"/>
          <w:lang w:val="sk-SK"/>
        </w:rPr>
      </w:pPr>
      <w:r w:rsidRPr="00D107D5">
        <w:rPr>
          <w:rStyle w:val="FootnoteReference"/>
          <w:sz w:val="24"/>
          <w:szCs w:val="24"/>
        </w:rPr>
        <w:footnoteRef/>
      </w:r>
      <w:r w:rsidRPr="00921ABD">
        <w:rPr>
          <w:sz w:val="24"/>
          <w:szCs w:val="24"/>
          <w:lang w:val="sk-SK"/>
        </w:rPr>
        <w:t xml:space="preserve"> </w:t>
      </w:r>
      <w:r w:rsidRPr="00921ABD">
        <w:rPr>
          <w:sz w:val="24"/>
          <w:szCs w:val="24"/>
          <w:lang w:val="sk-SK"/>
        </w:rPr>
        <w:tab/>
      </w:r>
      <w:r w:rsidRPr="00D0206A">
        <w:rPr>
          <w:sz w:val="24"/>
          <w:szCs w:val="24"/>
          <w:lang w:val="sk-SK"/>
        </w:rPr>
        <w:t xml:space="preserve">Rozhodnutie Rady 2014/512/SZBP z 31. júla 2014 o reštriktívnych opatreniach s ohľadom na konanie Ruska, ktorým destabilizuje situáciu na Ukrajine </w:t>
      </w:r>
      <w:r w:rsidR="00D0206A" w:rsidRPr="00D0206A">
        <w:rPr>
          <w:sz w:val="24"/>
          <w:szCs w:val="24"/>
          <w:lang w:val="en-GB"/>
        </w:rPr>
        <w:t>(</w:t>
      </w:r>
      <w:r w:rsidR="00D0206A" w:rsidRPr="00D0206A">
        <w:rPr>
          <w:sz w:val="24"/>
          <w:szCs w:val="24"/>
          <w:lang w:val="sk-SK"/>
        </w:rPr>
        <w:t>Ú. v. EÚ</w:t>
      </w:r>
      <w:r w:rsidR="00D0206A" w:rsidRPr="00D0206A">
        <w:rPr>
          <w:sz w:val="24"/>
          <w:szCs w:val="24"/>
          <w:lang w:val="en-GB"/>
        </w:rPr>
        <w:t xml:space="preserve"> L 229, 31.7.2014, </w:t>
      </w:r>
      <w:r w:rsidR="00D0206A">
        <w:rPr>
          <w:sz w:val="24"/>
          <w:szCs w:val="24"/>
          <w:lang w:val="en-GB"/>
        </w:rPr>
        <w:t>s</w:t>
      </w:r>
      <w:r w:rsidR="00D0206A" w:rsidRPr="00D0206A">
        <w:rPr>
          <w:sz w:val="24"/>
          <w:szCs w:val="24"/>
          <w:lang w:val="en-GB"/>
        </w:rPr>
        <w:t xml:space="preserve">. 13, ELI: </w:t>
      </w:r>
      <w:hyperlink r:id="rId1" w:history="1">
        <w:r w:rsidR="00D0206A" w:rsidRPr="00D0206A">
          <w:rPr>
            <w:rStyle w:val="Hyperlink"/>
            <w:sz w:val="24"/>
            <w:szCs w:val="24"/>
            <w:lang w:val="en-GB"/>
          </w:rPr>
          <w:t>http://data.europa.eu/eli/dec/2014/512/oj</w:t>
        </w:r>
      </w:hyperlink>
      <w:r w:rsidR="00D0206A" w:rsidRPr="00D0206A">
        <w:rPr>
          <w:sz w:val="24"/>
          <w:szCs w:val="24"/>
          <w:lang w:val="en-GB"/>
        </w:rPr>
        <w:t xml:space="preserve">) </w:t>
      </w:r>
      <w:r w:rsidRPr="00D0206A">
        <w:rPr>
          <w:sz w:val="24"/>
          <w:szCs w:val="24"/>
          <w:lang w:val="sk-SK"/>
        </w:rPr>
        <w:t>a na nariadenie Rady (EÚ) č. 833/2014 z 31. júla 2014 o reštriktívnych opatreniach s ohľadom na konanie Ruska, ktorým destabilizuje situáciu na Ukrajine</w:t>
      </w:r>
      <w:r w:rsidR="00D0206A" w:rsidRPr="00D0206A">
        <w:rPr>
          <w:sz w:val="24"/>
          <w:szCs w:val="24"/>
          <w:lang w:val="sk-SK"/>
        </w:rPr>
        <w:t xml:space="preserve"> </w:t>
      </w:r>
      <w:r w:rsidR="00D0206A" w:rsidRPr="00D0206A">
        <w:rPr>
          <w:sz w:val="24"/>
          <w:szCs w:val="24"/>
          <w:lang w:val="en-GB"/>
        </w:rPr>
        <w:t>(</w:t>
      </w:r>
      <w:r w:rsidR="00D0206A" w:rsidRPr="00D0206A">
        <w:rPr>
          <w:sz w:val="24"/>
          <w:szCs w:val="24"/>
          <w:lang w:val="sk-SK"/>
        </w:rPr>
        <w:t>Ú. v. EÚ</w:t>
      </w:r>
      <w:r w:rsidR="00D0206A" w:rsidRPr="00D0206A">
        <w:rPr>
          <w:sz w:val="24"/>
          <w:szCs w:val="24"/>
          <w:lang w:val="en-GB"/>
        </w:rPr>
        <w:t xml:space="preserve"> L 229, 31.7.2014, </w:t>
      </w:r>
      <w:r w:rsidR="00D0206A">
        <w:rPr>
          <w:sz w:val="24"/>
          <w:szCs w:val="24"/>
          <w:lang w:val="en-GB"/>
        </w:rPr>
        <w:t>s</w:t>
      </w:r>
      <w:r w:rsidR="00D0206A" w:rsidRPr="00D0206A">
        <w:rPr>
          <w:sz w:val="24"/>
          <w:szCs w:val="24"/>
          <w:lang w:val="en-GB"/>
        </w:rPr>
        <w:t xml:space="preserve">. 1, ELI: </w:t>
      </w:r>
      <w:hyperlink r:id="rId2" w:history="1">
        <w:r w:rsidR="00D0206A" w:rsidRPr="00D0206A">
          <w:rPr>
            <w:rStyle w:val="Hyperlink"/>
            <w:sz w:val="24"/>
            <w:szCs w:val="24"/>
            <w:lang w:val="en-GB"/>
          </w:rPr>
          <w:t>http://data.europa.eu/eli/reg/2014/833/oj</w:t>
        </w:r>
      </w:hyperlink>
      <w:r w:rsidR="00D0206A" w:rsidRPr="00D0206A">
        <w:rPr>
          <w:sz w:val="24"/>
          <w:szCs w:val="24"/>
          <w:lang w:val="en-GB"/>
        </w:rPr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59BFA0" w14:textId="77777777" w:rsidR="00921ABD" w:rsidRDefault="00921AB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6CFE44" w14:textId="77777777" w:rsidR="00921ABD" w:rsidRDefault="00921AB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F0C5546" w14:textId="77777777" w:rsidR="00921ABD" w:rsidRDefault="00921AB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2" w15:restartNumberingAfterBreak="0">
    <w:nsid w:val="43C77951"/>
    <w:multiLevelType w:val="hybridMultilevel"/>
    <w:tmpl w:val="CF046FD2"/>
    <w:lvl w:ilvl="0" w:tplc="B5F05CAC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A7EA4686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FF6A4CF2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3BF8212A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9BCA120E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FA0C66A4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14241B04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B4BABA2E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FC5CE420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abstractNum w:abstractNumId="13" w15:restartNumberingAfterBreak="0">
    <w:nsid w:val="4D3C337A"/>
    <w:multiLevelType w:val="hybridMultilevel"/>
    <w:tmpl w:val="F398A9F8"/>
    <w:lvl w:ilvl="0" w:tplc="2B304726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D2048762">
      <w:numFmt w:val="bullet"/>
      <w:lvlText w:val="•"/>
      <w:lvlJc w:val="left"/>
      <w:pPr>
        <w:ind w:left="1794" w:hanging="850"/>
      </w:pPr>
      <w:rPr>
        <w:lang w:val="en-US" w:eastAsia="en-US" w:bidi="ar-SA"/>
      </w:rPr>
    </w:lvl>
    <w:lvl w:ilvl="2" w:tplc="5890E790">
      <w:numFmt w:val="bullet"/>
      <w:lvlText w:val="•"/>
      <w:lvlJc w:val="left"/>
      <w:pPr>
        <w:ind w:left="2629" w:hanging="850"/>
      </w:pPr>
      <w:rPr>
        <w:lang w:val="en-US" w:eastAsia="en-US" w:bidi="ar-SA"/>
      </w:rPr>
    </w:lvl>
    <w:lvl w:ilvl="3" w:tplc="16E0DD76">
      <w:numFmt w:val="bullet"/>
      <w:lvlText w:val="•"/>
      <w:lvlJc w:val="left"/>
      <w:pPr>
        <w:ind w:left="3463" w:hanging="850"/>
      </w:pPr>
      <w:rPr>
        <w:lang w:val="en-US" w:eastAsia="en-US" w:bidi="ar-SA"/>
      </w:rPr>
    </w:lvl>
    <w:lvl w:ilvl="4" w:tplc="73921706">
      <w:numFmt w:val="bullet"/>
      <w:lvlText w:val="•"/>
      <w:lvlJc w:val="left"/>
      <w:pPr>
        <w:ind w:left="4298" w:hanging="850"/>
      </w:pPr>
      <w:rPr>
        <w:lang w:val="en-US" w:eastAsia="en-US" w:bidi="ar-SA"/>
      </w:rPr>
    </w:lvl>
    <w:lvl w:ilvl="5" w:tplc="A2BEBC00">
      <w:numFmt w:val="bullet"/>
      <w:lvlText w:val="•"/>
      <w:lvlJc w:val="left"/>
      <w:pPr>
        <w:ind w:left="5133" w:hanging="850"/>
      </w:pPr>
      <w:rPr>
        <w:lang w:val="en-US" w:eastAsia="en-US" w:bidi="ar-SA"/>
      </w:rPr>
    </w:lvl>
    <w:lvl w:ilvl="6" w:tplc="EC12082E">
      <w:numFmt w:val="bullet"/>
      <w:lvlText w:val="•"/>
      <w:lvlJc w:val="left"/>
      <w:pPr>
        <w:ind w:left="5967" w:hanging="850"/>
      </w:pPr>
      <w:rPr>
        <w:lang w:val="en-US" w:eastAsia="en-US" w:bidi="ar-SA"/>
      </w:rPr>
    </w:lvl>
    <w:lvl w:ilvl="7" w:tplc="1D860244">
      <w:numFmt w:val="bullet"/>
      <w:lvlText w:val="•"/>
      <w:lvlJc w:val="left"/>
      <w:pPr>
        <w:ind w:left="6802" w:hanging="850"/>
      </w:pPr>
      <w:rPr>
        <w:lang w:val="en-US" w:eastAsia="en-US" w:bidi="ar-SA"/>
      </w:rPr>
    </w:lvl>
    <w:lvl w:ilvl="8" w:tplc="3EA82DBA">
      <w:numFmt w:val="bullet"/>
      <w:lvlText w:val="•"/>
      <w:lvlJc w:val="left"/>
      <w:pPr>
        <w:ind w:left="7637" w:hanging="850"/>
      </w:pPr>
      <w:rPr>
        <w:lang w:val="en-US" w:eastAsia="en-US" w:bidi="ar-SA"/>
      </w:rPr>
    </w:lvl>
  </w:abstractNum>
  <w:abstractNum w:abstractNumId="14" w15:restartNumberingAfterBreak="0">
    <w:nsid w:val="520973CC"/>
    <w:multiLevelType w:val="hybridMultilevel"/>
    <w:tmpl w:val="77764F64"/>
    <w:lvl w:ilvl="0" w:tplc="0D9C6D0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0B67A4F"/>
    <w:multiLevelType w:val="hybridMultilevel"/>
    <w:tmpl w:val="F996A700"/>
    <w:lvl w:ilvl="0" w:tplc="056077C2">
      <w:start w:val="1"/>
      <w:numFmt w:val="decimal"/>
      <w:lvlText w:val="(%1)"/>
      <w:lvlJc w:val="left"/>
      <w:pPr>
        <w:ind w:left="824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B58B152">
      <w:numFmt w:val="bullet"/>
      <w:lvlText w:val="•"/>
      <w:lvlJc w:val="left"/>
      <w:pPr>
        <w:ind w:left="1668" w:hanging="708"/>
      </w:pPr>
      <w:rPr>
        <w:lang w:val="en-US" w:eastAsia="en-US" w:bidi="ar-SA"/>
      </w:rPr>
    </w:lvl>
    <w:lvl w:ilvl="2" w:tplc="4778570A">
      <w:numFmt w:val="bullet"/>
      <w:lvlText w:val="•"/>
      <w:lvlJc w:val="left"/>
      <w:pPr>
        <w:ind w:left="2517" w:hanging="708"/>
      </w:pPr>
      <w:rPr>
        <w:lang w:val="en-US" w:eastAsia="en-US" w:bidi="ar-SA"/>
      </w:rPr>
    </w:lvl>
    <w:lvl w:ilvl="3" w:tplc="8782EA08">
      <w:numFmt w:val="bullet"/>
      <w:lvlText w:val="•"/>
      <w:lvlJc w:val="left"/>
      <w:pPr>
        <w:ind w:left="3365" w:hanging="708"/>
      </w:pPr>
      <w:rPr>
        <w:lang w:val="en-US" w:eastAsia="en-US" w:bidi="ar-SA"/>
      </w:rPr>
    </w:lvl>
    <w:lvl w:ilvl="4" w:tplc="D4FC731C">
      <w:numFmt w:val="bullet"/>
      <w:lvlText w:val="•"/>
      <w:lvlJc w:val="left"/>
      <w:pPr>
        <w:ind w:left="4214" w:hanging="708"/>
      </w:pPr>
      <w:rPr>
        <w:lang w:val="en-US" w:eastAsia="en-US" w:bidi="ar-SA"/>
      </w:rPr>
    </w:lvl>
    <w:lvl w:ilvl="5" w:tplc="9666464C">
      <w:numFmt w:val="bullet"/>
      <w:lvlText w:val="•"/>
      <w:lvlJc w:val="left"/>
      <w:pPr>
        <w:ind w:left="5063" w:hanging="708"/>
      </w:pPr>
      <w:rPr>
        <w:lang w:val="en-US" w:eastAsia="en-US" w:bidi="ar-SA"/>
      </w:rPr>
    </w:lvl>
    <w:lvl w:ilvl="6" w:tplc="2A904A9A">
      <w:numFmt w:val="bullet"/>
      <w:lvlText w:val="•"/>
      <w:lvlJc w:val="left"/>
      <w:pPr>
        <w:ind w:left="5911" w:hanging="708"/>
      </w:pPr>
      <w:rPr>
        <w:lang w:val="en-US" w:eastAsia="en-US" w:bidi="ar-SA"/>
      </w:rPr>
    </w:lvl>
    <w:lvl w:ilvl="7" w:tplc="72EADED2">
      <w:numFmt w:val="bullet"/>
      <w:lvlText w:val="•"/>
      <w:lvlJc w:val="left"/>
      <w:pPr>
        <w:ind w:left="6760" w:hanging="708"/>
      </w:pPr>
      <w:rPr>
        <w:lang w:val="en-US" w:eastAsia="en-US" w:bidi="ar-SA"/>
      </w:rPr>
    </w:lvl>
    <w:lvl w:ilvl="8" w:tplc="B0E835CC">
      <w:numFmt w:val="bullet"/>
      <w:lvlText w:val="•"/>
      <w:lvlJc w:val="left"/>
      <w:pPr>
        <w:ind w:left="7609" w:hanging="708"/>
      </w:pPr>
      <w:rPr>
        <w:lang w:val="en-US" w:eastAsia="en-US" w:bidi="ar-SA"/>
      </w:rPr>
    </w:lvl>
  </w:abstractNum>
  <w:abstractNum w:abstractNumId="16" w15:restartNumberingAfterBreak="0">
    <w:nsid w:val="66D377C0"/>
    <w:multiLevelType w:val="hybridMultilevel"/>
    <w:tmpl w:val="898671CA"/>
    <w:lvl w:ilvl="0" w:tplc="9D80C6F0">
      <w:start w:val="1"/>
      <w:numFmt w:val="decimal"/>
      <w:lvlText w:val="%1."/>
      <w:lvlJc w:val="left"/>
      <w:pPr>
        <w:ind w:left="966" w:hanging="85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684801C0">
      <w:start w:val="1"/>
      <w:numFmt w:val="lowerLetter"/>
      <w:lvlText w:val="(%2)"/>
      <w:lvlJc w:val="left"/>
      <w:pPr>
        <w:ind w:left="1532" w:hanging="567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4"/>
        <w:szCs w:val="24"/>
        <w:lang w:val="en-US" w:eastAsia="en-US" w:bidi="ar-SA"/>
      </w:rPr>
    </w:lvl>
    <w:lvl w:ilvl="2" w:tplc="7670143C">
      <w:numFmt w:val="bullet"/>
      <w:lvlText w:val="•"/>
      <w:lvlJc w:val="left"/>
      <w:pPr>
        <w:ind w:left="2402" w:hanging="567"/>
      </w:pPr>
      <w:rPr>
        <w:lang w:val="en-US" w:eastAsia="en-US" w:bidi="ar-SA"/>
      </w:rPr>
    </w:lvl>
    <w:lvl w:ilvl="3" w:tplc="9FE249D8">
      <w:numFmt w:val="bullet"/>
      <w:lvlText w:val="•"/>
      <w:lvlJc w:val="left"/>
      <w:pPr>
        <w:ind w:left="3265" w:hanging="567"/>
      </w:pPr>
      <w:rPr>
        <w:lang w:val="en-US" w:eastAsia="en-US" w:bidi="ar-SA"/>
      </w:rPr>
    </w:lvl>
    <w:lvl w:ilvl="4" w:tplc="4112BCCA">
      <w:numFmt w:val="bullet"/>
      <w:lvlText w:val="•"/>
      <w:lvlJc w:val="left"/>
      <w:pPr>
        <w:ind w:left="4128" w:hanging="567"/>
      </w:pPr>
      <w:rPr>
        <w:lang w:val="en-US" w:eastAsia="en-US" w:bidi="ar-SA"/>
      </w:rPr>
    </w:lvl>
    <w:lvl w:ilvl="5" w:tplc="435EF1E2">
      <w:numFmt w:val="bullet"/>
      <w:lvlText w:val="•"/>
      <w:lvlJc w:val="left"/>
      <w:pPr>
        <w:ind w:left="4991" w:hanging="567"/>
      </w:pPr>
      <w:rPr>
        <w:lang w:val="en-US" w:eastAsia="en-US" w:bidi="ar-SA"/>
      </w:rPr>
    </w:lvl>
    <w:lvl w:ilvl="6" w:tplc="09A0B80A">
      <w:numFmt w:val="bullet"/>
      <w:lvlText w:val="•"/>
      <w:lvlJc w:val="left"/>
      <w:pPr>
        <w:ind w:left="5854" w:hanging="567"/>
      </w:pPr>
      <w:rPr>
        <w:lang w:val="en-US" w:eastAsia="en-US" w:bidi="ar-SA"/>
      </w:rPr>
    </w:lvl>
    <w:lvl w:ilvl="7" w:tplc="CD84C12A">
      <w:numFmt w:val="bullet"/>
      <w:lvlText w:val="•"/>
      <w:lvlJc w:val="left"/>
      <w:pPr>
        <w:ind w:left="6717" w:hanging="567"/>
      </w:pPr>
      <w:rPr>
        <w:lang w:val="en-US" w:eastAsia="en-US" w:bidi="ar-SA"/>
      </w:rPr>
    </w:lvl>
    <w:lvl w:ilvl="8" w:tplc="EE84D554">
      <w:numFmt w:val="bullet"/>
      <w:lvlText w:val="•"/>
      <w:lvlJc w:val="left"/>
      <w:pPr>
        <w:ind w:left="7580" w:hanging="567"/>
      </w:pPr>
      <w:rPr>
        <w:lang w:val="en-US" w:eastAsia="en-US" w:bidi="ar-SA"/>
      </w:rPr>
    </w:lvl>
  </w:abstractNum>
  <w:num w:numId="1" w16cid:durableId="437221298">
    <w:abstractNumId w:val="9"/>
  </w:num>
  <w:num w:numId="2" w16cid:durableId="493376921">
    <w:abstractNumId w:val="9"/>
  </w:num>
  <w:num w:numId="3" w16cid:durableId="684357041">
    <w:abstractNumId w:val="7"/>
  </w:num>
  <w:num w:numId="4" w16cid:durableId="2145930658">
    <w:abstractNumId w:val="7"/>
  </w:num>
  <w:num w:numId="5" w16cid:durableId="1135485750">
    <w:abstractNumId w:val="6"/>
  </w:num>
  <w:num w:numId="6" w16cid:durableId="2073656832">
    <w:abstractNumId w:val="6"/>
  </w:num>
  <w:num w:numId="7" w16cid:durableId="1760444138">
    <w:abstractNumId w:val="5"/>
  </w:num>
  <w:num w:numId="8" w16cid:durableId="579632731">
    <w:abstractNumId w:val="5"/>
  </w:num>
  <w:num w:numId="9" w16cid:durableId="1263611771">
    <w:abstractNumId w:val="4"/>
  </w:num>
  <w:num w:numId="10" w16cid:durableId="2146044532">
    <w:abstractNumId w:val="4"/>
  </w:num>
  <w:num w:numId="11" w16cid:durableId="597175488">
    <w:abstractNumId w:val="8"/>
  </w:num>
  <w:num w:numId="12" w16cid:durableId="902913422">
    <w:abstractNumId w:val="8"/>
  </w:num>
  <w:num w:numId="13" w16cid:durableId="712315028">
    <w:abstractNumId w:val="3"/>
  </w:num>
  <w:num w:numId="14" w16cid:durableId="336080884">
    <w:abstractNumId w:val="3"/>
  </w:num>
  <w:num w:numId="15" w16cid:durableId="1597710671">
    <w:abstractNumId w:val="2"/>
  </w:num>
  <w:num w:numId="16" w16cid:durableId="2038118206">
    <w:abstractNumId w:val="2"/>
  </w:num>
  <w:num w:numId="17" w16cid:durableId="1068919653">
    <w:abstractNumId w:val="1"/>
  </w:num>
  <w:num w:numId="18" w16cid:durableId="2135319566">
    <w:abstractNumId w:val="1"/>
  </w:num>
  <w:num w:numId="19" w16cid:durableId="1292907624">
    <w:abstractNumId w:val="0"/>
  </w:num>
  <w:num w:numId="20" w16cid:durableId="1355107059">
    <w:abstractNumId w:val="0"/>
  </w:num>
  <w:num w:numId="21" w16cid:durableId="1026322059">
    <w:abstractNumId w:val="9"/>
  </w:num>
  <w:num w:numId="22" w16cid:durableId="647783861">
    <w:abstractNumId w:val="7"/>
  </w:num>
  <w:num w:numId="23" w16cid:durableId="572279431">
    <w:abstractNumId w:val="6"/>
  </w:num>
  <w:num w:numId="24" w16cid:durableId="1116556271">
    <w:abstractNumId w:val="5"/>
  </w:num>
  <w:num w:numId="25" w16cid:durableId="476072536">
    <w:abstractNumId w:val="4"/>
  </w:num>
  <w:num w:numId="26" w16cid:durableId="561327820">
    <w:abstractNumId w:val="8"/>
  </w:num>
  <w:num w:numId="27" w16cid:durableId="787703005">
    <w:abstractNumId w:val="3"/>
  </w:num>
  <w:num w:numId="28" w16cid:durableId="25101276">
    <w:abstractNumId w:val="2"/>
  </w:num>
  <w:num w:numId="29" w16cid:durableId="1857159737">
    <w:abstractNumId w:val="1"/>
  </w:num>
  <w:num w:numId="30" w16cid:durableId="1765952983">
    <w:abstractNumId w:val="0"/>
  </w:num>
  <w:num w:numId="31" w16cid:durableId="1332636049">
    <w:abstractNumId w:val="9"/>
  </w:num>
  <w:num w:numId="32" w16cid:durableId="827592544">
    <w:abstractNumId w:val="7"/>
  </w:num>
  <w:num w:numId="33" w16cid:durableId="1113553012">
    <w:abstractNumId w:val="6"/>
  </w:num>
  <w:num w:numId="34" w16cid:durableId="2023970806">
    <w:abstractNumId w:val="5"/>
  </w:num>
  <w:num w:numId="35" w16cid:durableId="1089888557">
    <w:abstractNumId w:val="4"/>
  </w:num>
  <w:num w:numId="36" w16cid:durableId="2053532596">
    <w:abstractNumId w:val="8"/>
  </w:num>
  <w:num w:numId="37" w16cid:durableId="904416962">
    <w:abstractNumId w:val="3"/>
  </w:num>
  <w:num w:numId="38" w16cid:durableId="1609584357">
    <w:abstractNumId w:val="2"/>
  </w:num>
  <w:num w:numId="39" w16cid:durableId="1588613198">
    <w:abstractNumId w:val="1"/>
  </w:num>
  <w:num w:numId="40" w16cid:durableId="910432705">
    <w:abstractNumId w:val="0"/>
  </w:num>
  <w:num w:numId="41" w16cid:durableId="1872376858">
    <w:abstractNumId w:val="10"/>
  </w:num>
  <w:num w:numId="42" w16cid:durableId="288174128">
    <w:abstractNumId w:val="10"/>
  </w:num>
  <w:num w:numId="43" w16cid:durableId="351079557">
    <w:abstractNumId w:val="10"/>
  </w:num>
  <w:num w:numId="44" w16cid:durableId="121193224">
    <w:abstractNumId w:val="11"/>
  </w:num>
  <w:num w:numId="45" w16cid:durableId="177623198">
    <w:abstractNumId w:val="16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6" w16cid:durableId="822936252">
    <w:abstractNumId w:val="12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47" w16cid:durableId="759564492">
    <w:abstractNumId w:val="1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8" w16cid:durableId="1725374262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9" w16cid:durableId="1340933573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012/2026"/>
    <w:docVar w:name="dvlangue" w:val="SK"/>
    <w:docVar w:name="dvnumam" w:val="88"/>
    <w:docVar w:name="dvpe" w:val="779.727"/>
    <w:docVar w:name="dvrapporteur" w:val="Spravodajkyňa: "/>
    <w:docVar w:name="dvstar" w:val="***I"/>
    <w:docVar w:name="dvtitre" w:val="Legislatívne uznesenie Európskeho parlamentu z/zo xx. xxx 2026 o návrhu nariadenia Európskeho parlamentu a Rady, ktorým sa riešia negatívne účinky celosvetovej nadmernej kapacity na trh Únie s oceľou súvisiace s obchodom(COM(2025)0726 – C10-0245/2025 – 2025/0726(COD))"/>
  </w:docVars>
  <w:rsids>
    <w:rsidRoot w:val="00AD4A7E"/>
    <w:rsid w:val="00002272"/>
    <w:rsid w:val="00003786"/>
    <w:rsid w:val="00045896"/>
    <w:rsid w:val="00064002"/>
    <w:rsid w:val="000677B9"/>
    <w:rsid w:val="000831BA"/>
    <w:rsid w:val="000A42CC"/>
    <w:rsid w:val="000E7DD9"/>
    <w:rsid w:val="0010095E"/>
    <w:rsid w:val="001128B8"/>
    <w:rsid w:val="00125B37"/>
    <w:rsid w:val="001675A6"/>
    <w:rsid w:val="00187494"/>
    <w:rsid w:val="001B05F4"/>
    <w:rsid w:val="001F32AE"/>
    <w:rsid w:val="00217EDE"/>
    <w:rsid w:val="002404CC"/>
    <w:rsid w:val="002767FF"/>
    <w:rsid w:val="002B18FE"/>
    <w:rsid w:val="002B5493"/>
    <w:rsid w:val="002C1070"/>
    <w:rsid w:val="00333277"/>
    <w:rsid w:val="00343214"/>
    <w:rsid w:val="00361C00"/>
    <w:rsid w:val="00395FA1"/>
    <w:rsid w:val="003E15D4"/>
    <w:rsid w:val="003F3991"/>
    <w:rsid w:val="00411CCE"/>
    <w:rsid w:val="0041666E"/>
    <w:rsid w:val="00421060"/>
    <w:rsid w:val="004441B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519F"/>
    <w:rsid w:val="005B434D"/>
    <w:rsid w:val="005C2568"/>
    <w:rsid w:val="005F1B17"/>
    <w:rsid w:val="006037C0"/>
    <w:rsid w:val="006631B6"/>
    <w:rsid w:val="006721BA"/>
    <w:rsid w:val="00680577"/>
    <w:rsid w:val="006F74FA"/>
    <w:rsid w:val="00702F82"/>
    <w:rsid w:val="00720932"/>
    <w:rsid w:val="00731ADD"/>
    <w:rsid w:val="00734777"/>
    <w:rsid w:val="00747932"/>
    <w:rsid w:val="00751A4A"/>
    <w:rsid w:val="00756632"/>
    <w:rsid w:val="00762C74"/>
    <w:rsid w:val="00786EC0"/>
    <w:rsid w:val="0079599B"/>
    <w:rsid w:val="007D1690"/>
    <w:rsid w:val="007E22AD"/>
    <w:rsid w:val="00817416"/>
    <w:rsid w:val="00842779"/>
    <w:rsid w:val="00865134"/>
    <w:rsid w:val="00865F67"/>
    <w:rsid w:val="00881A7B"/>
    <w:rsid w:val="008840E5"/>
    <w:rsid w:val="00887B3E"/>
    <w:rsid w:val="008A5A8B"/>
    <w:rsid w:val="008B5C73"/>
    <w:rsid w:val="008C2AC6"/>
    <w:rsid w:val="00921ABD"/>
    <w:rsid w:val="00930C23"/>
    <w:rsid w:val="0093193B"/>
    <w:rsid w:val="009509D8"/>
    <w:rsid w:val="00950B64"/>
    <w:rsid w:val="00981893"/>
    <w:rsid w:val="00A1687D"/>
    <w:rsid w:val="00A43E52"/>
    <w:rsid w:val="00A4678D"/>
    <w:rsid w:val="00A769CC"/>
    <w:rsid w:val="00A778C7"/>
    <w:rsid w:val="00AA0D15"/>
    <w:rsid w:val="00AB441E"/>
    <w:rsid w:val="00AB6293"/>
    <w:rsid w:val="00AD4A7E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52E78"/>
    <w:rsid w:val="00C61C0C"/>
    <w:rsid w:val="00C941CB"/>
    <w:rsid w:val="00CC2357"/>
    <w:rsid w:val="00CF071A"/>
    <w:rsid w:val="00D0206A"/>
    <w:rsid w:val="00D058B8"/>
    <w:rsid w:val="00D56C11"/>
    <w:rsid w:val="00D834A0"/>
    <w:rsid w:val="00D872DF"/>
    <w:rsid w:val="00D91E21"/>
    <w:rsid w:val="00DA7FCD"/>
    <w:rsid w:val="00DD043A"/>
    <w:rsid w:val="00E365E1"/>
    <w:rsid w:val="00E820A4"/>
    <w:rsid w:val="00EB006A"/>
    <w:rsid w:val="00EB4772"/>
    <w:rsid w:val="00ED169E"/>
    <w:rsid w:val="00ED4235"/>
    <w:rsid w:val="00EF243F"/>
    <w:rsid w:val="00F04346"/>
    <w:rsid w:val="00F075DC"/>
    <w:rsid w:val="00F149E9"/>
    <w:rsid w:val="00F5134D"/>
    <w:rsid w:val="00F56626"/>
    <w:rsid w:val="00F625E4"/>
    <w:rsid w:val="00F74202"/>
    <w:rsid w:val="00F87713"/>
    <w:rsid w:val="00FB4360"/>
    <w:rsid w:val="00FC5EC4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9A1260B"/>
  <w15:chartTrackingRefBased/>
  <w15:docId w15:val="{F38E65FF-89FB-4D54-AC06-2EADBBBA17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er" w:uiPriority="99"/>
    <w:lsdException w:name="caption" w:semiHidden="1" w:unhideWhenUsed="1" w:qFormat="1"/>
    <w:lsdException w:name="footnote reference" w:uiPriority="99"/>
    <w:lsdException w:name="Title" w:qFormat="1"/>
    <w:lsdException w:name="Body Text" w:uiPriority="1" w:qFormat="1"/>
    <w:lsdException w:name="Subtitle" w:qFormat="1"/>
    <w:lsdException w:name="Strong" w:qFormat="1"/>
    <w:lsdException w:name="Emphasis" w:uiPriority="20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sk-SK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5A519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5A519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5A519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5A519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5A519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5A519F"/>
    <w:rPr>
      <w:i/>
      <w:sz w:val="22"/>
      <w:lang w:val="sk-SK"/>
    </w:rPr>
  </w:style>
  <w:style w:type="character" w:customStyle="1" w:styleId="Heading7Char">
    <w:name w:val="Heading 7 Char"/>
    <w:basedOn w:val="DefaultParagraphFont"/>
    <w:link w:val="Heading7"/>
    <w:semiHidden/>
    <w:rsid w:val="005A519F"/>
    <w:rPr>
      <w:rFonts w:ascii="Arial" w:hAnsi="Arial"/>
      <w:sz w:val="24"/>
      <w:lang w:val="sk-SK"/>
    </w:rPr>
  </w:style>
  <w:style w:type="character" w:customStyle="1" w:styleId="Heading8Char">
    <w:name w:val="Heading 8 Char"/>
    <w:basedOn w:val="DefaultParagraphFont"/>
    <w:link w:val="Heading8"/>
    <w:semiHidden/>
    <w:rsid w:val="005A519F"/>
    <w:rPr>
      <w:rFonts w:ascii="Arial" w:hAnsi="Arial"/>
      <w:i/>
      <w:sz w:val="24"/>
      <w:lang w:val="sk-SK"/>
    </w:rPr>
  </w:style>
  <w:style w:type="character" w:customStyle="1" w:styleId="Heading9Char">
    <w:name w:val="Heading 9 Char"/>
    <w:basedOn w:val="DefaultParagraphFont"/>
    <w:link w:val="Heading9"/>
    <w:semiHidden/>
    <w:rsid w:val="005A519F"/>
    <w:rPr>
      <w:rFonts w:ascii="Arial" w:hAnsi="Arial"/>
      <w:b/>
      <w:i/>
      <w:sz w:val="18"/>
      <w:lang w:val="sk-SK"/>
    </w:rPr>
  </w:style>
  <w:style w:type="paragraph" w:styleId="TOCHeading">
    <w:name w:val="TOC Heading"/>
    <w:basedOn w:val="Normal"/>
    <w:next w:val="Normal"/>
    <w:unhideWhenUsed/>
    <w:qFormat/>
    <w:rsid w:val="005A519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5A519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5A519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5A519F"/>
    <w:pPr>
      <w:spacing w:after="120"/>
    </w:pPr>
  </w:style>
  <w:style w:type="paragraph" w:customStyle="1" w:styleId="PageHeading">
    <w:name w:val="PageHeading"/>
    <w:basedOn w:val="Normal"/>
    <w:qFormat/>
    <w:rsid w:val="005A51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5A519F"/>
    <w:rPr>
      <w:b/>
    </w:rPr>
  </w:style>
  <w:style w:type="paragraph" w:customStyle="1" w:styleId="NormalBold12a">
    <w:name w:val="NormalBold12a"/>
    <w:basedOn w:val="Normal"/>
    <w:rsid w:val="005A519F"/>
    <w:pPr>
      <w:spacing w:after="240"/>
    </w:pPr>
    <w:rPr>
      <w:b/>
    </w:rPr>
  </w:style>
  <w:style w:type="paragraph" w:customStyle="1" w:styleId="AmJustText">
    <w:name w:val="AmJustText"/>
    <w:basedOn w:val="Normal"/>
    <w:rsid w:val="005A519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5A519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5A519F"/>
    <w:pPr>
      <w:spacing w:after="480"/>
      <w:ind w:left="1417"/>
    </w:pPr>
  </w:style>
  <w:style w:type="paragraph" w:customStyle="1" w:styleId="CoverNormal">
    <w:name w:val="CoverNormal"/>
    <w:basedOn w:val="Normal"/>
    <w:rsid w:val="005A519F"/>
    <w:pPr>
      <w:ind w:left="1418"/>
    </w:pPr>
  </w:style>
  <w:style w:type="paragraph" w:customStyle="1" w:styleId="AmCrossRef">
    <w:name w:val="AmCrossRef"/>
    <w:basedOn w:val="Normal"/>
    <w:rsid w:val="005A519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5A519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5A519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5A519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5A519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5A519F"/>
    <w:pPr>
      <w:spacing w:before="240" w:after="1200"/>
    </w:pPr>
  </w:style>
  <w:style w:type="paragraph" w:styleId="Header">
    <w:name w:val="header"/>
    <w:basedOn w:val="Normal"/>
    <w:link w:val="HeaderChar"/>
    <w:rsid w:val="005A519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5A519F"/>
    <w:rPr>
      <w:sz w:val="24"/>
      <w:lang w:val="sk-SK"/>
    </w:rPr>
  </w:style>
  <w:style w:type="paragraph" w:customStyle="1" w:styleId="AmOrLang">
    <w:name w:val="AmOrLang"/>
    <w:basedOn w:val="Normal"/>
    <w:rsid w:val="005A519F"/>
    <w:pPr>
      <w:spacing w:before="240" w:after="240"/>
      <w:jc w:val="right"/>
    </w:pPr>
  </w:style>
  <w:style w:type="paragraph" w:customStyle="1" w:styleId="AmColumnHeading">
    <w:name w:val="AmColumnHeading"/>
    <w:basedOn w:val="Normal"/>
    <w:uiPriority w:val="99"/>
    <w:rsid w:val="005A519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5A51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5A519F"/>
    <w:pPr>
      <w:spacing w:before="240"/>
    </w:pPr>
    <w:rPr>
      <w:b/>
    </w:rPr>
  </w:style>
  <w:style w:type="paragraph" w:customStyle="1" w:styleId="EPBody">
    <w:name w:val="EPBody"/>
    <w:basedOn w:val="Normal"/>
    <w:rsid w:val="005A519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5A519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5A519F"/>
    <w:pPr>
      <w:spacing w:before="480" w:after="240"/>
    </w:pPr>
  </w:style>
  <w:style w:type="paragraph" w:customStyle="1" w:styleId="Lgendesigne">
    <w:name w:val="Légende signe"/>
    <w:basedOn w:val="Normal"/>
    <w:rsid w:val="005A519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5A519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5A519F"/>
    <w:rPr>
      <w:sz w:val="18"/>
    </w:rPr>
  </w:style>
  <w:style w:type="paragraph" w:customStyle="1" w:styleId="Default">
    <w:name w:val="Default"/>
    <w:rsid w:val="005A519F"/>
    <w:pPr>
      <w:autoSpaceDE w:val="0"/>
      <w:autoSpaceDN w:val="0"/>
      <w:adjustRightInd w:val="0"/>
    </w:pPr>
    <w:rPr>
      <w:color w:val="000000"/>
      <w:sz w:val="24"/>
      <w:szCs w:val="24"/>
      <w:lang w:val="sk-SK"/>
    </w:rPr>
  </w:style>
  <w:style w:type="character" w:customStyle="1" w:styleId="Normal6Char">
    <w:name w:val="Normal6 Char"/>
    <w:basedOn w:val="DefaultParagraphFont"/>
    <w:link w:val="Normal6"/>
    <w:locked/>
    <w:rsid w:val="005A519F"/>
    <w:rPr>
      <w:b/>
      <w:bCs/>
      <w:i/>
      <w:iCs/>
      <w:sz w:val="24"/>
      <w:lang w:val="sk-SK"/>
    </w:rPr>
  </w:style>
  <w:style w:type="paragraph" w:customStyle="1" w:styleId="Normal6">
    <w:name w:val="Normal6"/>
    <w:basedOn w:val="Normal"/>
    <w:link w:val="Normal6Char"/>
    <w:rsid w:val="005A519F"/>
    <w:pPr>
      <w:spacing w:after="120"/>
    </w:pPr>
    <w:rPr>
      <w:b/>
      <w:bCs/>
      <w:i/>
      <w:iCs/>
    </w:rPr>
  </w:style>
  <w:style w:type="character" w:customStyle="1" w:styleId="NormalBoldChar">
    <w:name w:val="NormalBold Char"/>
    <w:basedOn w:val="DefaultParagraphFont"/>
    <w:link w:val="NormalBold"/>
    <w:locked/>
    <w:rsid w:val="005A519F"/>
    <w:rPr>
      <w:b/>
      <w:sz w:val="24"/>
      <w:lang w:val="sk-SK"/>
    </w:rPr>
  </w:style>
  <w:style w:type="paragraph" w:customStyle="1" w:styleId="ColumnHeading">
    <w:name w:val="ColumnHeading"/>
    <w:basedOn w:val="Normal"/>
    <w:rsid w:val="005A519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5A519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Olang">
    <w:name w:val="Olang"/>
    <w:rsid w:val="005A519F"/>
    <w:pPr>
      <w:jc w:val="right"/>
    </w:pPr>
    <w:rPr>
      <w:lang w:val="sk-SK"/>
    </w:rPr>
  </w:style>
  <w:style w:type="character" w:styleId="Hyperlink">
    <w:name w:val="Hyperlink"/>
    <w:basedOn w:val="DefaultParagraphFont"/>
    <w:unhideWhenUsed/>
    <w:rsid w:val="005A519F"/>
    <w:rPr>
      <w:color w:val="467886"/>
      <w:u w:val="single"/>
    </w:rPr>
  </w:style>
  <w:style w:type="paragraph" w:styleId="Revision">
    <w:name w:val="Revision"/>
    <w:hidden/>
    <w:uiPriority w:val="99"/>
    <w:semiHidden/>
    <w:rsid w:val="005A519F"/>
    <w:rPr>
      <w:sz w:val="24"/>
      <w:lang w:val="sk-SK"/>
    </w:rPr>
  </w:style>
  <w:style w:type="character" w:styleId="CommentReference">
    <w:name w:val="annotation reference"/>
    <w:basedOn w:val="DefaultParagraphFont"/>
    <w:rsid w:val="005A519F"/>
    <w:rPr>
      <w:sz w:val="16"/>
      <w:szCs w:val="16"/>
    </w:rPr>
  </w:style>
  <w:style w:type="paragraph" w:styleId="CommentText">
    <w:name w:val="annotation text"/>
    <w:basedOn w:val="Normal"/>
    <w:link w:val="CommentTextChar"/>
    <w:rsid w:val="005A519F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5A519F"/>
    <w:rPr>
      <w:lang w:val="sk-SK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5A519F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5A519F"/>
    <w:rPr>
      <w:b/>
      <w:bCs/>
      <w:lang w:val="sk-SK"/>
    </w:rPr>
  </w:style>
  <w:style w:type="character" w:styleId="UnresolvedMention">
    <w:name w:val="Unresolved Mention"/>
    <w:basedOn w:val="DefaultParagraphFont"/>
    <w:uiPriority w:val="99"/>
    <w:semiHidden/>
    <w:unhideWhenUsed/>
    <w:rsid w:val="005A519F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5A519F"/>
    <w:rPr>
      <w:i/>
      <w:iCs/>
    </w:rPr>
  </w:style>
  <w:style w:type="paragraph" w:styleId="ListParagraph">
    <w:name w:val="List Paragraph"/>
    <w:basedOn w:val="Normal"/>
    <w:uiPriority w:val="1"/>
    <w:qFormat/>
    <w:rsid w:val="005A519F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unhideWhenUsed/>
    <w:qFormat/>
    <w:rsid w:val="005A519F"/>
    <w:pPr>
      <w:autoSpaceDE w:val="0"/>
      <w:autoSpaceDN w:val="0"/>
      <w:spacing w:before="120"/>
    </w:pPr>
    <w:rPr>
      <w:szCs w:val="24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5A519F"/>
    <w:rPr>
      <w:sz w:val="24"/>
      <w:szCs w:val="24"/>
      <w:lang w:val="sk-SK" w:eastAsia="en-US"/>
    </w:rPr>
  </w:style>
  <w:style w:type="paragraph" w:customStyle="1" w:styleId="Normal12a">
    <w:name w:val="Normal12a"/>
    <w:basedOn w:val="Normal"/>
    <w:rsid w:val="005A519F"/>
    <w:pPr>
      <w:spacing w:after="240"/>
    </w:pPr>
  </w:style>
  <w:style w:type="paragraph" w:customStyle="1" w:styleId="PageHeadingNotTOC">
    <w:name w:val="PageHeadingNotTOC"/>
    <w:basedOn w:val="Normal"/>
    <w:rsid w:val="005A519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AmHeadingPA">
    <w:name w:val="AmHeadingPA"/>
    <w:basedOn w:val="Normal"/>
    <w:next w:val="Normal"/>
    <w:rsid w:val="005A519F"/>
    <w:pPr>
      <w:spacing w:before="480" w:after="240"/>
      <w:jc w:val="center"/>
    </w:pPr>
    <w:rPr>
      <w:rFonts w:ascii="Arial" w:hAnsi="Arial"/>
      <w:b/>
      <w:caps/>
      <w:snapToGrid w:val="0"/>
      <w:szCs w:val="24"/>
      <w:lang w:eastAsia="en-US"/>
    </w:rPr>
  </w:style>
  <w:style w:type="paragraph" w:customStyle="1" w:styleId="Normal24a">
    <w:name w:val="Normal24a"/>
    <w:basedOn w:val="Normal"/>
    <w:rsid w:val="005A519F"/>
    <w:pPr>
      <w:spacing w:after="480"/>
    </w:pPr>
    <w:rPr>
      <w:szCs w:val="24"/>
    </w:rPr>
  </w:style>
  <w:style w:type="paragraph" w:customStyle="1" w:styleId="NormalBoldCenter">
    <w:name w:val="NormalBoldCenter"/>
    <w:basedOn w:val="Normal"/>
    <w:rsid w:val="005A519F"/>
    <w:pPr>
      <w:jc w:val="center"/>
    </w:pPr>
    <w:rPr>
      <w:b/>
      <w:szCs w:val="24"/>
    </w:rPr>
  </w:style>
  <w:style w:type="paragraph" w:customStyle="1" w:styleId="Footprint12b">
    <w:name w:val="Footprint12b"/>
    <w:basedOn w:val="Normal"/>
    <w:rsid w:val="005A519F"/>
    <w:pPr>
      <w:spacing w:before="240"/>
    </w:pPr>
    <w:rPr>
      <w:szCs w:val="24"/>
    </w:rPr>
  </w:style>
  <w:style w:type="paragraph" w:customStyle="1" w:styleId="NormalSingle">
    <w:name w:val="NormalSingle"/>
    <w:basedOn w:val="Normal"/>
    <w:qFormat/>
    <w:rsid w:val="005A519F"/>
    <w:rPr>
      <w:szCs w:val="24"/>
    </w:rPr>
  </w:style>
  <w:style w:type="paragraph" w:customStyle="1" w:styleId="RollCallSymbols14pt">
    <w:name w:val="RollCallSymbols14pt"/>
    <w:basedOn w:val="Normal"/>
    <w:rsid w:val="005A519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s">
    <w:name w:val="RollCallTabs"/>
    <w:basedOn w:val="Normal"/>
    <w:qFormat/>
    <w:rsid w:val="005A519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Votes">
    <w:name w:val="RollCallVotes"/>
    <w:basedOn w:val="Normal"/>
    <w:rsid w:val="005A519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le">
    <w:name w:val="RollCallTable"/>
    <w:basedOn w:val="Normal"/>
    <w:rsid w:val="005A519F"/>
    <w:pPr>
      <w:spacing w:before="120" w:after="120"/>
    </w:pPr>
    <w:rPr>
      <w:snapToGrid w:val="0"/>
      <w:sz w:val="16"/>
      <w:lang w:eastAsia="en-US"/>
    </w:rPr>
  </w:style>
  <w:style w:type="paragraph" w:styleId="Footer">
    <w:name w:val="footer"/>
    <w:basedOn w:val="Normal"/>
    <w:link w:val="FooterChar"/>
    <w:uiPriority w:val="99"/>
    <w:rsid w:val="005A519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A519F"/>
    <w:rPr>
      <w:sz w:val="24"/>
      <w:lang w:val="sk-SK"/>
    </w:rPr>
  </w:style>
  <w:style w:type="paragraph" w:customStyle="1" w:styleId="Institutionquiagit">
    <w:name w:val="Institution qui agit"/>
    <w:basedOn w:val="Normal"/>
    <w:next w:val="Normal"/>
    <w:rsid w:val="00921ABD"/>
    <w:pPr>
      <w:keepNext/>
      <w:widowControl/>
      <w:spacing w:before="600" w:after="120"/>
      <w:jc w:val="both"/>
    </w:pPr>
    <w:rPr>
      <w:szCs w:val="24"/>
      <w:lang w:val="en-GB"/>
    </w:rPr>
  </w:style>
  <w:style w:type="paragraph" w:customStyle="1" w:styleId="FootnoteTextForceStyle">
    <w:name w:val="Footnote Text ForceStyle"/>
    <w:rsid w:val="00921ABD"/>
    <w:pPr>
      <w:keepLines/>
      <w:spacing w:line="240" w:lineRule="exact"/>
      <w:ind w:left="850" w:hanging="850"/>
    </w:pPr>
    <w:rPr>
      <w:sz w:val="24"/>
      <w:lang w:val="sk-SK" w:eastAsia="en-US"/>
    </w:rPr>
  </w:style>
  <w:style w:type="character" w:customStyle="1" w:styleId="Hyperlink1">
    <w:name w:val="Hyperlink1"/>
    <w:basedOn w:val="DefaultParagraphFont"/>
    <w:rsid w:val="00921A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5027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17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://data.europa.eu/eli/reg/2014/833/oj" TargetMode="External"/><Relationship Id="rId1" Type="http://schemas.openxmlformats.org/officeDocument/2006/relationships/hyperlink" Target="http://data.europa.eu/eli/dec/2014/512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509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SOLTYSOVA Zuzana</dc:creator>
  <cp:keywords/>
  <cp:lastModifiedBy>SUCHANOVA Monika</cp:lastModifiedBy>
  <cp:revision>2</cp:revision>
  <cp:lastPrinted>2004-11-19T15:42:00Z</cp:lastPrinted>
  <dcterms:created xsi:type="dcterms:W3CDTF">2026-07-01T14:03:00Z</dcterms:created>
  <dcterms:modified xsi:type="dcterms:W3CDTF">2026-07-01T14:03:00Z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SK</vt:lpwstr>
  </property>
  <property fmtid="{D5CDD505-2E9C-101B-9397-08002B2CF9AE}" pid="3" name="&lt;FdR&gt;">
    <vt:lpwstr>P10_TA(2026)0170_</vt:lpwstr>
  </property>
  <property fmtid="{D5CDD505-2E9C-101B-9397-08002B2CF9AE}" pid="4" name="&lt;Type&gt;">
    <vt:lpwstr>RR</vt:lpwstr>
  </property>
</Properties>
</file>