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47E8" w14:paraId="4F14B585" w14:textId="77777777" w:rsidTr="0010095E">
        <w:trPr>
          <w:trHeight w:hRule="exact" w:val="1418"/>
        </w:trPr>
        <w:tc>
          <w:tcPr>
            <w:tcW w:w="6804" w:type="dxa"/>
            <w:shd w:val="clear" w:color="auto" w:fill="auto"/>
            <w:vAlign w:val="center"/>
          </w:tcPr>
          <w:p w14:paraId="76FAC136" w14:textId="77777777" w:rsidR="00751A4A" w:rsidRPr="007147E8" w:rsidRDefault="00DA2D25" w:rsidP="0010095E">
            <w:pPr>
              <w:pStyle w:val="EPName"/>
            </w:pPr>
            <w:r w:rsidRPr="007147E8">
              <w:t>Evropski parlament</w:t>
            </w:r>
          </w:p>
          <w:p w14:paraId="0CD31D98" w14:textId="4ACCCC40" w:rsidR="00751A4A" w:rsidRPr="007147E8" w:rsidRDefault="007A45CD" w:rsidP="005F1B17">
            <w:pPr>
              <w:pStyle w:val="EPTerm"/>
              <w:rPr>
                <w:rStyle w:val="HideTWBExt"/>
                <w:noProof w:val="0"/>
                <w:vanish w:val="0"/>
                <w:color w:val="auto"/>
              </w:rPr>
            </w:pPr>
            <w:r w:rsidRPr="007A45CD">
              <w:t>2024</w:t>
            </w:r>
            <w:r w:rsidR="00817416" w:rsidRPr="007147E8">
              <w:t>-</w:t>
            </w:r>
            <w:r w:rsidRPr="007A45CD">
              <w:t>2029</w:t>
            </w:r>
          </w:p>
        </w:tc>
        <w:tc>
          <w:tcPr>
            <w:tcW w:w="2268" w:type="dxa"/>
            <w:shd w:val="clear" w:color="auto" w:fill="auto"/>
          </w:tcPr>
          <w:p w14:paraId="1A231621" w14:textId="77777777" w:rsidR="00751A4A" w:rsidRPr="007147E8" w:rsidRDefault="00187494" w:rsidP="0010095E">
            <w:pPr>
              <w:pStyle w:val="EPLogo"/>
            </w:pPr>
            <w:r w:rsidRPr="007147E8">
              <w:rPr>
                <w:noProof/>
                <w:lang w:eastAsia="ja-JP"/>
              </w:rPr>
              <w:drawing>
                <wp:inline distT="0" distB="0" distL="0" distR="0" wp14:anchorId="35B52C0C" wp14:editId="026797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849EBC" w14:textId="77777777" w:rsidR="00D058B8" w:rsidRPr="007147E8" w:rsidRDefault="00D058B8" w:rsidP="004C5D52">
      <w:pPr>
        <w:pStyle w:val="LineTop"/>
      </w:pPr>
    </w:p>
    <w:p w14:paraId="42CA6FF5" w14:textId="77777777" w:rsidR="00680577" w:rsidRPr="007147E8" w:rsidRDefault="00DA2D25" w:rsidP="00680577">
      <w:pPr>
        <w:pStyle w:val="EPBodyTA1"/>
      </w:pPr>
      <w:r w:rsidRPr="007147E8">
        <w:t>SPREJETA BESEDILA</w:t>
      </w:r>
    </w:p>
    <w:p w14:paraId="6B35E5CA" w14:textId="77777777" w:rsidR="00D058B8" w:rsidRPr="007147E8" w:rsidRDefault="00D058B8" w:rsidP="00D058B8">
      <w:pPr>
        <w:pStyle w:val="LineBottom"/>
      </w:pPr>
    </w:p>
    <w:p w14:paraId="0DBD63C8" w14:textId="0F4E44D4" w:rsidR="00DA2D25" w:rsidRPr="007147E8" w:rsidRDefault="00DA2D25" w:rsidP="00DA2D25">
      <w:pPr>
        <w:pStyle w:val="ATHeading1"/>
      </w:pPr>
      <w:bookmarkStart w:id="0" w:name="TANumber"/>
      <w:r w:rsidRPr="007147E8">
        <w:t>P</w:t>
      </w:r>
      <w:r w:rsidR="007A45CD" w:rsidRPr="007A45CD">
        <w:t>10</w:t>
      </w:r>
      <w:r w:rsidRPr="007147E8">
        <w:t>_TA(</w:t>
      </w:r>
      <w:r w:rsidR="007A45CD" w:rsidRPr="007A45CD">
        <w:t>2026</w:t>
      </w:r>
      <w:r w:rsidRPr="007147E8">
        <w:t>)</w:t>
      </w:r>
      <w:bookmarkEnd w:id="0"/>
      <w:r w:rsidR="007225E7" w:rsidRPr="007A45CD">
        <w:t>0</w:t>
      </w:r>
      <w:r w:rsidR="007225E7">
        <w:t>170</w:t>
      </w:r>
    </w:p>
    <w:p w14:paraId="35A9AAA0" w14:textId="52AA426A" w:rsidR="00DA2D25" w:rsidRPr="007147E8" w:rsidRDefault="00E219F8" w:rsidP="00DA2D25">
      <w:pPr>
        <w:pStyle w:val="ATHeading2"/>
      </w:pPr>
      <w:bookmarkStart w:id="1" w:name="title"/>
      <w:r w:rsidRPr="00E219F8">
        <w:t>Negativni učinki svetovne presežne zmogljivosti na trg jekla v Uniji</w:t>
      </w:r>
      <w:r w:rsidR="00DE137F">
        <w:t>, povezani s trgovino</w:t>
      </w:r>
      <w:bookmarkEnd w:id="1"/>
    </w:p>
    <w:p w14:paraId="49039417" w14:textId="5EB8DD5A" w:rsidR="00DA2D25" w:rsidRPr="007147E8" w:rsidRDefault="00DA2D25" w:rsidP="00DA2D25">
      <w:pPr>
        <w:rPr>
          <w:i/>
          <w:vanish/>
        </w:rPr>
      </w:pPr>
      <w:r w:rsidRPr="007147E8">
        <w:rPr>
          <w:i/>
        </w:rPr>
        <w:fldChar w:fldCharType="begin"/>
      </w:r>
      <w:r w:rsidRPr="007147E8">
        <w:rPr>
          <w:i/>
        </w:rPr>
        <w:instrText xml:space="preserve"> TC"(</w:instrText>
      </w:r>
      <w:bookmarkStart w:id="2" w:name="DocNumber"/>
      <w:r w:rsidRPr="007147E8">
        <w:rPr>
          <w:i/>
        </w:rPr>
        <w:instrText>A</w:instrText>
      </w:r>
      <w:r w:rsidR="007A45CD" w:rsidRPr="007A45CD">
        <w:rPr>
          <w:i/>
        </w:rPr>
        <w:instrText>10</w:instrText>
      </w:r>
      <w:r w:rsidRPr="007147E8">
        <w:rPr>
          <w:i/>
        </w:rPr>
        <w:instrText>-</w:instrText>
      </w:r>
      <w:r w:rsidR="007A45CD" w:rsidRPr="007A45CD">
        <w:rPr>
          <w:i/>
        </w:rPr>
        <w:instrText>0012</w:instrText>
      </w:r>
      <w:r w:rsidRPr="007147E8">
        <w:rPr>
          <w:i/>
        </w:rPr>
        <w:instrText>/</w:instrText>
      </w:r>
      <w:r w:rsidR="007A45CD" w:rsidRPr="007A45CD">
        <w:rPr>
          <w:i/>
        </w:rPr>
        <w:instrText>20</w:instrText>
      </w:r>
      <w:bookmarkEnd w:id="2"/>
      <w:r w:rsidR="007A45CD" w:rsidRPr="007A45CD">
        <w:rPr>
          <w:i/>
        </w:rPr>
        <w:instrText>26</w:instrText>
      </w:r>
      <w:r w:rsidRPr="007147E8">
        <w:rPr>
          <w:i/>
        </w:rPr>
        <w:instrText xml:space="preserve"> - Poročevalka: Karin Karlsbro)"\l</w:instrText>
      </w:r>
      <w:r w:rsidR="007A45CD" w:rsidRPr="007A45CD">
        <w:rPr>
          <w:i/>
        </w:rPr>
        <w:instrText>3</w:instrText>
      </w:r>
      <w:r w:rsidRPr="007147E8">
        <w:rPr>
          <w:i/>
        </w:rPr>
        <w:instrText xml:space="preserve"> \n&gt; \* MERGEFORMAT </w:instrText>
      </w:r>
      <w:r w:rsidRPr="007147E8">
        <w:rPr>
          <w:i/>
        </w:rPr>
        <w:fldChar w:fldCharType="end"/>
      </w:r>
    </w:p>
    <w:p w14:paraId="295519A3" w14:textId="77777777" w:rsidR="00DA2D25" w:rsidRPr="007147E8" w:rsidRDefault="00DA2D25" w:rsidP="00DA2D25">
      <w:pPr>
        <w:rPr>
          <w:vanish/>
        </w:rPr>
      </w:pPr>
      <w:bookmarkStart w:id="3" w:name="Commission"/>
      <w:r w:rsidRPr="007147E8">
        <w:rPr>
          <w:vanish/>
        </w:rPr>
        <w:t>Odbor za mednarodno trgovino</w:t>
      </w:r>
      <w:bookmarkEnd w:id="3"/>
    </w:p>
    <w:p w14:paraId="40C54F8B" w14:textId="12A75964" w:rsidR="00DA2D25" w:rsidRPr="007147E8" w:rsidRDefault="00DA2D25" w:rsidP="00DA2D25">
      <w:pPr>
        <w:rPr>
          <w:vanish/>
        </w:rPr>
      </w:pPr>
      <w:bookmarkStart w:id="4" w:name="PE"/>
      <w:r w:rsidRPr="007147E8">
        <w:rPr>
          <w:vanish/>
        </w:rPr>
        <w:t>PE</w:t>
      </w:r>
      <w:r w:rsidR="007A45CD" w:rsidRPr="007A45CD">
        <w:rPr>
          <w:vanish/>
        </w:rPr>
        <w:t>779</w:t>
      </w:r>
      <w:r w:rsidRPr="007147E8">
        <w:rPr>
          <w:vanish/>
        </w:rPr>
        <w:t>.</w:t>
      </w:r>
      <w:r w:rsidR="007A45CD" w:rsidRPr="007A45CD">
        <w:rPr>
          <w:vanish/>
        </w:rPr>
        <w:t>7</w:t>
      </w:r>
      <w:bookmarkEnd w:id="4"/>
      <w:r w:rsidR="007A45CD" w:rsidRPr="007A45CD">
        <w:rPr>
          <w:vanish/>
        </w:rPr>
        <w:t>27</w:t>
      </w:r>
    </w:p>
    <w:p w14:paraId="6C894C5A" w14:textId="5613C662" w:rsidR="00DA2D25" w:rsidRPr="007147E8" w:rsidRDefault="00DA2D25" w:rsidP="00DA2D25">
      <w:pPr>
        <w:pStyle w:val="ATHeading3"/>
      </w:pPr>
      <w:bookmarkStart w:id="5" w:name="Sujet"/>
      <w:r w:rsidRPr="007147E8">
        <w:t xml:space="preserve">Zakonodajna resolucija Evropskega parlamenta z dne </w:t>
      </w:r>
      <w:r w:rsidR="007A45CD" w:rsidRPr="007A45CD">
        <w:t>19</w:t>
      </w:r>
      <w:r w:rsidR="00E219F8">
        <w:t xml:space="preserve">. </w:t>
      </w:r>
      <w:r w:rsidR="00E9453E">
        <w:t>maja</w:t>
      </w:r>
      <w:r w:rsidRPr="007147E8">
        <w:t xml:space="preserve"> </w:t>
      </w:r>
      <w:r w:rsidR="007A45CD" w:rsidRPr="007A45CD">
        <w:t>2026</w:t>
      </w:r>
      <w:r w:rsidRPr="007147E8">
        <w:t xml:space="preserve"> o predlogu uredbe Evropskega parlamenta in Sveta o obravnavanju negativnih učinkov svetovne presežne zmogljivosti na trg jekla v Uniji, povezanih s trgovino</w:t>
      </w:r>
      <w:bookmarkEnd w:id="5"/>
      <w:r w:rsidRPr="007147E8">
        <w:t xml:space="preserve"> </w:t>
      </w:r>
      <w:bookmarkStart w:id="6" w:name="References"/>
      <w:r w:rsidRPr="007147E8">
        <w:t>(COM(</w:t>
      </w:r>
      <w:r w:rsidR="007A45CD" w:rsidRPr="007A45CD">
        <w:t>2025</w:t>
      </w:r>
      <w:r w:rsidRPr="007147E8">
        <w:t>)</w:t>
      </w:r>
      <w:r w:rsidR="007A45CD" w:rsidRPr="007A45CD">
        <w:t>0726</w:t>
      </w:r>
      <w:r w:rsidRPr="007147E8">
        <w:t xml:space="preserve"> – C</w:t>
      </w:r>
      <w:r w:rsidR="007A45CD" w:rsidRPr="007A45CD">
        <w:t>10</w:t>
      </w:r>
      <w:r w:rsidRPr="007147E8">
        <w:t>-</w:t>
      </w:r>
      <w:r w:rsidR="007A45CD" w:rsidRPr="007A45CD">
        <w:t>0245</w:t>
      </w:r>
      <w:r w:rsidRPr="007147E8">
        <w:t>/</w:t>
      </w:r>
      <w:r w:rsidR="007A45CD" w:rsidRPr="007A45CD">
        <w:t>2025</w:t>
      </w:r>
      <w:r w:rsidRPr="007147E8">
        <w:t xml:space="preserve"> – </w:t>
      </w:r>
      <w:r w:rsidR="007A45CD" w:rsidRPr="007A45CD">
        <w:t>2025</w:t>
      </w:r>
      <w:r w:rsidRPr="007147E8">
        <w:t>/</w:t>
      </w:r>
      <w:r w:rsidR="007A45CD" w:rsidRPr="007A45CD">
        <w:t>0726</w:t>
      </w:r>
      <w:r w:rsidRPr="007147E8">
        <w:t>(COD))</w:t>
      </w:r>
      <w:bookmarkEnd w:id="6"/>
    </w:p>
    <w:p w14:paraId="5FCD75AF" w14:textId="77777777" w:rsidR="00030C24" w:rsidRPr="007147E8" w:rsidRDefault="00030C24" w:rsidP="00030C24">
      <w:pPr>
        <w:pStyle w:val="NormalBold"/>
      </w:pPr>
      <w:r w:rsidRPr="007147E8">
        <w:t>(Redni zakonodajni postopek: prva obravnava)</w:t>
      </w:r>
    </w:p>
    <w:p w14:paraId="6828A652" w14:textId="77777777" w:rsidR="00030C24" w:rsidRPr="007147E8" w:rsidRDefault="00030C24" w:rsidP="00030C24">
      <w:pPr>
        <w:pStyle w:val="EPComma"/>
      </w:pPr>
      <w:r w:rsidRPr="007147E8">
        <w:rPr>
          <w:i/>
        </w:rPr>
        <w:t>Evropski parlament</w:t>
      </w:r>
      <w:r w:rsidRPr="007147E8">
        <w:t>,</w:t>
      </w:r>
    </w:p>
    <w:p w14:paraId="7A817944" w14:textId="01BF4323" w:rsidR="00030C24" w:rsidRPr="007147E8" w:rsidRDefault="00030C24" w:rsidP="00030C24">
      <w:pPr>
        <w:pStyle w:val="NormalHanging12a"/>
      </w:pPr>
      <w:r w:rsidRPr="007147E8">
        <w:t>–</w:t>
      </w:r>
      <w:r w:rsidRPr="007147E8">
        <w:tab/>
        <w:t>ob upoštevanju predloga Komisije Evropskemu parlamentu in Svetu (COM(</w:t>
      </w:r>
      <w:r w:rsidR="007A45CD" w:rsidRPr="007A45CD">
        <w:t>2025</w:t>
      </w:r>
      <w:r w:rsidRPr="007147E8">
        <w:t>)</w:t>
      </w:r>
      <w:r w:rsidR="007A45CD" w:rsidRPr="007A45CD">
        <w:t>0726</w:t>
      </w:r>
      <w:r w:rsidRPr="007147E8">
        <w:t>),</w:t>
      </w:r>
    </w:p>
    <w:p w14:paraId="541631F8" w14:textId="2F30A341" w:rsidR="00030C24" w:rsidRPr="007147E8" w:rsidRDefault="00030C24" w:rsidP="00030C24">
      <w:pPr>
        <w:pStyle w:val="NormalHanging12a"/>
      </w:pPr>
      <w:r w:rsidRPr="007147E8">
        <w:t>–</w:t>
      </w:r>
      <w:r w:rsidRPr="007147E8">
        <w:tab/>
        <w:t xml:space="preserve">ob upoštevanju člena </w:t>
      </w:r>
      <w:r w:rsidR="007A45CD" w:rsidRPr="007A45CD">
        <w:t>294</w:t>
      </w:r>
      <w:r w:rsidRPr="007147E8">
        <w:t>(</w:t>
      </w:r>
      <w:r w:rsidR="007A45CD" w:rsidRPr="007A45CD">
        <w:t>2</w:t>
      </w:r>
      <w:r w:rsidRPr="007147E8">
        <w:t xml:space="preserve">) in člena </w:t>
      </w:r>
      <w:r w:rsidR="007A45CD" w:rsidRPr="007A45CD">
        <w:t>207</w:t>
      </w:r>
      <w:r w:rsidRPr="007147E8">
        <w:t>(</w:t>
      </w:r>
      <w:r w:rsidR="007A45CD" w:rsidRPr="007A45CD">
        <w:t>2</w:t>
      </w:r>
      <w:r w:rsidRPr="007147E8">
        <w:t>) Pogodbe o delovanju Evropske unije, na podlagi katerih je Komisija podala predlog Parlamentu (C</w:t>
      </w:r>
      <w:r w:rsidR="007A45CD" w:rsidRPr="007A45CD">
        <w:t>10</w:t>
      </w:r>
      <w:r w:rsidRPr="007147E8">
        <w:noBreakHyphen/>
      </w:r>
      <w:r w:rsidR="007A45CD" w:rsidRPr="007A45CD">
        <w:t>0245</w:t>
      </w:r>
      <w:r w:rsidRPr="007147E8">
        <w:t>/</w:t>
      </w:r>
      <w:r w:rsidR="007A45CD" w:rsidRPr="007A45CD">
        <w:t>2025</w:t>
      </w:r>
      <w:r w:rsidRPr="007147E8">
        <w:t>),</w:t>
      </w:r>
    </w:p>
    <w:p w14:paraId="7287D221" w14:textId="307900F1" w:rsidR="00030C24" w:rsidRPr="007147E8" w:rsidRDefault="00030C24" w:rsidP="00030C24">
      <w:pPr>
        <w:pStyle w:val="NormalHanging12a"/>
      </w:pPr>
      <w:r w:rsidRPr="007147E8">
        <w:t>–</w:t>
      </w:r>
      <w:r w:rsidRPr="007147E8">
        <w:tab/>
        <w:t xml:space="preserve">ob upoštevanju člena </w:t>
      </w:r>
      <w:r w:rsidR="007A45CD" w:rsidRPr="007A45CD">
        <w:t>294</w:t>
      </w:r>
      <w:r w:rsidRPr="007147E8">
        <w:t>(</w:t>
      </w:r>
      <w:r w:rsidR="007A45CD" w:rsidRPr="007A45CD">
        <w:t>3</w:t>
      </w:r>
      <w:r w:rsidRPr="007147E8">
        <w:t>) Pogodbe o delovanju Evropske unije,</w:t>
      </w:r>
    </w:p>
    <w:p w14:paraId="2AC96F50" w14:textId="4ACA07E1" w:rsidR="00E219F8" w:rsidRDefault="00E219F8" w:rsidP="00030C24">
      <w:pPr>
        <w:pStyle w:val="NormalHanging12a"/>
        <w:rPr>
          <w:noProof/>
          <w:szCs w:val="24"/>
        </w:rPr>
      </w:pPr>
      <w:r>
        <w:t>–</w:t>
      </w:r>
      <w:r>
        <w:tab/>
      </w:r>
      <w:r w:rsidRPr="00AA0394">
        <w:rPr>
          <w:noProof/>
          <w:szCs w:val="24"/>
        </w:rPr>
        <w:t xml:space="preserve">ob upoštevanju začasnega dogovora, ki ga je odobril pristojni odbor </w:t>
      </w:r>
      <w:r>
        <w:rPr>
          <w:noProof/>
          <w:szCs w:val="24"/>
        </w:rPr>
        <w:t>na podlagi</w:t>
      </w:r>
      <w:r w:rsidRPr="00AA0394">
        <w:rPr>
          <w:noProof/>
          <w:szCs w:val="24"/>
        </w:rPr>
        <w:t xml:space="preserve"> člen</w:t>
      </w:r>
      <w:r>
        <w:rPr>
          <w:noProof/>
          <w:szCs w:val="24"/>
        </w:rPr>
        <w:t xml:space="preserve">a </w:t>
      </w:r>
      <w:r w:rsidR="007A45CD" w:rsidRPr="007A45CD">
        <w:rPr>
          <w:noProof/>
          <w:szCs w:val="24"/>
        </w:rPr>
        <w:t>75</w:t>
      </w:r>
      <w:r w:rsidRPr="00AA0394">
        <w:rPr>
          <w:noProof/>
          <w:szCs w:val="24"/>
        </w:rPr>
        <w:t>(</w:t>
      </w:r>
      <w:r w:rsidR="007A45CD" w:rsidRPr="007A45CD">
        <w:rPr>
          <w:noProof/>
          <w:szCs w:val="24"/>
        </w:rPr>
        <w:t>4</w:t>
      </w:r>
      <w:r w:rsidRPr="00AA0394">
        <w:rPr>
          <w:noProof/>
          <w:szCs w:val="24"/>
        </w:rPr>
        <w:t xml:space="preserve">) Poslovnika, in zaveze predstavnika Sveta v pismu z dne </w:t>
      </w:r>
      <w:r w:rsidR="007A45CD" w:rsidRPr="007A45CD">
        <w:rPr>
          <w:noProof/>
          <w:szCs w:val="24"/>
        </w:rPr>
        <w:t>23</w:t>
      </w:r>
      <w:r>
        <w:rPr>
          <w:noProof/>
          <w:szCs w:val="24"/>
        </w:rPr>
        <w:t xml:space="preserve">. aprila </w:t>
      </w:r>
      <w:r w:rsidR="007A45CD" w:rsidRPr="007A45CD">
        <w:rPr>
          <w:noProof/>
          <w:szCs w:val="24"/>
        </w:rPr>
        <w:t>2026</w:t>
      </w:r>
      <w:r w:rsidRPr="00AA0394">
        <w:rPr>
          <w:noProof/>
          <w:szCs w:val="24"/>
        </w:rPr>
        <w:t xml:space="preserve">, da bo odobril stališče Evropskega parlamenta v skladu s členom </w:t>
      </w:r>
      <w:r w:rsidR="007A45CD" w:rsidRPr="007A45CD">
        <w:rPr>
          <w:noProof/>
          <w:szCs w:val="24"/>
        </w:rPr>
        <w:t>294</w:t>
      </w:r>
      <w:r w:rsidRPr="00AA0394">
        <w:rPr>
          <w:noProof/>
          <w:szCs w:val="24"/>
        </w:rPr>
        <w:t>(</w:t>
      </w:r>
      <w:r w:rsidR="007A45CD" w:rsidRPr="007A45CD">
        <w:rPr>
          <w:noProof/>
          <w:szCs w:val="24"/>
        </w:rPr>
        <w:t>4</w:t>
      </w:r>
      <w:r w:rsidRPr="00AA0394">
        <w:rPr>
          <w:noProof/>
          <w:szCs w:val="24"/>
        </w:rPr>
        <w:t>) Pogodbe o delovanju Evropske unije,</w:t>
      </w:r>
    </w:p>
    <w:p w14:paraId="5F95306D" w14:textId="1E0DBAC8" w:rsidR="00030C24" w:rsidRPr="007147E8" w:rsidRDefault="00030C24" w:rsidP="00030C24">
      <w:pPr>
        <w:pStyle w:val="NormalHanging12a"/>
      </w:pPr>
      <w:r w:rsidRPr="007147E8">
        <w:t>–</w:t>
      </w:r>
      <w:r w:rsidRPr="007147E8">
        <w:tab/>
        <w:t xml:space="preserve">ob upoštevanju člena </w:t>
      </w:r>
      <w:r w:rsidR="007A45CD" w:rsidRPr="007A45CD">
        <w:t>60</w:t>
      </w:r>
      <w:r w:rsidRPr="007147E8">
        <w:t xml:space="preserve"> Poslovnika,</w:t>
      </w:r>
    </w:p>
    <w:p w14:paraId="796FA9EC" w14:textId="77777777" w:rsidR="00030C24" w:rsidRPr="007147E8" w:rsidRDefault="00030C24" w:rsidP="00030C24">
      <w:pPr>
        <w:pStyle w:val="NormalHanging12a"/>
      </w:pPr>
      <w:r w:rsidRPr="007147E8">
        <w:t>–</w:t>
      </w:r>
      <w:r w:rsidRPr="007147E8">
        <w:tab/>
        <w:t>ob upoštevanju mnenja Odbora za industrijo, raziskave in energetiko,</w:t>
      </w:r>
    </w:p>
    <w:p w14:paraId="4BD6CB41" w14:textId="65BDCDA5" w:rsidR="00030C24" w:rsidRPr="007147E8" w:rsidRDefault="00030C24" w:rsidP="00030C24">
      <w:pPr>
        <w:pStyle w:val="NormalHanging12a"/>
      </w:pPr>
      <w:r w:rsidRPr="007147E8">
        <w:t>–</w:t>
      </w:r>
      <w:r w:rsidRPr="007147E8">
        <w:tab/>
        <w:t>ob upoštevanju poročila Odbora za mednarodno trgovino (A</w:t>
      </w:r>
      <w:r w:rsidR="007A45CD" w:rsidRPr="007A45CD">
        <w:t>10</w:t>
      </w:r>
      <w:r w:rsidRPr="007147E8">
        <w:noBreakHyphen/>
      </w:r>
      <w:r w:rsidR="007A45CD" w:rsidRPr="007A45CD">
        <w:t>0012</w:t>
      </w:r>
      <w:r w:rsidRPr="007147E8">
        <w:t>/</w:t>
      </w:r>
      <w:r w:rsidR="007A45CD" w:rsidRPr="007A45CD">
        <w:t>2026</w:t>
      </w:r>
      <w:r w:rsidRPr="007147E8">
        <w:t>),</w:t>
      </w:r>
    </w:p>
    <w:p w14:paraId="0A4054A8" w14:textId="2CB60EF5" w:rsidR="00030C24" w:rsidRDefault="007A45CD" w:rsidP="00030C24">
      <w:pPr>
        <w:pStyle w:val="NormalHanging12a"/>
      </w:pPr>
      <w:r w:rsidRPr="007A45CD">
        <w:t>1</w:t>
      </w:r>
      <w:r w:rsidR="00030C24" w:rsidRPr="007147E8">
        <w:t>.</w:t>
      </w:r>
      <w:r w:rsidR="00030C24" w:rsidRPr="007147E8">
        <w:tab/>
        <w:t>sprejme stališče v prvi obravnavi, kakor je določeno v nadaljevanju;</w:t>
      </w:r>
    </w:p>
    <w:p w14:paraId="336B882B" w14:textId="3543F491" w:rsidR="00E56536" w:rsidRPr="00E56536" w:rsidRDefault="007A45CD" w:rsidP="00030C24">
      <w:pPr>
        <w:pStyle w:val="NormalHanging12a"/>
        <w:rPr>
          <w:bCs/>
          <w:iCs/>
        </w:rPr>
      </w:pPr>
      <w:r w:rsidRPr="007A45CD">
        <w:rPr>
          <w:bCs/>
          <w:iCs/>
        </w:rPr>
        <w:t>2</w:t>
      </w:r>
      <w:r w:rsidR="00E56536" w:rsidRPr="00C2263C">
        <w:rPr>
          <w:bCs/>
          <w:iCs/>
        </w:rPr>
        <w:t>.</w:t>
      </w:r>
      <w:r w:rsidR="00E56536" w:rsidRPr="00C2263C">
        <w:rPr>
          <w:bCs/>
          <w:iCs/>
        </w:rPr>
        <w:tab/>
      </w:r>
      <w:r w:rsidR="00884CEA">
        <w:rPr>
          <w:bCs/>
          <w:iCs/>
        </w:rPr>
        <w:t>odobri</w:t>
      </w:r>
      <w:r w:rsidR="00E56536" w:rsidRPr="00C2263C">
        <w:rPr>
          <w:bCs/>
          <w:iCs/>
        </w:rPr>
        <w:t xml:space="preserve"> skupno izjavo </w:t>
      </w:r>
      <w:r w:rsidR="00884CEA">
        <w:rPr>
          <w:bCs/>
          <w:iCs/>
        </w:rPr>
        <w:t>Evropskega p</w:t>
      </w:r>
      <w:r w:rsidR="00E56536" w:rsidRPr="00C2263C">
        <w:rPr>
          <w:bCs/>
          <w:iCs/>
        </w:rPr>
        <w:t xml:space="preserve">arlamenta, Sveta in Komisije, priloženo tej resoluciji, ki bo objavljena v seriji C </w:t>
      </w:r>
      <w:r w:rsidR="00E56536" w:rsidRPr="00C2263C">
        <w:rPr>
          <w:bCs/>
          <w:i/>
        </w:rPr>
        <w:t>Uradnega lista Evropske unije</w:t>
      </w:r>
      <w:r w:rsidR="00E56536" w:rsidRPr="00C2263C">
        <w:rPr>
          <w:bCs/>
          <w:iCs/>
        </w:rPr>
        <w:t>;</w:t>
      </w:r>
    </w:p>
    <w:p w14:paraId="60FC74EA" w14:textId="1D05FBCD" w:rsidR="00030C24" w:rsidRPr="007147E8" w:rsidRDefault="007A45CD" w:rsidP="00030C24">
      <w:pPr>
        <w:pStyle w:val="NormalHanging12a"/>
      </w:pPr>
      <w:r w:rsidRPr="007A45CD">
        <w:t>3</w:t>
      </w:r>
      <w:r w:rsidR="00030C24" w:rsidRPr="007147E8">
        <w:t>.</w:t>
      </w:r>
      <w:r w:rsidR="00030C24" w:rsidRPr="007147E8">
        <w:tab/>
        <w:t>poziva Komisijo, naj mu zadevo ponovno predloži, če svoj predlog nadomesti, ga bistveno spremeni ali ga namerava bistveno spremeniti;</w:t>
      </w:r>
    </w:p>
    <w:p w14:paraId="075D5348" w14:textId="076B5F4F" w:rsidR="00E9453E" w:rsidRDefault="007A45CD" w:rsidP="00E9453E">
      <w:pPr>
        <w:pStyle w:val="NormalHanging12a"/>
        <w:sectPr w:rsidR="00E9453E" w:rsidSect="007147E8">
          <w:footnotePr>
            <w:numRestart w:val="eachSect"/>
          </w:footnotePr>
          <w:endnotePr>
            <w:numFmt w:val="decimal"/>
          </w:endnotePr>
          <w:pgSz w:w="11906" w:h="16838" w:code="9"/>
          <w:pgMar w:top="1134" w:right="1418" w:bottom="1418" w:left="1418" w:header="1134" w:footer="567" w:gutter="0"/>
          <w:cols w:space="720"/>
          <w:noEndnote/>
          <w:docGrid w:linePitch="326"/>
        </w:sectPr>
      </w:pPr>
      <w:r w:rsidRPr="007A45CD">
        <w:t>4</w:t>
      </w:r>
      <w:r w:rsidR="00030C24" w:rsidRPr="007147E8">
        <w:t>.</w:t>
      </w:r>
      <w:r w:rsidR="00030C24" w:rsidRPr="007147E8">
        <w:tab/>
        <w:t>naroči svoji predsednici, naj stališče Parlamenta posreduje Svetu</w:t>
      </w:r>
      <w:r w:rsidR="00E9453E">
        <w:t>,</w:t>
      </w:r>
      <w:r w:rsidR="00030C24" w:rsidRPr="007147E8">
        <w:t xml:space="preserve"> Komisiji </w:t>
      </w:r>
      <w:r w:rsidR="00E9453E">
        <w:t>in</w:t>
      </w:r>
      <w:r w:rsidR="00030C24" w:rsidRPr="007147E8">
        <w:t xml:space="preserve"> nacionalnim parlamentom.</w:t>
      </w:r>
    </w:p>
    <w:p w14:paraId="7AD074BC" w14:textId="45913176" w:rsidR="007543BB" w:rsidRPr="00E703E6" w:rsidRDefault="007543BB" w:rsidP="007543BB">
      <w:pPr>
        <w:rPr>
          <w:b/>
        </w:rPr>
      </w:pPr>
      <w:r w:rsidRPr="00E703E6">
        <w:rPr>
          <w:b/>
        </w:rPr>
        <w:lastRenderedPageBreak/>
        <w:t>P</w:t>
      </w:r>
      <w:r w:rsidR="007A45CD" w:rsidRPr="007A45CD">
        <w:rPr>
          <w:b/>
        </w:rPr>
        <w:t>10</w:t>
      </w:r>
      <w:r w:rsidRPr="00E703E6">
        <w:rPr>
          <w:b/>
        </w:rPr>
        <w:t>_TC</w:t>
      </w:r>
      <w:r w:rsidR="007A45CD" w:rsidRPr="007A45CD">
        <w:rPr>
          <w:b/>
        </w:rPr>
        <w:t>1</w:t>
      </w:r>
      <w:r w:rsidRPr="00E703E6">
        <w:rPr>
          <w:b/>
        </w:rPr>
        <w:t>-COD(</w:t>
      </w:r>
      <w:r w:rsidR="007A45CD" w:rsidRPr="007A45CD">
        <w:rPr>
          <w:b/>
        </w:rPr>
        <w:t>2025</w:t>
      </w:r>
      <w:r w:rsidRPr="00E703E6">
        <w:rPr>
          <w:b/>
        </w:rPr>
        <w:t>)</w:t>
      </w:r>
      <w:r w:rsidR="007A45CD" w:rsidRPr="007A45CD">
        <w:rPr>
          <w:b/>
        </w:rPr>
        <w:t>0726</w:t>
      </w:r>
    </w:p>
    <w:p w14:paraId="3BBE805B" w14:textId="68B60763" w:rsidR="00E56536" w:rsidRDefault="007543BB" w:rsidP="00FA2F78">
      <w:pPr>
        <w:spacing w:before="240" w:after="200"/>
      </w:pPr>
      <w:r w:rsidRPr="00E703E6">
        <w:rPr>
          <w:b/>
        </w:rPr>
        <w:t xml:space="preserve">Stališče Evropskega parlamenta, sprejeto v prvi obravnavi dne </w:t>
      </w:r>
      <w:r w:rsidR="007A45CD" w:rsidRPr="007A45CD">
        <w:rPr>
          <w:b/>
        </w:rPr>
        <w:t>19</w:t>
      </w:r>
      <w:r>
        <w:rPr>
          <w:b/>
        </w:rPr>
        <w:t xml:space="preserve">. </w:t>
      </w:r>
      <w:r w:rsidR="00E3625B">
        <w:rPr>
          <w:b/>
        </w:rPr>
        <w:t>maja</w:t>
      </w:r>
      <w:r w:rsidRPr="00E703E6">
        <w:rPr>
          <w:b/>
        </w:rPr>
        <w:t xml:space="preserve"> </w:t>
      </w:r>
      <w:r w:rsidR="007A45CD" w:rsidRPr="007A45CD">
        <w:rPr>
          <w:b/>
        </w:rPr>
        <w:t>2026</w:t>
      </w:r>
      <w:r w:rsidRPr="00E703E6">
        <w:rPr>
          <w:b/>
        </w:rPr>
        <w:t xml:space="preserve"> z namenom sprejetja </w:t>
      </w:r>
      <w:r>
        <w:rPr>
          <w:b/>
        </w:rPr>
        <w:t>Uredbe (</w:t>
      </w:r>
      <w:r w:rsidRPr="003A0C9F">
        <w:rPr>
          <w:b/>
        </w:rPr>
        <w:t xml:space="preserve">EU) </w:t>
      </w:r>
      <w:r w:rsidR="007A45CD" w:rsidRPr="007A45CD">
        <w:rPr>
          <w:b/>
        </w:rPr>
        <w:t>2026</w:t>
      </w:r>
      <w:r w:rsidRPr="003A0C9F">
        <w:rPr>
          <w:b/>
        </w:rPr>
        <w:t>/... Evropskega</w:t>
      </w:r>
      <w:r w:rsidRPr="00E703E6">
        <w:rPr>
          <w:b/>
        </w:rPr>
        <w:t xml:space="preserve"> parlamenta in Sveta </w:t>
      </w:r>
      <w:r w:rsidR="00FA2F78" w:rsidRPr="00FA2F78">
        <w:rPr>
          <w:b/>
          <w:color w:val="000000"/>
          <w:szCs w:val="24"/>
          <w:lang w:eastAsia="en-US"/>
        </w:rPr>
        <w:t>o obravnavanju negativnih učinkov svetovne presežne zmogljivosti na trg jekla v Uniji, povezanih s trgovino, in spremembi Uredbe (EU) 2020/2170</w:t>
      </w:r>
    </w:p>
    <w:p w14:paraId="277259BC" w14:textId="6C0A3FA1" w:rsidR="00FA2F78" w:rsidRPr="00B07478" w:rsidRDefault="00FA2F78" w:rsidP="00FA2F78">
      <w:pPr>
        <w:spacing w:before="120" w:after="120"/>
        <w:rPr>
          <w:i/>
        </w:rPr>
      </w:pPr>
      <w:bookmarkStart w:id="7" w:name="_Hlk230012340"/>
      <w:r w:rsidRPr="00203CB0">
        <w:rPr>
          <w:i/>
        </w:rPr>
        <w:t xml:space="preserve">(Ker je bil </w:t>
      </w:r>
      <w:r w:rsidRPr="00EA4A6D">
        <w:rPr>
          <w:i/>
        </w:rPr>
        <w:t xml:space="preserve">dosežen sporazum med Parlamentom in Svetom, je stališče Parlamenta enako končnemu zakonodajnemu aktu, </w:t>
      </w:r>
      <w:r w:rsidRPr="007C3669">
        <w:rPr>
          <w:i/>
        </w:rPr>
        <w:t xml:space="preserve">Uredbi (EU) </w:t>
      </w:r>
      <w:r w:rsidRPr="00B07478">
        <w:rPr>
          <w:i/>
        </w:rPr>
        <w:t>202</w:t>
      </w:r>
      <w:r>
        <w:rPr>
          <w:i/>
        </w:rPr>
        <w:t>6</w:t>
      </w:r>
      <w:r w:rsidRPr="00B07478">
        <w:rPr>
          <w:i/>
        </w:rPr>
        <w:t>/</w:t>
      </w:r>
      <w:r w:rsidRPr="00FA2F78">
        <w:rPr>
          <w:i/>
          <w:iCs/>
          <w:szCs w:val="24"/>
        </w:rPr>
        <w:t>1384</w:t>
      </w:r>
      <w:r w:rsidRPr="00FA2F78">
        <w:rPr>
          <w:i/>
          <w:iCs/>
        </w:rPr>
        <w:t>.)</w:t>
      </w:r>
      <w:bookmarkEnd w:id="7"/>
    </w:p>
    <w:p w14:paraId="39B640CE" w14:textId="77777777" w:rsidR="00E3625B" w:rsidRDefault="00E3625B" w:rsidP="00DA2D25">
      <w:pPr>
        <w:sectPr w:rsidR="00E3625B" w:rsidSect="007147E8">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57593E" w14:textId="4A8F35B4" w:rsidR="00E365E1" w:rsidRDefault="00E56536" w:rsidP="00C2263C">
      <w:pPr>
        <w:spacing w:after="240" w:line="360" w:lineRule="auto"/>
        <w:jc w:val="right"/>
      </w:pPr>
      <w:r>
        <w:lastRenderedPageBreak/>
        <w:t>PRILOGA K ZAKONODAJNI RESOLUCIJI</w:t>
      </w:r>
    </w:p>
    <w:p w14:paraId="3199CAB7" w14:textId="1E2658BA" w:rsidR="00E56536" w:rsidRPr="005F5A1F" w:rsidRDefault="00E56536" w:rsidP="007B59D8">
      <w:pPr>
        <w:pStyle w:val="Normal12a"/>
        <w:rPr>
          <w:b/>
          <w:bCs/>
        </w:rPr>
      </w:pPr>
      <w:r w:rsidRPr="005F5A1F">
        <w:rPr>
          <w:b/>
          <w:bCs/>
        </w:rPr>
        <w:t>Skupna izjava Evropskega parlamenta, Sveta in Komisije o uvozu izdelkov iz jekla iz Rusije</w:t>
      </w:r>
    </w:p>
    <w:p w14:paraId="7402A5C5" w14:textId="77777777" w:rsidR="00E56536" w:rsidRPr="005F5A1F" w:rsidRDefault="00E56536" w:rsidP="007B59D8">
      <w:pPr>
        <w:pStyle w:val="Normal12a"/>
      </w:pPr>
      <w:r w:rsidRPr="005F5A1F">
        <w:t>Unija in njene države članice so od začetka vojne sprejele ukrepe brez primere, da bi zmanjšale gospodarsko odvisnost od Rusije in preprečile, da bi gospodarska dejavnost Unije prispevala k podpiranju ruskih vojnih prizadevanj.</w:t>
      </w:r>
    </w:p>
    <w:p w14:paraId="249E67DC" w14:textId="77777777" w:rsidR="00E56536" w:rsidRPr="005F5A1F" w:rsidRDefault="00E56536" w:rsidP="007B59D8">
      <w:pPr>
        <w:pStyle w:val="Normal12a"/>
      </w:pPr>
      <w:r w:rsidRPr="005F5A1F">
        <w:t>Ti ukrepi so znatno zmanjšali trgovinske tokove v številnih sektorjih, vključno z jeklarskim, pospešili ločevanje in prispevali k odpornejši Uniji, hkrati pa so pokazali, da je Unija sposobna ukrepati enotno in odločno, kadar so ogrožene njene vrednote in strateški interesi.</w:t>
      </w:r>
    </w:p>
    <w:p w14:paraId="6C032EF9" w14:textId="77777777" w:rsidR="00E56536" w:rsidRPr="005F5A1F" w:rsidRDefault="00E56536" w:rsidP="007B59D8">
      <w:pPr>
        <w:pStyle w:val="Normal12a"/>
      </w:pPr>
      <w:r w:rsidRPr="005F5A1F">
        <w:t>Unija mora obenem pozorno spremljati področja, kjer so odvisnosti še vedno prisotne, zlasti kar zadeva nekatere izdelke iz jekla, katerih uvoz še ni v celoti prepovedan.</w:t>
      </w:r>
    </w:p>
    <w:p w14:paraId="512DEE4F" w14:textId="641ADEAD" w:rsidR="00E56536" w:rsidRPr="005F5A1F" w:rsidRDefault="00E56536" w:rsidP="007B59D8">
      <w:pPr>
        <w:pStyle w:val="Normal12a"/>
      </w:pPr>
      <w:r w:rsidRPr="005F5A1F">
        <w:t xml:space="preserve">V jeklarskem sektorju je namreč do </w:t>
      </w:r>
      <w:r w:rsidR="007A45CD" w:rsidRPr="007A45CD">
        <w:t>30</w:t>
      </w:r>
      <w:r w:rsidRPr="005F5A1F">
        <w:t xml:space="preserve">. septembra </w:t>
      </w:r>
      <w:r w:rsidR="007A45CD" w:rsidRPr="007A45CD">
        <w:t>2028</w:t>
      </w:r>
      <w:r w:rsidRPr="005F5A1F">
        <w:t xml:space="preserve"> še vedno dovoljen omejen uvoz iz Rusije v skladu s prehodnimi ureditvami, določenimi v ustreznih omejevalnih ukrepih, ki jih je sprejel Svet</w:t>
      </w:r>
      <w:r w:rsidRPr="00AC3B0D">
        <w:rPr>
          <w:szCs w:val="24"/>
          <w:vertAlign w:val="superscript"/>
        </w:rPr>
        <w:footnoteReference w:id="1"/>
      </w:r>
      <w:r w:rsidRPr="005F5A1F">
        <w:t>. Da bi se zagotovila postopna in stalna diverzifikacija, je ta uvoz omejen s kvotami, ki se letno zmanjšujejo.</w:t>
      </w:r>
    </w:p>
    <w:p w14:paraId="043C2452" w14:textId="2A6210ED" w:rsidR="00E56536" w:rsidRPr="007147E8" w:rsidRDefault="00E56536" w:rsidP="007B59D8">
      <w:pPr>
        <w:spacing w:after="240"/>
      </w:pPr>
      <w:r w:rsidRPr="005F5A1F">
        <w:t xml:space="preserve">Evropski parlament, Svet in Komisija opozarjajo na institucionalni okvir, ki se uporablja za omejevalne ukrepe, in poudarjajo, da so zadevni omejevalni ukrepi Sveta korak proti popolni opustitvi preostalega uvoza ruskih izdelkov iz jekla, zlasti jeklenih plošč, do </w:t>
      </w:r>
      <w:r w:rsidR="007A45CD" w:rsidRPr="007A45CD">
        <w:t>30</w:t>
      </w:r>
      <w:r w:rsidRPr="005F5A1F">
        <w:t xml:space="preserve">. septembra </w:t>
      </w:r>
      <w:r w:rsidR="007A45CD" w:rsidRPr="007A45CD">
        <w:t>2028</w:t>
      </w:r>
      <w:r w:rsidRPr="005F5A1F">
        <w:t>.</w:t>
      </w:r>
    </w:p>
    <w:sectPr w:rsidR="00E56536" w:rsidRPr="007147E8" w:rsidSect="007147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BD1BF" w14:textId="77777777" w:rsidR="00DA2D25" w:rsidRPr="007147E8" w:rsidRDefault="00DA2D25">
      <w:r w:rsidRPr="007147E8">
        <w:separator/>
      </w:r>
    </w:p>
  </w:endnote>
  <w:endnote w:type="continuationSeparator" w:id="0">
    <w:p w14:paraId="79433672" w14:textId="77777777" w:rsidR="00DA2D25" w:rsidRPr="007147E8" w:rsidRDefault="00DA2D25">
      <w:r w:rsidRPr="00714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C813" w14:textId="070B71E4" w:rsidR="00E3625B" w:rsidRPr="00E3625B" w:rsidRDefault="00E3625B" w:rsidP="00E36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A539" w14:textId="77777777" w:rsidR="00DA2D25" w:rsidRPr="007147E8" w:rsidRDefault="00DA2D25">
      <w:r w:rsidRPr="007147E8">
        <w:separator/>
      </w:r>
    </w:p>
  </w:footnote>
  <w:footnote w:type="continuationSeparator" w:id="0">
    <w:p w14:paraId="548EF00C" w14:textId="77777777" w:rsidR="00DA2D25" w:rsidRPr="007147E8" w:rsidRDefault="00DA2D25">
      <w:r w:rsidRPr="007147E8">
        <w:continuationSeparator/>
      </w:r>
    </w:p>
  </w:footnote>
  <w:footnote w:id="1">
    <w:p w14:paraId="539ADDD7" w14:textId="6B4AFFB0" w:rsidR="00E56536" w:rsidRPr="00E3625B" w:rsidRDefault="00E56536" w:rsidP="00E56536">
      <w:pPr>
        <w:pStyle w:val="FootnoteText"/>
        <w:ind w:left="709" w:hanging="709"/>
        <w:rPr>
          <w:sz w:val="24"/>
          <w:szCs w:val="24"/>
          <w:lang w:val="sl-SI"/>
        </w:rPr>
      </w:pPr>
      <w:r w:rsidRPr="00FA2F78">
        <w:rPr>
          <w:rStyle w:val="FootnoteReference"/>
          <w:sz w:val="24"/>
          <w:szCs w:val="24"/>
          <w:lang w:val="sl-SI"/>
        </w:rPr>
        <w:footnoteRef/>
      </w:r>
      <w:r w:rsidRPr="00FA2F78">
        <w:rPr>
          <w:sz w:val="24"/>
          <w:szCs w:val="24"/>
          <w:lang w:val="sl-SI"/>
        </w:rPr>
        <w:t xml:space="preserve"> </w:t>
      </w:r>
      <w:r w:rsidRPr="00FA2F78">
        <w:rPr>
          <w:sz w:val="24"/>
          <w:szCs w:val="24"/>
          <w:lang w:val="sl-SI"/>
        </w:rPr>
        <w:tab/>
        <w:t xml:space="preserve">Sklep Sveta </w:t>
      </w:r>
      <w:r w:rsidR="007A45CD" w:rsidRPr="00FA2F78">
        <w:rPr>
          <w:sz w:val="24"/>
          <w:szCs w:val="24"/>
          <w:lang w:val="sl-SI"/>
        </w:rPr>
        <w:t>2014</w:t>
      </w:r>
      <w:r w:rsidRPr="00FA2F78">
        <w:rPr>
          <w:sz w:val="24"/>
          <w:szCs w:val="24"/>
          <w:lang w:val="sl-SI"/>
        </w:rPr>
        <w:t>/</w:t>
      </w:r>
      <w:r w:rsidR="007A45CD" w:rsidRPr="00FA2F78">
        <w:rPr>
          <w:sz w:val="24"/>
          <w:szCs w:val="24"/>
          <w:lang w:val="sl-SI"/>
        </w:rPr>
        <w:t>512</w:t>
      </w:r>
      <w:r w:rsidRPr="00FA2F78">
        <w:rPr>
          <w:sz w:val="24"/>
          <w:szCs w:val="24"/>
          <w:lang w:val="sl-SI"/>
        </w:rPr>
        <w:t xml:space="preserve">/SZVP z dne </w:t>
      </w:r>
      <w:r w:rsidR="007A45CD" w:rsidRPr="00FA2F78">
        <w:rPr>
          <w:sz w:val="24"/>
          <w:szCs w:val="24"/>
          <w:lang w:val="sl-SI"/>
        </w:rPr>
        <w:t>31</w:t>
      </w:r>
      <w:r w:rsidRPr="00FA2F78">
        <w:rPr>
          <w:sz w:val="24"/>
          <w:szCs w:val="24"/>
          <w:lang w:val="sl-SI"/>
        </w:rPr>
        <w:t xml:space="preserve">. julija </w:t>
      </w:r>
      <w:r w:rsidR="007A45CD" w:rsidRPr="00FA2F78">
        <w:rPr>
          <w:sz w:val="24"/>
          <w:szCs w:val="24"/>
          <w:lang w:val="sl-SI"/>
        </w:rPr>
        <w:t>2014</w:t>
      </w:r>
      <w:r w:rsidRPr="00FA2F78">
        <w:rPr>
          <w:sz w:val="24"/>
          <w:szCs w:val="24"/>
          <w:lang w:val="sl-SI"/>
        </w:rPr>
        <w:t xml:space="preserve"> o omejevalnih ukrepih zaradi delovanja Rusije, ki povzroča destabilizacijo razmer v Ukrajini</w:t>
      </w:r>
      <w:r w:rsidR="00FA2F78" w:rsidRPr="00FA2F78">
        <w:rPr>
          <w:sz w:val="24"/>
          <w:szCs w:val="24"/>
          <w:lang w:val="sl-SI"/>
        </w:rPr>
        <w:t xml:space="preserve"> </w:t>
      </w:r>
      <w:r w:rsidR="00FA2F78" w:rsidRPr="00FA2F78">
        <w:rPr>
          <w:sz w:val="24"/>
          <w:szCs w:val="24"/>
          <w:lang w:val="en-GB"/>
        </w:rPr>
        <w:t xml:space="preserve">(UL L 229, 31.7.2014, str. 13, ELI: </w:t>
      </w:r>
      <w:hyperlink r:id="rId1" w:history="1">
        <w:r w:rsidR="00FA2F78" w:rsidRPr="00FA2F78">
          <w:rPr>
            <w:rStyle w:val="Hyperlink"/>
            <w:sz w:val="24"/>
            <w:szCs w:val="24"/>
            <w:lang w:val="en-GB"/>
          </w:rPr>
          <w:t>http://data.europa.eu/eli/dec/2014/512/oj</w:t>
        </w:r>
      </w:hyperlink>
      <w:r w:rsidR="00FA2F78" w:rsidRPr="00FA2F78">
        <w:rPr>
          <w:sz w:val="24"/>
          <w:szCs w:val="24"/>
          <w:lang w:val="en-GB"/>
        </w:rPr>
        <w:t>)</w:t>
      </w:r>
      <w:r w:rsidRPr="00FA2F78">
        <w:rPr>
          <w:sz w:val="24"/>
          <w:szCs w:val="24"/>
          <w:lang w:val="sl-SI"/>
        </w:rPr>
        <w:t>, in Uredba Sveta (EU) št.</w:t>
      </w:r>
      <w:r w:rsidR="00FA2F78" w:rsidRPr="00FA2F78">
        <w:rPr>
          <w:sz w:val="24"/>
          <w:szCs w:val="24"/>
          <w:lang w:val="sl-SI"/>
        </w:rPr>
        <w:t> </w:t>
      </w:r>
      <w:r w:rsidR="007A45CD" w:rsidRPr="00FA2F78">
        <w:rPr>
          <w:sz w:val="24"/>
          <w:szCs w:val="24"/>
          <w:lang w:val="sl-SI"/>
        </w:rPr>
        <w:t>833</w:t>
      </w:r>
      <w:r w:rsidRPr="00FA2F78">
        <w:rPr>
          <w:sz w:val="24"/>
          <w:szCs w:val="24"/>
          <w:lang w:val="sl-SI"/>
        </w:rPr>
        <w:t>/</w:t>
      </w:r>
      <w:r w:rsidR="007A45CD" w:rsidRPr="00FA2F78">
        <w:rPr>
          <w:sz w:val="24"/>
          <w:szCs w:val="24"/>
          <w:lang w:val="sl-SI"/>
        </w:rPr>
        <w:t>2014</w:t>
      </w:r>
      <w:r w:rsidRPr="00FA2F78">
        <w:rPr>
          <w:sz w:val="24"/>
          <w:szCs w:val="24"/>
          <w:lang w:val="sl-SI"/>
        </w:rPr>
        <w:t xml:space="preserve"> z dne </w:t>
      </w:r>
      <w:r w:rsidR="007A45CD" w:rsidRPr="00FA2F78">
        <w:rPr>
          <w:sz w:val="24"/>
          <w:szCs w:val="24"/>
          <w:lang w:val="sl-SI"/>
        </w:rPr>
        <w:t>31</w:t>
      </w:r>
      <w:r w:rsidRPr="00FA2F78">
        <w:rPr>
          <w:sz w:val="24"/>
          <w:szCs w:val="24"/>
          <w:lang w:val="sl-SI"/>
        </w:rPr>
        <w:t xml:space="preserve">. julija </w:t>
      </w:r>
      <w:r w:rsidR="007A45CD" w:rsidRPr="00FA2F78">
        <w:rPr>
          <w:sz w:val="24"/>
          <w:szCs w:val="24"/>
          <w:lang w:val="sl-SI"/>
        </w:rPr>
        <w:t>2014</w:t>
      </w:r>
      <w:r w:rsidRPr="00FA2F78">
        <w:rPr>
          <w:sz w:val="24"/>
          <w:szCs w:val="24"/>
          <w:lang w:val="sl-SI"/>
        </w:rPr>
        <w:t xml:space="preserve"> o omejevalnih ukrepih zaradi delovanja Rusije, ki povzroča destabilizacijo razmer v Ukrajini</w:t>
      </w:r>
      <w:r w:rsidR="00FA2F78" w:rsidRPr="00FA2F78">
        <w:rPr>
          <w:sz w:val="24"/>
          <w:szCs w:val="24"/>
          <w:lang w:val="sl-SI"/>
        </w:rPr>
        <w:t xml:space="preserve"> </w:t>
      </w:r>
      <w:r w:rsidR="00FA2F78" w:rsidRPr="00FA2F78">
        <w:rPr>
          <w:sz w:val="24"/>
          <w:szCs w:val="24"/>
          <w:lang w:val="en-GB"/>
        </w:rPr>
        <w:t xml:space="preserve">(UL L 229, 31.7.2014, str. 1, ELI: </w:t>
      </w:r>
      <w:hyperlink r:id="rId2" w:history="1">
        <w:r w:rsidR="00FA2F78" w:rsidRPr="00FA2F78">
          <w:rPr>
            <w:rStyle w:val="Hyperlink"/>
            <w:sz w:val="24"/>
            <w:szCs w:val="24"/>
            <w:lang w:val="en-GB"/>
          </w:rPr>
          <w:t>http://data.europa.eu/eli/reg/2014/833/oj</w:t>
        </w:r>
      </w:hyperlink>
      <w:r w:rsidR="00FA2F78" w:rsidRPr="00FA2F78">
        <w:rPr>
          <w:sz w:val="24"/>
          <w:szCs w:val="24"/>
          <w:lang w:val="en-GB"/>
        </w:rPr>
        <w:t>)</w:t>
      </w:r>
      <w:r w:rsidRPr="00FA2F78">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234EBD5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48A688BA">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EC344B84">
      <w:numFmt w:val="bullet"/>
      <w:lvlText w:val="•"/>
      <w:lvlJc w:val="left"/>
      <w:pPr>
        <w:ind w:left="2402" w:hanging="567"/>
      </w:pPr>
      <w:rPr>
        <w:lang w:val="en-US" w:eastAsia="en-US" w:bidi="ar-SA"/>
      </w:rPr>
    </w:lvl>
    <w:lvl w:ilvl="3" w:tplc="9EDCDD4A">
      <w:numFmt w:val="bullet"/>
      <w:lvlText w:val="•"/>
      <w:lvlJc w:val="left"/>
      <w:pPr>
        <w:ind w:left="3265" w:hanging="567"/>
      </w:pPr>
      <w:rPr>
        <w:lang w:val="en-US" w:eastAsia="en-US" w:bidi="ar-SA"/>
      </w:rPr>
    </w:lvl>
    <w:lvl w:ilvl="4" w:tplc="F448292A">
      <w:numFmt w:val="bullet"/>
      <w:lvlText w:val="•"/>
      <w:lvlJc w:val="left"/>
      <w:pPr>
        <w:ind w:left="4128" w:hanging="567"/>
      </w:pPr>
      <w:rPr>
        <w:lang w:val="en-US" w:eastAsia="en-US" w:bidi="ar-SA"/>
      </w:rPr>
    </w:lvl>
    <w:lvl w:ilvl="5" w:tplc="95241694">
      <w:numFmt w:val="bullet"/>
      <w:lvlText w:val="•"/>
      <w:lvlJc w:val="left"/>
      <w:pPr>
        <w:ind w:left="4991" w:hanging="567"/>
      </w:pPr>
      <w:rPr>
        <w:lang w:val="en-US" w:eastAsia="en-US" w:bidi="ar-SA"/>
      </w:rPr>
    </w:lvl>
    <w:lvl w:ilvl="6" w:tplc="B3E4E692">
      <w:numFmt w:val="bullet"/>
      <w:lvlText w:val="•"/>
      <w:lvlJc w:val="left"/>
      <w:pPr>
        <w:ind w:left="5854" w:hanging="567"/>
      </w:pPr>
      <w:rPr>
        <w:lang w:val="en-US" w:eastAsia="en-US" w:bidi="ar-SA"/>
      </w:rPr>
    </w:lvl>
    <w:lvl w:ilvl="7" w:tplc="F4DAFD02">
      <w:numFmt w:val="bullet"/>
      <w:lvlText w:val="•"/>
      <w:lvlJc w:val="left"/>
      <w:pPr>
        <w:ind w:left="6717" w:hanging="567"/>
      </w:pPr>
      <w:rPr>
        <w:lang w:val="en-US" w:eastAsia="en-US" w:bidi="ar-SA"/>
      </w:rPr>
    </w:lvl>
    <w:lvl w:ilvl="8" w:tplc="F8F8FF58">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889A0522">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2AF2ED6C">
      <w:numFmt w:val="bullet"/>
      <w:lvlText w:val="•"/>
      <w:lvlJc w:val="left"/>
      <w:pPr>
        <w:ind w:left="1794" w:hanging="850"/>
      </w:pPr>
      <w:rPr>
        <w:lang w:val="en-US" w:eastAsia="en-US" w:bidi="ar-SA"/>
      </w:rPr>
    </w:lvl>
    <w:lvl w:ilvl="2" w:tplc="EC980830">
      <w:numFmt w:val="bullet"/>
      <w:lvlText w:val="•"/>
      <w:lvlJc w:val="left"/>
      <w:pPr>
        <w:ind w:left="2629" w:hanging="850"/>
      </w:pPr>
      <w:rPr>
        <w:lang w:val="en-US" w:eastAsia="en-US" w:bidi="ar-SA"/>
      </w:rPr>
    </w:lvl>
    <w:lvl w:ilvl="3" w:tplc="58845510">
      <w:numFmt w:val="bullet"/>
      <w:lvlText w:val="•"/>
      <w:lvlJc w:val="left"/>
      <w:pPr>
        <w:ind w:left="3463" w:hanging="850"/>
      </w:pPr>
      <w:rPr>
        <w:lang w:val="en-US" w:eastAsia="en-US" w:bidi="ar-SA"/>
      </w:rPr>
    </w:lvl>
    <w:lvl w:ilvl="4" w:tplc="A7A4AA32">
      <w:numFmt w:val="bullet"/>
      <w:lvlText w:val="•"/>
      <w:lvlJc w:val="left"/>
      <w:pPr>
        <w:ind w:left="4298" w:hanging="850"/>
      </w:pPr>
      <w:rPr>
        <w:lang w:val="en-US" w:eastAsia="en-US" w:bidi="ar-SA"/>
      </w:rPr>
    </w:lvl>
    <w:lvl w:ilvl="5" w:tplc="BE6A9546">
      <w:numFmt w:val="bullet"/>
      <w:lvlText w:val="•"/>
      <w:lvlJc w:val="left"/>
      <w:pPr>
        <w:ind w:left="5133" w:hanging="850"/>
      </w:pPr>
      <w:rPr>
        <w:lang w:val="en-US" w:eastAsia="en-US" w:bidi="ar-SA"/>
      </w:rPr>
    </w:lvl>
    <w:lvl w:ilvl="6" w:tplc="2AF69A90">
      <w:numFmt w:val="bullet"/>
      <w:lvlText w:val="•"/>
      <w:lvlJc w:val="left"/>
      <w:pPr>
        <w:ind w:left="5967" w:hanging="850"/>
      </w:pPr>
      <w:rPr>
        <w:lang w:val="en-US" w:eastAsia="en-US" w:bidi="ar-SA"/>
      </w:rPr>
    </w:lvl>
    <w:lvl w:ilvl="7" w:tplc="FF54E4FC">
      <w:numFmt w:val="bullet"/>
      <w:lvlText w:val="•"/>
      <w:lvlJc w:val="left"/>
      <w:pPr>
        <w:ind w:left="6802" w:hanging="850"/>
      </w:pPr>
      <w:rPr>
        <w:lang w:val="en-US" w:eastAsia="en-US" w:bidi="ar-SA"/>
      </w:rPr>
    </w:lvl>
    <w:lvl w:ilvl="8" w:tplc="1FF0BDB2">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570CCF02">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1DBC391E">
      <w:numFmt w:val="bullet"/>
      <w:lvlText w:val="•"/>
      <w:lvlJc w:val="left"/>
      <w:pPr>
        <w:ind w:left="1668" w:hanging="708"/>
      </w:pPr>
      <w:rPr>
        <w:lang w:val="en-US" w:eastAsia="en-US" w:bidi="ar-SA"/>
      </w:rPr>
    </w:lvl>
    <w:lvl w:ilvl="2" w:tplc="A3AC75DE">
      <w:numFmt w:val="bullet"/>
      <w:lvlText w:val="•"/>
      <w:lvlJc w:val="left"/>
      <w:pPr>
        <w:ind w:left="2517" w:hanging="708"/>
      </w:pPr>
      <w:rPr>
        <w:lang w:val="en-US" w:eastAsia="en-US" w:bidi="ar-SA"/>
      </w:rPr>
    </w:lvl>
    <w:lvl w:ilvl="3" w:tplc="57C21930">
      <w:numFmt w:val="bullet"/>
      <w:lvlText w:val="•"/>
      <w:lvlJc w:val="left"/>
      <w:pPr>
        <w:ind w:left="3365" w:hanging="708"/>
      </w:pPr>
      <w:rPr>
        <w:lang w:val="en-US" w:eastAsia="en-US" w:bidi="ar-SA"/>
      </w:rPr>
    </w:lvl>
    <w:lvl w:ilvl="4" w:tplc="A1BE8BB6">
      <w:numFmt w:val="bullet"/>
      <w:lvlText w:val="•"/>
      <w:lvlJc w:val="left"/>
      <w:pPr>
        <w:ind w:left="4214" w:hanging="708"/>
      </w:pPr>
      <w:rPr>
        <w:lang w:val="en-US" w:eastAsia="en-US" w:bidi="ar-SA"/>
      </w:rPr>
    </w:lvl>
    <w:lvl w:ilvl="5" w:tplc="53462D54">
      <w:numFmt w:val="bullet"/>
      <w:lvlText w:val="•"/>
      <w:lvlJc w:val="left"/>
      <w:pPr>
        <w:ind w:left="5063" w:hanging="708"/>
      </w:pPr>
      <w:rPr>
        <w:lang w:val="en-US" w:eastAsia="en-US" w:bidi="ar-SA"/>
      </w:rPr>
    </w:lvl>
    <w:lvl w:ilvl="6" w:tplc="59F0D5B6">
      <w:numFmt w:val="bullet"/>
      <w:lvlText w:val="•"/>
      <w:lvlJc w:val="left"/>
      <w:pPr>
        <w:ind w:left="5911" w:hanging="708"/>
      </w:pPr>
      <w:rPr>
        <w:lang w:val="en-US" w:eastAsia="en-US" w:bidi="ar-SA"/>
      </w:rPr>
    </w:lvl>
    <w:lvl w:ilvl="7" w:tplc="332EEE9A">
      <w:numFmt w:val="bullet"/>
      <w:lvlText w:val="•"/>
      <w:lvlJc w:val="left"/>
      <w:pPr>
        <w:ind w:left="6760" w:hanging="708"/>
      </w:pPr>
      <w:rPr>
        <w:lang w:val="en-US" w:eastAsia="en-US" w:bidi="ar-SA"/>
      </w:rPr>
    </w:lvl>
    <w:lvl w:ilvl="8" w:tplc="509E1DE6">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F04C354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5E381FA4">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4F84E928">
      <w:numFmt w:val="bullet"/>
      <w:lvlText w:val="•"/>
      <w:lvlJc w:val="left"/>
      <w:pPr>
        <w:ind w:left="2402" w:hanging="567"/>
      </w:pPr>
      <w:rPr>
        <w:lang w:val="en-US" w:eastAsia="en-US" w:bidi="ar-SA"/>
      </w:rPr>
    </w:lvl>
    <w:lvl w:ilvl="3" w:tplc="49B4CEE8">
      <w:numFmt w:val="bullet"/>
      <w:lvlText w:val="•"/>
      <w:lvlJc w:val="left"/>
      <w:pPr>
        <w:ind w:left="3265" w:hanging="567"/>
      </w:pPr>
      <w:rPr>
        <w:lang w:val="en-US" w:eastAsia="en-US" w:bidi="ar-SA"/>
      </w:rPr>
    </w:lvl>
    <w:lvl w:ilvl="4" w:tplc="392E1606">
      <w:numFmt w:val="bullet"/>
      <w:lvlText w:val="•"/>
      <w:lvlJc w:val="left"/>
      <w:pPr>
        <w:ind w:left="4128" w:hanging="567"/>
      </w:pPr>
      <w:rPr>
        <w:lang w:val="en-US" w:eastAsia="en-US" w:bidi="ar-SA"/>
      </w:rPr>
    </w:lvl>
    <w:lvl w:ilvl="5" w:tplc="39861DB6">
      <w:numFmt w:val="bullet"/>
      <w:lvlText w:val="•"/>
      <w:lvlJc w:val="left"/>
      <w:pPr>
        <w:ind w:left="4991" w:hanging="567"/>
      </w:pPr>
      <w:rPr>
        <w:lang w:val="en-US" w:eastAsia="en-US" w:bidi="ar-SA"/>
      </w:rPr>
    </w:lvl>
    <w:lvl w:ilvl="6" w:tplc="1CF2CF84">
      <w:numFmt w:val="bullet"/>
      <w:lvlText w:val="•"/>
      <w:lvlJc w:val="left"/>
      <w:pPr>
        <w:ind w:left="5854" w:hanging="567"/>
      </w:pPr>
      <w:rPr>
        <w:lang w:val="en-US" w:eastAsia="en-US" w:bidi="ar-SA"/>
      </w:rPr>
    </w:lvl>
    <w:lvl w:ilvl="7" w:tplc="8D9AF978">
      <w:numFmt w:val="bullet"/>
      <w:lvlText w:val="•"/>
      <w:lvlJc w:val="left"/>
      <w:pPr>
        <w:ind w:left="6717" w:hanging="567"/>
      </w:pPr>
      <w:rPr>
        <w:lang w:val="en-US" w:eastAsia="en-US" w:bidi="ar-SA"/>
      </w:rPr>
    </w:lvl>
    <w:lvl w:ilvl="8" w:tplc="3B023610">
      <w:numFmt w:val="bullet"/>
      <w:lvlText w:val="•"/>
      <w:lvlJc w:val="left"/>
      <w:pPr>
        <w:ind w:left="7580" w:hanging="567"/>
      </w:pPr>
      <w:rPr>
        <w:lang w:val="en-US" w:eastAsia="en-US" w:bidi="ar-SA"/>
      </w:rPr>
    </w:lvl>
  </w:abstractNum>
  <w:num w:numId="1" w16cid:durableId="1815756230">
    <w:abstractNumId w:val="9"/>
  </w:num>
  <w:num w:numId="2" w16cid:durableId="1214926505">
    <w:abstractNumId w:val="9"/>
  </w:num>
  <w:num w:numId="3" w16cid:durableId="1255016904">
    <w:abstractNumId w:val="7"/>
  </w:num>
  <w:num w:numId="4" w16cid:durableId="600066081">
    <w:abstractNumId w:val="7"/>
  </w:num>
  <w:num w:numId="5" w16cid:durableId="1975407369">
    <w:abstractNumId w:val="6"/>
  </w:num>
  <w:num w:numId="6" w16cid:durableId="492914364">
    <w:abstractNumId w:val="6"/>
  </w:num>
  <w:num w:numId="7" w16cid:durableId="1274705802">
    <w:abstractNumId w:val="5"/>
  </w:num>
  <w:num w:numId="8" w16cid:durableId="822744906">
    <w:abstractNumId w:val="5"/>
  </w:num>
  <w:num w:numId="9" w16cid:durableId="421145683">
    <w:abstractNumId w:val="4"/>
  </w:num>
  <w:num w:numId="10" w16cid:durableId="568347467">
    <w:abstractNumId w:val="4"/>
  </w:num>
  <w:num w:numId="11" w16cid:durableId="1462768981">
    <w:abstractNumId w:val="8"/>
  </w:num>
  <w:num w:numId="12" w16cid:durableId="2113239008">
    <w:abstractNumId w:val="8"/>
  </w:num>
  <w:num w:numId="13" w16cid:durableId="774833920">
    <w:abstractNumId w:val="3"/>
  </w:num>
  <w:num w:numId="14" w16cid:durableId="1207640735">
    <w:abstractNumId w:val="3"/>
  </w:num>
  <w:num w:numId="15" w16cid:durableId="2100714260">
    <w:abstractNumId w:val="2"/>
  </w:num>
  <w:num w:numId="16" w16cid:durableId="1908301967">
    <w:abstractNumId w:val="2"/>
  </w:num>
  <w:num w:numId="17" w16cid:durableId="1703818523">
    <w:abstractNumId w:val="1"/>
  </w:num>
  <w:num w:numId="18" w16cid:durableId="66651110">
    <w:abstractNumId w:val="1"/>
  </w:num>
  <w:num w:numId="19" w16cid:durableId="1786580408">
    <w:abstractNumId w:val="0"/>
  </w:num>
  <w:num w:numId="20" w16cid:durableId="1792048181">
    <w:abstractNumId w:val="0"/>
  </w:num>
  <w:num w:numId="21" w16cid:durableId="571357852">
    <w:abstractNumId w:val="9"/>
  </w:num>
  <w:num w:numId="22" w16cid:durableId="1990596844">
    <w:abstractNumId w:val="7"/>
  </w:num>
  <w:num w:numId="23" w16cid:durableId="1772242986">
    <w:abstractNumId w:val="6"/>
  </w:num>
  <w:num w:numId="24" w16cid:durableId="537206355">
    <w:abstractNumId w:val="5"/>
  </w:num>
  <w:num w:numId="25" w16cid:durableId="1830830444">
    <w:abstractNumId w:val="4"/>
  </w:num>
  <w:num w:numId="26" w16cid:durableId="177551016">
    <w:abstractNumId w:val="8"/>
  </w:num>
  <w:num w:numId="27" w16cid:durableId="1293826855">
    <w:abstractNumId w:val="3"/>
  </w:num>
  <w:num w:numId="28" w16cid:durableId="2080400076">
    <w:abstractNumId w:val="2"/>
  </w:num>
  <w:num w:numId="29" w16cid:durableId="316302011">
    <w:abstractNumId w:val="1"/>
  </w:num>
  <w:num w:numId="30" w16cid:durableId="1174151357">
    <w:abstractNumId w:val="0"/>
  </w:num>
  <w:num w:numId="31" w16cid:durableId="56321654">
    <w:abstractNumId w:val="9"/>
  </w:num>
  <w:num w:numId="32" w16cid:durableId="1630479345">
    <w:abstractNumId w:val="7"/>
  </w:num>
  <w:num w:numId="33" w16cid:durableId="847018600">
    <w:abstractNumId w:val="6"/>
  </w:num>
  <w:num w:numId="34" w16cid:durableId="1193037823">
    <w:abstractNumId w:val="5"/>
  </w:num>
  <w:num w:numId="35" w16cid:durableId="1524978489">
    <w:abstractNumId w:val="4"/>
  </w:num>
  <w:num w:numId="36" w16cid:durableId="895433626">
    <w:abstractNumId w:val="8"/>
  </w:num>
  <w:num w:numId="37" w16cid:durableId="1343777809">
    <w:abstractNumId w:val="3"/>
  </w:num>
  <w:num w:numId="38" w16cid:durableId="49501380">
    <w:abstractNumId w:val="2"/>
  </w:num>
  <w:num w:numId="39" w16cid:durableId="1908412677">
    <w:abstractNumId w:val="1"/>
  </w:num>
  <w:num w:numId="40" w16cid:durableId="1704666953">
    <w:abstractNumId w:val="0"/>
  </w:num>
  <w:num w:numId="41" w16cid:durableId="1749962327">
    <w:abstractNumId w:val="10"/>
  </w:num>
  <w:num w:numId="42" w16cid:durableId="1649672301">
    <w:abstractNumId w:val="10"/>
  </w:num>
  <w:num w:numId="43" w16cid:durableId="1237323289">
    <w:abstractNumId w:val="10"/>
  </w:num>
  <w:num w:numId="44" w16cid:durableId="774441526">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SL"/>
    <w:docVar w:name="dvnumam" w:val="88"/>
    <w:docVar w:name="dvpe" w:val="779.727"/>
    <w:docVar w:name="dvrapporteur" w:val="Poročevalka: "/>
    <w:docVar w:name="dvstar" w:val="***I"/>
    <w:docVar w:name="dvtitre" w:val="Zakonodajna resolucija Evropskega parlamenta z dne … 2026 o predlogu uredbe Evropskega parlamenta in Sveta o obravnavanju negativnih učinkov svetovne presežne zmogljivosti na trg jekla v Uniji, povezanih s trgovino(COM(2025)0726 – C10-0245/2025 – 2025/0726(COD))"/>
  </w:docVars>
  <w:rsids>
    <w:rsidRoot w:val="00DA2D25"/>
    <w:rsid w:val="00002272"/>
    <w:rsid w:val="00030C24"/>
    <w:rsid w:val="00064002"/>
    <w:rsid w:val="000677B9"/>
    <w:rsid w:val="000831BA"/>
    <w:rsid w:val="000A42CC"/>
    <w:rsid w:val="000C4124"/>
    <w:rsid w:val="000E7DD9"/>
    <w:rsid w:val="0010095E"/>
    <w:rsid w:val="00125B37"/>
    <w:rsid w:val="0013603A"/>
    <w:rsid w:val="00136071"/>
    <w:rsid w:val="00170CF2"/>
    <w:rsid w:val="00187494"/>
    <w:rsid w:val="00190712"/>
    <w:rsid w:val="00194547"/>
    <w:rsid w:val="001F32AE"/>
    <w:rsid w:val="00220340"/>
    <w:rsid w:val="002767FF"/>
    <w:rsid w:val="002B18FE"/>
    <w:rsid w:val="002B5493"/>
    <w:rsid w:val="00343214"/>
    <w:rsid w:val="00361C00"/>
    <w:rsid w:val="00395FA1"/>
    <w:rsid w:val="003E15D4"/>
    <w:rsid w:val="00411CCE"/>
    <w:rsid w:val="0041666E"/>
    <w:rsid w:val="00421060"/>
    <w:rsid w:val="00471C19"/>
    <w:rsid w:val="004867E3"/>
    <w:rsid w:val="00486903"/>
    <w:rsid w:val="00494A28"/>
    <w:rsid w:val="004C0004"/>
    <w:rsid w:val="004C5D52"/>
    <w:rsid w:val="0050519A"/>
    <w:rsid w:val="005072A1"/>
    <w:rsid w:val="00514517"/>
    <w:rsid w:val="00545827"/>
    <w:rsid w:val="00560270"/>
    <w:rsid w:val="005C2568"/>
    <w:rsid w:val="005F1B17"/>
    <w:rsid w:val="006037C0"/>
    <w:rsid w:val="006631B6"/>
    <w:rsid w:val="00680577"/>
    <w:rsid w:val="006D5DB7"/>
    <w:rsid w:val="006F6D4C"/>
    <w:rsid w:val="006F74FA"/>
    <w:rsid w:val="007147E8"/>
    <w:rsid w:val="007225E7"/>
    <w:rsid w:val="00731ADD"/>
    <w:rsid w:val="00734777"/>
    <w:rsid w:val="00747932"/>
    <w:rsid w:val="00751A4A"/>
    <w:rsid w:val="007543BB"/>
    <w:rsid w:val="00756632"/>
    <w:rsid w:val="00760FB5"/>
    <w:rsid w:val="00762C74"/>
    <w:rsid w:val="00786EC0"/>
    <w:rsid w:val="007A45CD"/>
    <w:rsid w:val="007B59D8"/>
    <w:rsid w:val="007D1690"/>
    <w:rsid w:val="007D1877"/>
    <w:rsid w:val="007E22AD"/>
    <w:rsid w:val="00817416"/>
    <w:rsid w:val="00842779"/>
    <w:rsid w:val="00865F67"/>
    <w:rsid w:val="00881A7B"/>
    <w:rsid w:val="008840E5"/>
    <w:rsid w:val="00884CEA"/>
    <w:rsid w:val="00887B3E"/>
    <w:rsid w:val="008C2AC6"/>
    <w:rsid w:val="008D3DA8"/>
    <w:rsid w:val="00930C23"/>
    <w:rsid w:val="0093193B"/>
    <w:rsid w:val="009509D8"/>
    <w:rsid w:val="00950B64"/>
    <w:rsid w:val="00981893"/>
    <w:rsid w:val="00A1687D"/>
    <w:rsid w:val="00A43E52"/>
    <w:rsid w:val="00A4678D"/>
    <w:rsid w:val="00A71917"/>
    <w:rsid w:val="00A778C7"/>
    <w:rsid w:val="00AA4B0D"/>
    <w:rsid w:val="00AB441E"/>
    <w:rsid w:val="00AB6293"/>
    <w:rsid w:val="00AE0928"/>
    <w:rsid w:val="00AF3B82"/>
    <w:rsid w:val="00B12E95"/>
    <w:rsid w:val="00B22876"/>
    <w:rsid w:val="00B41D87"/>
    <w:rsid w:val="00B558F0"/>
    <w:rsid w:val="00BD48FE"/>
    <w:rsid w:val="00BD7BD8"/>
    <w:rsid w:val="00BE6ADC"/>
    <w:rsid w:val="00C05BFE"/>
    <w:rsid w:val="00C2263C"/>
    <w:rsid w:val="00C23CD4"/>
    <w:rsid w:val="00C24E11"/>
    <w:rsid w:val="00C61C0C"/>
    <w:rsid w:val="00C941CB"/>
    <w:rsid w:val="00CC2357"/>
    <w:rsid w:val="00CF071A"/>
    <w:rsid w:val="00D058B8"/>
    <w:rsid w:val="00D56C11"/>
    <w:rsid w:val="00D71980"/>
    <w:rsid w:val="00D834A0"/>
    <w:rsid w:val="00D872DF"/>
    <w:rsid w:val="00D91E21"/>
    <w:rsid w:val="00DA2D25"/>
    <w:rsid w:val="00DA7FCD"/>
    <w:rsid w:val="00DD5D6C"/>
    <w:rsid w:val="00DE137F"/>
    <w:rsid w:val="00E219F8"/>
    <w:rsid w:val="00E3625B"/>
    <w:rsid w:val="00E365E1"/>
    <w:rsid w:val="00E56536"/>
    <w:rsid w:val="00E820A4"/>
    <w:rsid w:val="00E9453E"/>
    <w:rsid w:val="00EB006A"/>
    <w:rsid w:val="00EB4772"/>
    <w:rsid w:val="00EC13D2"/>
    <w:rsid w:val="00ED169E"/>
    <w:rsid w:val="00ED4235"/>
    <w:rsid w:val="00F04346"/>
    <w:rsid w:val="00F075DC"/>
    <w:rsid w:val="00F149E9"/>
    <w:rsid w:val="00F5134D"/>
    <w:rsid w:val="00F74202"/>
    <w:rsid w:val="00F87713"/>
    <w:rsid w:val="00FA2F7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F75B7"/>
  <w15:chartTrackingRefBased/>
  <w15:docId w15:val="{B0520D42-2D06-4499-9610-80B75713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0C24"/>
    <w:rPr>
      <w:b/>
      <w:kern w:val="28"/>
      <w:sz w:val="28"/>
      <w:lang w:val="fr-FR" w:eastAsia="fr-FR"/>
    </w:rPr>
  </w:style>
  <w:style w:type="character" w:customStyle="1" w:styleId="Heading2Char">
    <w:name w:val="Heading 2 Char"/>
    <w:basedOn w:val="DefaultParagraphFont"/>
    <w:link w:val="Heading2"/>
    <w:semiHidden/>
    <w:rsid w:val="00030C24"/>
    <w:rPr>
      <w:sz w:val="24"/>
      <w:lang w:val="fr-FR" w:eastAsia="fr-FR"/>
    </w:rPr>
  </w:style>
  <w:style w:type="character" w:customStyle="1" w:styleId="Heading3Char">
    <w:name w:val="Heading 3 Char"/>
    <w:basedOn w:val="DefaultParagraphFont"/>
    <w:link w:val="Heading3"/>
    <w:semiHidden/>
    <w:rsid w:val="00030C24"/>
    <w:rPr>
      <w:rFonts w:ascii="Arial" w:hAnsi="Arial"/>
      <w:sz w:val="24"/>
      <w:lang w:val="fr-FR" w:eastAsia="fr-FR"/>
    </w:rPr>
  </w:style>
  <w:style w:type="character" w:customStyle="1" w:styleId="Heading4Char">
    <w:name w:val="Heading 4 Char"/>
    <w:basedOn w:val="DefaultParagraphFont"/>
    <w:link w:val="Heading4"/>
    <w:semiHidden/>
    <w:rsid w:val="00030C24"/>
    <w:rPr>
      <w:sz w:val="24"/>
      <w:lang w:val="en-US" w:eastAsia="fr-FR"/>
    </w:rPr>
  </w:style>
  <w:style w:type="character" w:customStyle="1" w:styleId="Heading5Char">
    <w:name w:val="Heading 5 Char"/>
    <w:basedOn w:val="DefaultParagraphFont"/>
    <w:link w:val="Heading5"/>
    <w:semiHidden/>
    <w:rsid w:val="00030C24"/>
    <w:rPr>
      <w:sz w:val="24"/>
      <w:lang w:val="en-US" w:eastAsia="fr-FR"/>
    </w:rPr>
  </w:style>
  <w:style w:type="character" w:customStyle="1" w:styleId="Heading6Char">
    <w:name w:val="Heading 6 Char"/>
    <w:basedOn w:val="DefaultParagraphFont"/>
    <w:link w:val="Heading6"/>
    <w:semiHidden/>
    <w:rsid w:val="00030C24"/>
    <w:rPr>
      <w:i/>
      <w:sz w:val="22"/>
      <w:lang w:val="sl-SI"/>
    </w:rPr>
  </w:style>
  <w:style w:type="character" w:customStyle="1" w:styleId="Heading7Char">
    <w:name w:val="Heading 7 Char"/>
    <w:basedOn w:val="DefaultParagraphFont"/>
    <w:link w:val="Heading7"/>
    <w:semiHidden/>
    <w:rsid w:val="00030C24"/>
    <w:rPr>
      <w:rFonts w:ascii="Arial" w:hAnsi="Arial"/>
      <w:sz w:val="24"/>
      <w:lang w:val="sl-SI"/>
    </w:rPr>
  </w:style>
  <w:style w:type="character" w:customStyle="1" w:styleId="Heading8Char">
    <w:name w:val="Heading 8 Char"/>
    <w:basedOn w:val="DefaultParagraphFont"/>
    <w:link w:val="Heading8"/>
    <w:semiHidden/>
    <w:rsid w:val="00030C24"/>
    <w:rPr>
      <w:rFonts w:ascii="Arial" w:hAnsi="Arial"/>
      <w:i/>
      <w:sz w:val="24"/>
      <w:lang w:val="sl-SI"/>
    </w:rPr>
  </w:style>
  <w:style w:type="character" w:customStyle="1" w:styleId="Heading9Char">
    <w:name w:val="Heading 9 Char"/>
    <w:basedOn w:val="DefaultParagraphFont"/>
    <w:link w:val="Heading9"/>
    <w:semiHidden/>
    <w:rsid w:val="00030C24"/>
    <w:rPr>
      <w:rFonts w:ascii="Arial" w:hAnsi="Arial"/>
      <w:b/>
      <w:i/>
      <w:sz w:val="18"/>
      <w:lang w:val="sl-SI"/>
    </w:rPr>
  </w:style>
  <w:style w:type="paragraph" w:styleId="TOCHeading">
    <w:name w:val="TOC Heading"/>
    <w:basedOn w:val="Normal"/>
    <w:next w:val="Normal"/>
    <w:unhideWhenUsed/>
    <w:qFormat/>
    <w:rsid w:val="00030C24"/>
    <w:pPr>
      <w:widowControl/>
      <w:spacing w:after="240"/>
    </w:pPr>
    <w:rPr>
      <w:lang w:val="en-GB"/>
    </w:rPr>
  </w:style>
  <w:style w:type="paragraph" w:customStyle="1" w:styleId="EPFooter2">
    <w:name w:val="EPFooter2"/>
    <w:basedOn w:val="Normal"/>
    <w:next w:val="Normal"/>
    <w:rsid w:val="00030C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0C24"/>
    <w:pPr>
      <w:keepNext/>
      <w:spacing w:after="240"/>
      <w:jc w:val="right"/>
    </w:pPr>
    <w:rPr>
      <w:rFonts w:ascii="Arial" w:hAnsi="Arial"/>
      <w:b/>
    </w:rPr>
  </w:style>
  <w:style w:type="paragraph" w:customStyle="1" w:styleId="Normal6a">
    <w:name w:val="Normal6a"/>
    <w:basedOn w:val="Normal"/>
    <w:rsid w:val="00030C24"/>
    <w:pPr>
      <w:spacing w:after="120"/>
    </w:pPr>
  </w:style>
  <w:style w:type="paragraph" w:customStyle="1" w:styleId="PageHeading">
    <w:name w:val="PageHeading"/>
    <w:basedOn w:val="Normal"/>
    <w:qFormat/>
    <w:rsid w:val="00030C24"/>
    <w:pPr>
      <w:keepNext/>
      <w:spacing w:after="480"/>
      <w:jc w:val="center"/>
    </w:pPr>
    <w:rPr>
      <w:rFonts w:ascii="Arial" w:hAnsi="Arial" w:cs="Arial"/>
      <w:b/>
    </w:rPr>
  </w:style>
  <w:style w:type="paragraph" w:customStyle="1" w:styleId="NormalBold">
    <w:name w:val="NormalBold"/>
    <w:basedOn w:val="Normal"/>
    <w:link w:val="NormalBoldChar"/>
    <w:rsid w:val="00030C24"/>
    <w:rPr>
      <w:b/>
    </w:rPr>
  </w:style>
  <w:style w:type="paragraph" w:customStyle="1" w:styleId="NormalBold12a">
    <w:name w:val="NormalBold12a"/>
    <w:basedOn w:val="Normal"/>
    <w:rsid w:val="00030C24"/>
    <w:pPr>
      <w:spacing w:after="240"/>
    </w:pPr>
    <w:rPr>
      <w:b/>
    </w:rPr>
  </w:style>
  <w:style w:type="paragraph" w:customStyle="1" w:styleId="AmJustText">
    <w:name w:val="AmJustText"/>
    <w:basedOn w:val="Normal"/>
    <w:rsid w:val="00030C24"/>
    <w:pPr>
      <w:spacing w:after="240"/>
    </w:pPr>
    <w:rPr>
      <w:i/>
    </w:rPr>
  </w:style>
  <w:style w:type="paragraph" w:customStyle="1" w:styleId="NormalHanging12a">
    <w:name w:val="NormalHanging12a"/>
    <w:basedOn w:val="Normal"/>
    <w:rsid w:val="00030C24"/>
    <w:pPr>
      <w:spacing w:after="240"/>
      <w:ind w:left="567" w:hanging="567"/>
    </w:pPr>
  </w:style>
  <w:style w:type="paragraph" w:customStyle="1" w:styleId="CoverNormal24a">
    <w:name w:val="CoverNormal24a"/>
    <w:basedOn w:val="Normal"/>
    <w:rsid w:val="00030C24"/>
    <w:pPr>
      <w:spacing w:after="480"/>
      <w:ind w:left="1417"/>
    </w:pPr>
  </w:style>
  <w:style w:type="paragraph" w:customStyle="1" w:styleId="CoverNormal">
    <w:name w:val="CoverNormal"/>
    <w:basedOn w:val="Normal"/>
    <w:rsid w:val="00030C24"/>
    <w:pPr>
      <w:ind w:left="1418"/>
    </w:pPr>
  </w:style>
  <w:style w:type="paragraph" w:customStyle="1" w:styleId="AmCrossRef">
    <w:name w:val="AmCrossRef"/>
    <w:basedOn w:val="Normal"/>
    <w:rsid w:val="00030C24"/>
    <w:pPr>
      <w:spacing w:before="240" w:after="240"/>
      <w:jc w:val="center"/>
    </w:pPr>
    <w:rPr>
      <w:i/>
    </w:rPr>
  </w:style>
  <w:style w:type="paragraph" w:customStyle="1" w:styleId="AmJustTitle">
    <w:name w:val="AmJustTitle"/>
    <w:basedOn w:val="Normal"/>
    <w:next w:val="AmJustText"/>
    <w:rsid w:val="00030C24"/>
    <w:pPr>
      <w:keepNext/>
      <w:spacing w:before="240" w:after="240"/>
      <w:jc w:val="center"/>
    </w:pPr>
    <w:rPr>
      <w:i/>
    </w:rPr>
  </w:style>
  <w:style w:type="paragraph" w:customStyle="1" w:styleId="CoverReference">
    <w:name w:val="CoverReference"/>
    <w:basedOn w:val="Normal"/>
    <w:rsid w:val="00030C24"/>
    <w:pPr>
      <w:spacing w:before="1080"/>
      <w:jc w:val="right"/>
    </w:pPr>
    <w:rPr>
      <w:rFonts w:ascii="Arial" w:hAnsi="Arial" w:cs="Arial"/>
      <w:b/>
    </w:rPr>
  </w:style>
  <w:style w:type="paragraph" w:customStyle="1" w:styleId="CoverDocType">
    <w:name w:val="CoverDocType"/>
    <w:basedOn w:val="Normal"/>
    <w:rsid w:val="00030C24"/>
    <w:pPr>
      <w:ind w:left="1418"/>
    </w:pPr>
    <w:rPr>
      <w:rFonts w:ascii="Arial" w:hAnsi="Arial"/>
      <w:b/>
      <w:sz w:val="48"/>
    </w:rPr>
  </w:style>
  <w:style w:type="paragraph" w:customStyle="1" w:styleId="CoverDocType24a">
    <w:name w:val="CoverDocType24a"/>
    <w:basedOn w:val="Normal"/>
    <w:rsid w:val="00030C24"/>
    <w:pPr>
      <w:spacing w:after="480"/>
      <w:ind w:left="1418"/>
    </w:pPr>
    <w:rPr>
      <w:rFonts w:ascii="Arial" w:hAnsi="Arial"/>
      <w:b/>
      <w:sz w:val="48"/>
    </w:rPr>
  </w:style>
  <w:style w:type="paragraph" w:customStyle="1" w:styleId="CoverDate">
    <w:name w:val="CoverDate"/>
    <w:basedOn w:val="Normal"/>
    <w:rsid w:val="00030C24"/>
    <w:pPr>
      <w:spacing w:before="240" w:after="1200"/>
    </w:pPr>
  </w:style>
  <w:style w:type="paragraph" w:styleId="Header">
    <w:name w:val="header"/>
    <w:basedOn w:val="Normal"/>
    <w:link w:val="HeaderChar"/>
    <w:rsid w:val="00030C24"/>
    <w:pPr>
      <w:tabs>
        <w:tab w:val="center" w:pos="4513"/>
        <w:tab w:val="right" w:pos="9026"/>
      </w:tabs>
    </w:pPr>
  </w:style>
  <w:style w:type="character" w:customStyle="1" w:styleId="HeaderChar">
    <w:name w:val="Header Char"/>
    <w:basedOn w:val="DefaultParagraphFont"/>
    <w:link w:val="Header"/>
    <w:rsid w:val="00030C24"/>
    <w:rPr>
      <w:sz w:val="24"/>
      <w:lang w:val="sl-SI"/>
    </w:rPr>
  </w:style>
  <w:style w:type="paragraph" w:customStyle="1" w:styleId="AmOrLang">
    <w:name w:val="AmOrLang"/>
    <w:basedOn w:val="Normal"/>
    <w:rsid w:val="00030C24"/>
    <w:pPr>
      <w:spacing w:before="240" w:after="240"/>
      <w:jc w:val="right"/>
    </w:pPr>
  </w:style>
  <w:style w:type="paragraph" w:customStyle="1" w:styleId="AmColumnHeading">
    <w:name w:val="AmColumnHeading"/>
    <w:basedOn w:val="Normal"/>
    <w:rsid w:val="00030C24"/>
    <w:pPr>
      <w:spacing w:after="240"/>
      <w:jc w:val="center"/>
    </w:pPr>
    <w:rPr>
      <w:i/>
    </w:rPr>
  </w:style>
  <w:style w:type="paragraph" w:customStyle="1" w:styleId="AmNumberTabs">
    <w:name w:val="AmNumberTabs"/>
    <w:basedOn w:val="Normal"/>
    <w:rsid w:val="00030C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30C24"/>
    <w:pPr>
      <w:spacing w:before="240"/>
    </w:pPr>
    <w:rPr>
      <w:b/>
    </w:rPr>
  </w:style>
  <w:style w:type="paragraph" w:customStyle="1" w:styleId="EPBody">
    <w:name w:val="EPBody"/>
    <w:basedOn w:val="Normal"/>
    <w:rsid w:val="00030C24"/>
    <w:pPr>
      <w:jc w:val="center"/>
    </w:pPr>
    <w:rPr>
      <w:rFonts w:ascii="Arial" w:hAnsi="Arial" w:cs="Arial"/>
      <w:i/>
      <w:sz w:val="22"/>
      <w:szCs w:val="22"/>
    </w:rPr>
  </w:style>
  <w:style w:type="paragraph" w:customStyle="1" w:styleId="EPFooter">
    <w:name w:val="EPFooter"/>
    <w:basedOn w:val="Normal"/>
    <w:rsid w:val="00030C24"/>
    <w:pPr>
      <w:tabs>
        <w:tab w:val="center" w:pos="4535"/>
        <w:tab w:val="right" w:pos="9071"/>
      </w:tabs>
      <w:spacing w:before="240" w:after="240"/>
    </w:pPr>
    <w:rPr>
      <w:color w:val="010000"/>
      <w:sz w:val="22"/>
    </w:rPr>
  </w:style>
  <w:style w:type="paragraph" w:customStyle="1" w:styleId="EPComma">
    <w:name w:val="EPComma"/>
    <w:basedOn w:val="Normal"/>
    <w:rsid w:val="00030C24"/>
    <w:pPr>
      <w:spacing w:before="480" w:after="240"/>
    </w:pPr>
  </w:style>
  <w:style w:type="paragraph" w:customStyle="1" w:styleId="Lgendesigne">
    <w:name w:val="Légende signe"/>
    <w:basedOn w:val="Normal"/>
    <w:rsid w:val="00030C24"/>
    <w:pPr>
      <w:tabs>
        <w:tab w:val="right" w:pos="454"/>
        <w:tab w:val="left" w:pos="737"/>
      </w:tabs>
      <w:ind w:left="737" w:hanging="737"/>
    </w:pPr>
    <w:rPr>
      <w:snapToGrid w:val="0"/>
      <w:sz w:val="18"/>
      <w:lang w:eastAsia="en-US"/>
    </w:rPr>
  </w:style>
  <w:style w:type="paragraph" w:customStyle="1" w:styleId="Lgendetitre">
    <w:name w:val="Légende titre"/>
    <w:basedOn w:val="Normal"/>
    <w:rsid w:val="00030C24"/>
    <w:pPr>
      <w:spacing w:before="240" w:after="240"/>
    </w:pPr>
    <w:rPr>
      <w:b/>
      <w:i/>
      <w:snapToGrid w:val="0"/>
      <w:lang w:eastAsia="en-US"/>
    </w:rPr>
  </w:style>
  <w:style w:type="paragraph" w:customStyle="1" w:styleId="Lgendestandard">
    <w:name w:val="Légende standard"/>
    <w:basedOn w:val="Normal"/>
    <w:rsid w:val="00030C24"/>
    <w:rPr>
      <w:sz w:val="18"/>
    </w:rPr>
  </w:style>
  <w:style w:type="character" w:customStyle="1" w:styleId="NormalBoldChar">
    <w:name w:val="NormalBold Char"/>
    <w:basedOn w:val="DefaultParagraphFont"/>
    <w:link w:val="NormalBold"/>
    <w:locked/>
    <w:rsid w:val="00030C24"/>
    <w:rPr>
      <w:b/>
      <w:sz w:val="24"/>
      <w:lang w:val="sl-SI"/>
    </w:rPr>
  </w:style>
  <w:style w:type="character" w:styleId="Hyperlink">
    <w:name w:val="Hyperlink"/>
    <w:basedOn w:val="DefaultParagraphFont"/>
    <w:unhideWhenUsed/>
    <w:rsid w:val="00030C24"/>
    <w:rPr>
      <w:color w:val="467886"/>
      <w:u w:val="single"/>
    </w:rPr>
  </w:style>
  <w:style w:type="character" w:styleId="Emphasis">
    <w:name w:val="Emphasis"/>
    <w:basedOn w:val="DefaultParagraphFont"/>
    <w:uiPriority w:val="20"/>
    <w:qFormat/>
    <w:rsid w:val="00030C24"/>
    <w:rPr>
      <w:i/>
      <w:iCs/>
    </w:rPr>
  </w:style>
  <w:style w:type="paragraph" w:customStyle="1" w:styleId="Normal24a">
    <w:name w:val="Normal24a"/>
    <w:basedOn w:val="Normal"/>
    <w:rsid w:val="00030C24"/>
    <w:pPr>
      <w:spacing w:after="480"/>
    </w:pPr>
  </w:style>
  <w:style w:type="paragraph" w:customStyle="1" w:styleId="NormalBoldCenter">
    <w:name w:val="NormalBoldCenter"/>
    <w:basedOn w:val="Normal"/>
    <w:rsid w:val="00030C24"/>
    <w:pPr>
      <w:jc w:val="center"/>
    </w:pPr>
    <w:rPr>
      <w:b/>
    </w:rPr>
  </w:style>
  <w:style w:type="paragraph" w:customStyle="1" w:styleId="Footprint12b">
    <w:name w:val="Footprint12b"/>
    <w:basedOn w:val="Normal"/>
    <w:rsid w:val="00030C24"/>
    <w:pPr>
      <w:spacing w:before="240"/>
    </w:pPr>
    <w:rPr>
      <w:szCs w:val="24"/>
    </w:rPr>
  </w:style>
  <w:style w:type="paragraph" w:customStyle="1" w:styleId="NormalSingle">
    <w:name w:val="NormalSingle"/>
    <w:basedOn w:val="Normal"/>
    <w:qFormat/>
    <w:rsid w:val="00030C24"/>
    <w:rPr>
      <w:szCs w:val="24"/>
    </w:rPr>
  </w:style>
  <w:style w:type="character" w:styleId="UnresolvedMention">
    <w:name w:val="Unresolved Mention"/>
    <w:basedOn w:val="DefaultParagraphFont"/>
    <w:uiPriority w:val="99"/>
    <w:semiHidden/>
    <w:unhideWhenUsed/>
    <w:rsid w:val="00030C24"/>
    <w:rPr>
      <w:color w:val="605E5C"/>
      <w:shd w:val="clear" w:color="auto" w:fill="E1DFDD"/>
    </w:rPr>
  </w:style>
  <w:style w:type="paragraph" w:styleId="Footer">
    <w:name w:val="footer"/>
    <w:basedOn w:val="Normal"/>
    <w:link w:val="FooterChar"/>
    <w:rsid w:val="00030C24"/>
    <w:pPr>
      <w:tabs>
        <w:tab w:val="center" w:pos="4513"/>
        <w:tab w:val="right" w:pos="9026"/>
      </w:tabs>
    </w:pPr>
  </w:style>
  <w:style w:type="character" w:customStyle="1" w:styleId="FooterChar">
    <w:name w:val="Footer Char"/>
    <w:basedOn w:val="DefaultParagraphFont"/>
    <w:link w:val="Footer"/>
    <w:rsid w:val="00030C24"/>
    <w:rPr>
      <w:sz w:val="24"/>
      <w:lang w:val="sl-SI"/>
    </w:rPr>
  </w:style>
  <w:style w:type="paragraph" w:customStyle="1" w:styleId="Default">
    <w:name w:val="Default"/>
    <w:rsid w:val="00030C24"/>
    <w:pPr>
      <w:autoSpaceDE w:val="0"/>
      <w:autoSpaceDN w:val="0"/>
      <w:adjustRightInd w:val="0"/>
    </w:pPr>
    <w:rPr>
      <w:color w:val="000000"/>
      <w:sz w:val="24"/>
      <w:szCs w:val="24"/>
      <w:lang w:val="sl-SI"/>
    </w:rPr>
  </w:style>
  <w:style w:type="character" w:customStyle="1" w:styleId="Normal6Char">
    <w:name w:val="Normal6 Char"/>
    <w:basedOn w:val="DefaultParagraphFont"/>
    <w:link w:val="Normal6"/>
    <w:locked/>
    <w:rsid w:val="00030C24"/>
    <w:rPr>
      <w:b/>
      <w:bCs/>
      <w:i/>
      <w:iCs/>
      <w:sz w:val="24"/>
      <w:lang w:val="sl-SI"/>
    </w:rPr>
  </w:style>
  <w:style w:type="paragraph" w:customStyle="1" w:styleId="Normal6">
    <w:name w:val="Normal6"/>
    <w:basedOn w:val="Normal"/>
    <w:link w:val="Normal6Char"/>
    <w:rsid w:val="00030C24"/>
    <w:pPr>
      <w:spacing w:after="120"/>
    </w:pPr>
    <w:rPr>
      <w:b/>
      <w:bCs/>
      <w:i/>
      <w:iCs/>
    </w:rPr>
  </w:style>
  <w:style w:type="paragraph" w:customStyle="1" w:styleId="ColumnHeading">
    <w:name w:val="ColumnHeading"/>
    <w:basedOn w:val="Normal"/>
    <w:rsid w:val="00030C24"/>
    <w:pPr>
      <w:spacing w:after="240"/>
      <w:jc w:val="center"/>
    </w:pPr>
    <w:rPr>
      <w:i/>
    </w:rPr>
  </w:style>
  <w:style w:type="paragraph" w:customStyle="1" w:styleId="AMNumberTabs0">
    <w:name w:val="AMNumberTabs"/>
    <w:basedOn w:val="Normal"/>
    <w:rsid w:val="00030C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30C24"/>
    <w:pPr>
      <w:jc w:val="right"/>
    </w:pPr>
    <w:rPr>
      <w:lang w:val="sl-SI"/>
    </w:rPr>
  </w:style>
  <w:style w:type="paragraph" w:styleId="Revision">
    <w:name w:val="Revision"/>
    <w:hidden/>
    <w:uiPriority w:val="99"/>
    <w:semiHidden/>
    <w:rsid w:val="00030C24"/>
    <w:rPr>
      <w:sz w:val="24"/>
      <w:lang w:val="sl-SI"/>
    </w:rPr>
  </w:style>
  <w:style w:type="character" w:styleId="CommentReference">
    <w:name w:val="annotation reference"/>
    <w:basedOn w:val="DefaultParagraphFont"/>
    <w:uiPriority w:val="99"/>
    <w:rsid w:val="00030C24"/>
    <w:rPr>
      <w:sz w:val="16"/>
      <w:szCs w:val="16"/>
    </w:rPr>
  </w:style>
  <w:style w:type="paragraph" w:styleId="CommentText">
    <w:name w:val="annotation text"/>
    <w:basedOn w:val="Normal"/>
    <w:link w:val="CommentTextChar"/>
    <w:uiPriority w:val="99"/>
    <w:rsid w:val="00030C24"/>
    <w:rPr>
      <w:sz w:val="20"/>
    </w:rPr>
  </w:style>
  <w:style w:type="character" w:customStyle="1" w:styleId="CommentTextChar">
    <w:name w:val="Comment Text Char"/>
    <w:basedOn w:val="DefaultParagraphFont"/>
    <w:link w:val="CommentText"/>
    <w:uiPriority w:val="99"/>
    <w:rsid w:val="00030C24"/>
    <w:rPr>
      <w:lang w:val="sl-SI"/>
    </w:rPr>
  </w:style>
  <w:style w:type="paragraph" w:styleId="CommentSubject">
    <w:name w:val="annotation subject"/>
    <w:basedOn w:val="CommentText"/>
    <w:next w:val="CommentText"/>
    <w:link w:val="CommentSubjectChar"/>
    <w:unhideWhenUsed/>
    <w:rsid w:val="00030C24"/>
    <w:rPr>
      <w:b/>
      <w:bCs/>
    </w:rPr>
  </w:style>
  <w:style w:type="character" w:customStyle="1" w:styleId="CommentSubjectChar">
    <w:name w:val="Comment Subject Char"/>
    <w:basedOn w:val="CommentTextChar"/>
    <w:link w:val="CommentSubject"/>
    <w:rsid w:val="00030C24"/>
    <w:rPr>
      <w:b/>
      <w:bCs/>
      <w:lang w:val="sl-SI"/>
    </w:rPr>
  </w:style>
  <w:style w:type="paragraph" w:styleId="ListParagraph">
    <w:name w:val="List Paragraph"/>
    <w:basedOn w:val="Normal"/>
    <w:uiPriority w:val="1"/>
    <w:qFormat/>
    <w:rsid w:val="00030C24"/>
    <w:pPr>
      <w:ind w:left="720"/>
      <w:contextualSpacing/>
    </w:pPr>
  </w:style>
  <w:style w:type="paragraph" w:styleId="BodyText">
    <w:name w:val="Body Text"/>
    <w:basedOn w:val="Normal"/>
    <w:link w:val="BodyTextChar"/>
    <w:uiPriority w:val="1"/>
    <w:unhideWhenUsed/>
    <w:qFormat/>
    <w:rsid w:val="00030C24"/>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030C24"/>
    <w:rPr>
      <w:sz w:val="24"/>
      <w:szCs w:val="24"/>
      <w:lang w:val="sl-SI" w:eastAsia="en-US"/>
    </w:rPr>
  </w:style>
  <w:style w:type="paragraph" w:customStyle="1" w:styleId="Normal12a">
    <w:name w:val="Normal12a"/>
    <w:basedOn w:val="Normal"/>
    <w:rsid w:val="00030C24"/>
    <w:pPr>
      <w:spacing w:after="240"/>
    </w:pPr>
  </w:style>
  <w:style w:type="paragraph" w:customStyle="1" w:styleId="PageHeadingNotTOC">
    <w:name w:val="PageHeadingNotTOC"/>
    <w:basedOn w:val="Normal"/>
    <w:rsid w:val="00030C24"/>
    <w:pPr>
      <w:keepNext/>
      <w:spacing w:after="480"/>
      <w:jc w:val="center"/>
    </w:pPr>
    <w:rPr>
      <w:rFonts w:ascii="Arial" w:hAnsi="Arial" w:cs="Arial"/>
      <w:b/>
    </w:rPr>
  </w:style>
  <w:style w:type="paragraph" w:customStyle="1" w:styleId="AmHeadingPA">
    <w:name w:val="AmHeadingPA"/>
    <w:basedOn w:val="Normal"/>
    <w:next w:val="Normal"/>
    <w:rsid w:val="00030C2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30C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0C24"/>
    <w:pPr>
      <w:tabs>
        <w:tab w:val="center" w:pos="284"/>
        <w:tab w:val="left" w:pos="426"/>
      </w:tabs>
    </w:pPr>
    <w:rPr>
      <w:snapToGrid w:val="0"/>
      <w:lang w:eastAsia="en-US"/>
    </w:rPr>
  </w:style>
  <w:style w:type="paragraph" w:customStyle="1" w:styleId="RollCallVotes">
    <w:name w:val="RollCallVotes"/>
    <w:basedOn w:val="Normal"/>
    <w:rsid w:val="00030C24"/>
    <w:pPr>
      <w:spacing w:before="120" w:after="120"/>
      <w:jc w:val="center"/>
    </w:pPr>
    <w:rPr>
      <w:b/>
      <w:bCs/>
      <w:snapToGrid w:val="0"/>
      <w:sz w:val="16"/>
      <w:lang w:eastAsia="en-US"/>
    </w:rPr>
  </w:style>
  <w:style w:type="paragraph" w:customStyle="1" w:styleId="RollCallTable">
    <w:name w:val="RollCallTable"/>
    <w:basedOn w:val="Normal"/>
    <w:rsid w:val="00030C24"/>
    <w:pPr>
      <w:spacing w:before="120" w:after="120"/>
    </w:pPr>
    <w:rPr>
      <w:snapToGrid w:val="0"/>
      <w:sz w:val="16"/>
      <w:lang w:eastAsia="en-US"/>
    </w:rPr>
  </w:style>
  <w:style w:type="paragraph" w:customStyle="1" w:styleId="FootnoteTextForceStyle">
    <w:name w:val="Footnote Text ForceStyle"/>
    <w:rsid w:val="00E3625B"/>
    <w:pPr>
      <w:keepLines/>
      <w:spacing w:line="240" w:lineRule="exact"/>
      <w:ind w:left="850" w:hanging="850"/>
    </w:pPr>
    <w:rPr>
      <w:sz w:val="24"/>
      <w:lang w:val="sl-SI" w:eastAsia="en-US"/>
    </w:rPr>
  </w:style>
  <w:style w:type="character" w:customStyle="1" w:styleId="Hyperlink1">
    <w:name w:val="Hyperlink1"/>
    <w:basedOn w:val="DefaultParagraphFont"/>
    <w:rsid w:val="00E362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2026-07-01T15:18:00Z</dcterms:created>
  <dcterms:modified xsi:type="dcterms:W3CDTF">2026-07-01T15:18:00Z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P10_TA(2026)0170_</vt:lpwstr>
  </property>
  <property fmtid="{D5CDD505-2E9C-101B-9397-08002B2CF9AE}" pid="4" name="&lt;Type&gt;">
    <vt:lpwstr>RR</vt:lpwstr>
  </property>
</Properties>
</file>