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AC6" w14:paraId="427C9C67" w14:textId="77777777" w:rsidTr="0010095E">
        <w:trPr>
          <w:trHeight w:hRule="exact" w:val="1418"/>
        </w:trPr>
        <w:tc>
          <w:tcPr>
            <w:tcW w:w="6804" w:type="dxa"/>
            <w:shd w:val="clear" w:color="auto" w:fill="auto"/>
            <w:vAlign w:val="center"/>
          </w:tcPr>
          <w:p w14:paraId="4809BD9C" w14:textId="77777777" w:rsidR="00751A4A" w:rsidRPr="00A21AC6" w:rsidRDefault="00A00B2A" w:rsidP="0010095E">
            <w:pPr>
              <w:pStyle w:val="EPName"/>
            </w:pPr>
            <w:r w:rsidRPr="00A21AC6">
              <w:t>Europaparlamentet</w:t>
            </w:r>
          </w:p>
          <w:p w14:paraId="38BBE888" w14:textId="77777777" w:rsidR="00751A4A" w:rsidRPr="00A21AC6" w:rsidRDefault="005F1B17" w:rsidP="005F1B17">
            <w:pPr>
              <w:pStyle w:val="EPTerm"/>
              <w:rPr>
                <w:rStyle w:val="HideTWBExt"/>
                <w:noProof w:val="0"/>
                <w:vanish w:val="0"/>
                <w:color w:val="auto"/>
              </w:rPr>
            </w:pPr>
            <w:r w:rsidRPr="00A21AC6">
              <w:t>2024</w:t>
            </w:r>
            <w:r w:rsidR="00817416" w:rsidRPr="00A21AC6">
              <w:t>-202</w:t>
            </w:r>
            <w:r w:rsidRPr="00A21AC6">
              <w:t>9</w:t>
            </w:r>
          </w:p>
        </w:tc>
        <w:tc>
          <w:tcPr>
            <w:tcW w:w="2268" w:type="dxa"/>
            <w:shd w:val="clear" w:color="auto" w:fill="auto"/>
          </w:tcPr>
          <w:p w14:paraId="1BD48199" w14:textId="77777777" w:rsidR="00751A4A" w:rsidRPr="00A21AC6" w:rsidRDefault="00187494" w:rsidP="0010095E">
            <w:pPr>
              <w:pStyle w:val="EPLogo"/>
            </w:pPr>
            <w:r w:rsidRPr="00A21AC6">
              <w:rPr>
                <w:noProof/>
                <w:lang w:eastAsia="ja-JP"/>
              </w:rPr>
              <w:drawing>
                <wp:inline distT="0" distB="0" distL="0" distR="0" wp14:anchorId="187B88BD" wp14:editId="56397E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902BF" w14:textId="77777777" w:rsidR="00D058B8" w:rsidRPr="00A21AC6" w:rsidRDefault="00D058B8" w:rsidP="004C5D52">
      <w:pPr>
        <w:pStyle w:val="LineTop"/>
      </w:pPr>
    </w:p>
    <w:p w14:paraId="403B1F5F" w14:textId="77777777" w:rsidR="00680577" w:rsidRPr="00A21AC6" w:rsidRDefault="00A00B2A" w:rsidP="00680577">
      <w:pPr>
        <w:pStyle w:val="EPBodyTA1"/>
      </w:pPr>
      <w:r w:rsidRPr="00A21AC6">
        <w:t>ANTAGNA TEXTER</w:t>
      </w:r>
    </w:p>
    <w:p w14:paraId="372F4C04" w14:textId="77777777" w:rsidR="00D058B8" w:rsidRPr="00A21AC6" w:rsidRDefault="00D058B8" w:rsidP="00D058B8">
      <w:pPr>
        <w:pStyle w:val="LineBottom"/>
      </w:pPr>
    </w:p>
    <w:p w14:paraId="2C83FA63" w14:textId="098C57E3" w:rsidR="00A00B2A" w:rsidRPr="00A21AC6" w:rsidRDefault="00A00B2A" w:rsidP="00A00B2A">
      <w:pPr>
        <w:pStyle w:val="ATHeading1"/>
      </w:pPr>
      <w:bookmarkStart w:id="0" w:name="TANumber"/>
      <w:r w:rsidRPr="00A21AC6">
        <w:t>P10_TA(2026)0</w:t>
      </w:r>
      <w:bookmarkEnd w:id="0"/>
      <w:r w:rsidR="00A21AC6" w:rsidRPr="00A21AC6">
        <w:t>170</w:t>
      </w:r>
    </w:p>
    <w:p w14:paraId="5E298600" w14:textId="512F8EA5" w:rsidR="00A00B2A" w:rsidRPr="00A21AC6" w:rsidRDefault="004A4C92" w:rsidP="00A00B2A">
      <w:pPr>
        <w:pStyle w:val="ATHeading2"/>
      </w:pPr>
      <w:r w:rsidRPr="00A21AC6">
        <w:t>Negativa handelsrelaterade effekter av global överkapacitet på unionens stålmarknad</w:t>
      </w:r>
    </w:p>
    <w:p w14:paraId="7A068643" w14:textId="77777777" w:rsidR="00A00B2A" w:rsidRPr="00A21AC6" w:rsidRDefault="00A00B2A" w:rsidP="00A00B2A">
      <w:pPr>
        <w:rPr>
          <w:i/>
          <w:vanish/>
        </w:rPr>
      </w:pPr>
      <w:r w:rsidRPr="00A21AC6">
        <w:rPr>
          <w:i/>
        </w:rPr>
        <w:fldChar w:fldCharType="begin"/>
      </w:r>
      <w:r w:rsidRPr="00A21AC6">
        <w:rPr>
          <w:i/>
        </w:rPr>
        <w:instrText xml:space="preserve"> TC"(</w:instrText>
      </w:r>
      <w:bookmarkStart w:id="1" w:name="DocNumber"/>
      <w:r w:rsidRPr="00A21AC6">
        <w:rPr>
          <w:i/>
        </w:rPr>
        <w:instrText>A10-0012/2026</w:instrText>
      </w:r>
      <w:bookmarkEnd w:id="1"/>
      <w:r w:rsidRPr="00A21AC6">
        <w:rPr>
          <w:i/>
        </w:rPr>
        <w:instrText xml:space="preserve"> - Föredragande: Karin Karlsbro)"\l3 \n&gt; \* MERGEFORMAT </w:instrText>
      </w:r>
      <w:r w:rsidRPr="00A21AC6">
        <w:rPr>
          <w:i/>
        </w:rPr>
        <w:fldChar w:fldCharType="end"/>
      </w:r>
    </w:p>
    <w:p w14:paraId="6759B77E" w14:textId="77777777" w:rsidR="00A00B2A" w:rsidRPr="00A21AC6" w:rsidRDefault="00A00B2A" w:rsidP="00A00B2A">
      <w:pPr>
        <w:rPr>
          <w:vanish/>
        </w:rPr>
      </w:pPr>
      <w:bookmarkStart w:id="2" w:name="Commission"/>
      <w:r w:rsidRPr="00A21AC6">
        <w:rPr>
          <w:vanish/>
        </w:rPr>
        <w:t>Utskottet för internationell handel</w:t>
      </w:r>
      <w:bookmarkEnd w:id="2"/>
    </w:p>
    <w:p w14:paraId="77E1400D" w14:textId="77777777" w:rsidR="00A00B2A" w:rsidRPr="00A21AC6" w:rsidRDefault="00A00B2A" w:rsidP="00A00B2A">
      <w:pPr>
        <w:rPr>
          <w:vanish/>
        </w:rPr>
      </w:pPr>
      <w:bookmarkStart w:id="3" w:name="PE"/>
      <w:r w:rsidRPr="00A21AC6">
        <w:rPr>
          <w:vanish/>
        </w:rPr>
        <w:t>PE779.727</w:t>
      </w:r>
      <w:bookmarkEnd w:id="3"/>
    </w:p>
    <w:p w14:paraId="1763266A" w14:textId="4424076C" w:rsidR="00A00B2A" w:rsidRPr="00A21AC6" w:rsidRDefault="00A00B2A" w:rsidP="00A00B2A">
      <w:pPr>
        <w:pStyle w:val="ATHeading3"/>
      </w:pPr>
      <w:bookmarkStart w:id="4" w:name="Sujet"/>
      <w:r w:rsidRPr="00A21AC6">
        <w:t xml:space="preserve">Europaparlamentets lagstiftningsresolution av den </w:t>
      </w:r>
      <w:r w:rsidR="004A4C92" w:rsidRPr="00A21AC6">
        <w:t>19</w:t>
      </w:r>
      <w:r w:rsidRPr="00A21AC6">
        <w:t xml:space="preserve"> </w:t>
      </w:r>
      <w:r w:rsidR="004A4C92" w:rsidRPr="00A21AC6">
        <w:t>maj</w:t>
      </w:r>
      <w:r w:rsidRPr="00A21AC6">
        <w:t xml:space="preserve"> 2026 om förslaget till Europaparlamentets och rådets förordning om hantering av de negativa handelsrelaterade effekterna av global överkapacitet på unionens stålmarknad</w:t>
      </w:r>
      <w:bookmarkEnd w:id="4"/>
      <w:r w:rsidRPr="00A21AC6">
        <w:t xml:space="preserve"> </w:t>
      </w:r>
      <w:bookmarkStart w:id="5" w:name="References"/>
      <w:r w:rsidRPr="00A21AC6">
        <w:t>(COM(2025)0726 – C10-0245/2025 – 2025/0726(COD))</w:t>
      </w:r>
      <w:bookmarkEnd w:id="5"/>
    </w:p>
    <w:p w14:paraId="3746F727" w14:textId="121A1EC7" w:rsidR="00D02009" w:rsidRPr="00A21AC6" w:rsidRDefault="00D02009" w:rsidP="00D02009">
      <w:pPr>
        <w:pStyle w:val="NormalBold"/>
      </w:pPr>
      <w:r w:rsidRPr="00A21AC6">
        <w:t>(Ordinarie lagstiftningsförfarande</w:t>
      </w:r>
      <w:r w:rsidR="00945094" w:rsidRPr="00A21AC6">
        <w:t>:</w:t>
      </w:r>
      <w:r w:rsidRPr="00A21AC6">
        <w:t xml:space="preserve"> första behandlingen)</w:t>
      </w:r>
    </w:p>
    <w:p w14:paraId="3884758D" w14:textId="77777777" w:rsidR="00D02009" w:rsidRPr="00A21AC6" w:rsidRDefault="00D02009" w:rsidP="00D02009">
      <w:pPr>
        <w:pStyle w:val="EPComma"/>
      </w:pPr>
      <w:r w:rsidRPr="00A21AC6">
        <w:rPr>
          <w:i/>
        </w:rPr>
        <w:t>Europaparlamentet utfärdar denna resolution</w:t>
      </w:r>
    </w:p>
    <w:p w14:paraId="4C9E68A8" w14:textId="77777777" w:rsidR="00D02009" w:rsidRPr="00A21AC6" w:rsidRDefault="00D02009" w:rsidP="00D02009">
      <w:pPr>
        <w:pStyle w:val="NormalHanging12a"/>
      </w:pPr>
      <w:r w:rsidRPr="00A21AC6">
        <w:t>–</w:t>
      </w:r>
      <w:r w:rsidRPr="00A21AC6">
        <w:tab/>
        <w:t>med beaktande av kommissionens förslag till Europaparlamentet och rådet (COM(2025)0726),</w:t>
      </w:r>
    </w:p>
    <w:p w14:paraId="7421C4FA" w14:textId="77777777" w:rsidR="00D02009" w:rsidRPr="00A21AC6" w:rsidRDefault="00D02009" w:rsidP="00D02009">
      <w:pPr>
        <w:pStyle w:val="NormalHanging12a"/>
      </w:pPr>
      <w:r w:rsidRPr="00A21AC6">
        <w:t>–</w:t>
      </w:r>
      <w:r w:rsidRPr="00A21AC6">
        <w:tab/>
        <w:t>med beaktande av artiklarna 294.2 och 207.2 i fördraget om Europeiska unionens funktionssätt, i enlighet med vilka kommissionen har lagt fram sitt förslag för parlamentet (C10</w:t>
      </w:r>
      <w:r w:rsidRPr="00A21AC6">
        <w:noBreakHyphen/>
        <w:t>0245/2025),</w:t>
      </w:r>
    </w:p>
    <w:p w14:paraId="4E8EA3C1" w14:textId="77777777" w:rsidR="00D02009" w:rsidRPr="00A21AC6" w:rsidRDefault="00D02009" w:rsidP="00D02009">
      <w:pPr>
        <w:pStyle w:val="NormalHanging12a"/>
      </w:pPr>
      <w:r w:rsidRPr="00A21AC6">
        <w:t>–</w:t>
      </w:r>
      <w:r w:rsidRPr="00A21AC6">
        <w:tab/>
        <w:t>med beaktande av artikel 294.3 i fördraget om Europeiska unionens funktionssätt,</w:t>
      </w:r>
    </w:p>
    <w:p w14:paraId="174C68A4" w14:textId="2402C94E" w:rsidR="004A4C92" w:rsidRPr="00A21AC6" w:rsidRDefault="00A21AC6" w:rsidP="00A21AC6">
      <w:pPr>
        <w:spacing w:after="240"/>
        <w:ind w:left="567" w:hanging="567"/>
      </w:pPr>
      <w:bookmarkStart w:id="6" w:name="_Hlk221543651"/>
      <w:r w:rsidRPr="00A21AC6">
        <w:t>–</w:t>
      </w:r>
      <w:r w:rsidRPr="00A21AC6">
        <w:tab/>
      </w:r>
      <w:r w:rsidR="004A4C92" w:rsidRPr="00A21AC6">
        <w:t>med beaktande av den preliminära överenskommelse som godkänts av det ansvariga utskottet enligt artikel 75.4 i arbetsordningen och det skriftliga åtagandet från rådets företrädare av den 23 april 2026 att godkänna parlamentets ståndpunkt i enlighet med artikel 294.4 i fördraget om Europeiska unionens funktionssätt,</w:t>
      </w:r>
      <w:bookmarkEnd w:id="6"/>
    </w:p>
    <w:p w14:paraId="512D038C" w14:textId="77777777" w:rsidR="00D02009" w:rsidRPr="00A21AC6" w:rsidRDefault="00D02009" w:rsidP="00D02009">
      <w:pPr>
        <w:pStyle w:val="NormalHanging12a"/>
      </w:pPr>
      <w:r w:rsidRPr="00A21AC6">
        <w:t>–</w:t>
      </w:r>
      <w:r w:rsidRPr="00A21AC6">
        <w:tab/>
        <w:t>med beaktande av artikel 60 i arbetsordningen,</w:t>
      </w:r>
    </w:p>
    <w:p w14:paraId="46EDE2EF" w14:textId="77777777" w:rsidR="00D02009" w:rsidRPr="00A21AC6" w:rsidRDefault="00D02009" w:rsidP="00D02009">
      <w:pPr>
        <w:pStyle w:val="NormalHanging12a"/>
      </w:pPr>
      <w:r w:rsidRPr="00A21AC6">
        <w:t>–</w:t>
      </w:r>
      <w:r w:rsidRPr="00A21AC6">
        <w:tab/>
        <w:t>med beaktande av yttrandet från utskottet för industrifrågor, forskning och energi,</w:t>
      </w:r>
    </w:p>
    <w:p w14:paraId="2F27B2D5" w14:textId="77777777" w:rsidR="00D02009" w:rsidRPr="00A21AC6" w:rsidRDefault="00D02009" w:rsidP="00D02009">
      <w:pPr>
        <w:pStyle w:val="NormalHanging12a"/>
      </w:pPr>
      <w:r w:rsidRPr="00A21AC6">
        <w:t>–</w:t>
      </w:r>
      <w:r w:rsidRPr="00A21AC6">
        <w:tab/>
        <w:t>med beaktande av betänkandet från utskottet för internationell handel (A10-0012/2026).</w:t>
      </w:r>
    </w:p>
    <w:p w14:paraId="21045E36" w14:textId="77777777" w:rsidR="00D02009" w:rsidRPr="00A21AC6" w:rsidRDefault="00D02009" w:rsidP="00D02009">
      <w:pPr>
        <w:pStyle w:val="NormalHanging12a"/>
      </w:pPr>
      <w:r w:rsidRPr="00A21AC6">
        <w:t>1.</w:t>
      </w:r>
      <w:r w:rsidRPr="00A21AC6">
        <w:tab/>
        <w:t>Europaparlamentet antar nedanstående ståndpunkt vid första behandlingen.</w:t>
      </w:r>
    </w:p>
    <w:p w14:paraId="7606378C" w14:textId="3E6530FB" w:rsidR="00945094" w:rsidRPr="00A21AC6" w:rsidRDefault="00945094" w:rsidP="00D02009">
      <w:pPr>
        <w:pStyle w:val="NormalHanging12a"/>
      </w:pPr>
      <w:r w:rsidRPr="00A21AC6">
        <w:t>2.</w:t>
      </w:r>
      <w:r w:rsidRPr="00A21AC6">
        <w:tab/>
        <w:t xml:space="preserve">Europaparlamentet godkänner Europaparlamentets, rådets och kommissionens gemensamma uttalande, som bifogas denna resolution och som kommer att offentliggöras i </w:t>
      </w:r>
      <w:r w:rsidRPr="00A21AC6">
        <w:rPr>
          <w:i/>
          <w:iCs/>
        </w:rPr>
        <w:t>Europeiska unionens officiella tidning</w:t>
      </w:r>
      <w:r w:rsidRPr="00A21AC6">
        <w:t xml:space="preserve"> (C-serien).</w:t>
      </w:r>
    </w:p>
    <w:p w14:paraId="3F9F065F" w14:textId="13F7AF03" w:rsidR="00D02009" w:rsidRPr="00A21AC6" w:rsidRDefault="00945094" w:rsidP="00D02009">
      <w:pPr>
        <w:pStyle w:val="NormalHanging12a"/>
      </w:pPr>
      <w:r w:rsidRPr="00A21AC6">
        <w:lastRenderedPageBreak/>
        <w:t>3</w:t>
      </w:r>
      <w:r w:rsidR="00D02009" w:rsidRPr="00A21AC6">
        <w:t>.</w:t>
      </w:r>
      <w:r w:rsidR="00D02009" w:rsidRPr="00A21AC6">
        <w:tab/>
        <w:t>Europaparlamentet uppmanar kommissionen att på nytt lägga fram ärendet för parlamentet om den ersätter, väsentligt ändrar eller har för avsikt att väsentligt ändra sitt förslag.</w:t>
      </w:r>
    </w:p>
    <w:p w14:paraId="2AF17E3F" w14:textId="10330324" w:rsidR="00945094" w:rsidRPr="00A21AC6" w:rsidRDefault="00945094">
      <w:pPr>
        <w:pStyle w:val="NormalHanging12a"/>
        <w:sectPr w:rsidR="00945094" w:rsidRPr="00A21AC6" w:rsidSect="00B272A9">
          <w:footnotePr>
            <w:numRestart w:val="eachSect"/>
          </w:footnotePr>
          <w:endnotePr>
            <w:numFmt w:val="decimal"/>
          </w:endnotePr>
          <w:pgSz w:w="11906" w:h="16838" w:code="9"/>
          <w:pgMar w:top="1134" w:right="1418" w:bottom="1418" w:left="1418" w:header="1134" w:footer="567" w:gutter="0"/>
          <w:cols w:space="720"/>
          <w:noEndnote/>
          <w:docGrid w:linePitch="326"/>
        </w:sectPr>
      </w:pPr>
      <w:r w:rsidRPr="00A21AC6">
        <w:t>4</w:t>
      </w:r>
      <w:r w:rsidR="00D02009" w:rsidRPr="00A21AC6">
        <w:t>.</w:t>
      </w:r>
      <w:r w:rsidR="00D02009" w:rsidRPr="00A21AC6">
        <w:tab/>
        <w:t>Europaparlamentet uppdrar åt talmannen att översända parlamentets ståndpunkt till rådet, kommissionen och de nationella parlamenten.</w:t>
      </w:r>
    </w:p>
    <w:p w14:paraId="4013AAA8" w14:textId="7537C58B" w:rsidR="00D02009" w:rsidRPr="00A21AC6" w:rsidRDefault="00D02009" w:rsidP="002E7746">
      <w:pPr>
        <w:pStyle w:val="NormalHanging12a"/>
      </w:pPr>
    </w:p>
    <w:p w14:paraId="62F0E3E6" w14:textId="02FF2435" w:rsidR="00080C3E" w:rsidRPr="00A21AC6" w:rsidRDefault="00080C3E" w:rsidP="00080C3E">
      <w:pPr>
        <w:pStyle w:val="Typedudocument"/>
        <w:spacing w:before="0" w:after="240"/>
        <w:jc w:val="left"/>
      </w:pPr>
      <w:r w:rsidRPr="00A21AC6">
        <w:t>P10_TC1-COD(2025)0726</w:t>
      </w:r>
    </w:p>
    <w:p w14:paraId="4264E566" w14:textId="41606B8A" w:rsidR="00080C3E" w:rsidRDefault="00080C3E" w:rsidP="002E7746">
      <w:pPr>
        <w:pStyle w:val="Typedudocument"/>
        <w:spacing w:before="120" w:after="120"/>
        <w:jc w:val="left"/>
        <w:rPr>
          <w:i/>
          <w:szCs w:val="24"/>
          <w:lang w:eastAsia="en-US"/>
        </w:rPr>
      </w:pPr>
      <w:r w:rsidRPr="00A21AC6">
        <w:t xml:space="preserve">Europaparlamentets ståndpunkt fastställd vid första behandlingen den 19 maj 2026 inför antagandet av Europaparlamentets och rådets förordning (EU) 2026/… om </w:t>
      </w:r>
      <w:r w:rsidRPr="00A21AC6">
        <w:rPr>
          <w:szCs w:val="24"/>
          <w:lang w:eastAsia="en-US"/>
        </w:rPr>
        <w:t xml:space="preserve">hantering av de negativa handelsrelaterade effekterna av global överkapacitet på unionens stålmarknad </w:t>
      </w:r>
      <w:r w:rsidRPr="00995CA8">
        <w:rPr>
          <w:iCs/>
          <w:szCs w:val="24"/>
          <w:lang w:eastAsia="en-US"/>
        </w:rPr>
        <w:t>och om ändring av förordning (EU) 2020/2170</w:t>
      </w:r>
    </w:p>
    <w:p w14:paraId="3CA4427A" w14:textId="261E7473" w:rsidR="00995CA8" w:rsidRPr="00995CA8" w:rsidRDefault="00995CA8" w:rsidP="00995CA8">
      <w:pPr>
        <w:rPr>
          <w:i/>
          <w:iCs/>
          <w:lang w:eastAsia="en-US"/>
        </w:rPr>
      </w:pPr>
      <w:r w:rsidRPr="00995CA8">
        <w:rPr>
          <w:i/>
          <w:iCs/>
          <w:lang w:eastAsia="en-US"/>
        </w:rPr>
        <w:t>(Eftersom det nåddes en överenskommelse mellan parlamentet och rådet, motsvarar parlamentets ståndpunkt den slutliga rättsakten, förordning</w:t>
      </w:r>
      <w:r>
        <w:rPr>
          <w:i/>
          <w:iCs/>
          <w:lang w:eastAsia="en-US"/>
        </w:rPr>
        <w:t xml:space="preserve"> </w:t>
      </w:r>
      <w:r w:rsidRPr="00995CA8">
        <w:rPr>
          <w:i/>
          <w:iCs/>
          <w:lang w:eastAsia="en-US"/>
        </w:rPr>
        <w:t>(EU) 202</w:t>
      </w:r>
      <w:r>
        <w:rPr>
          <w:i/>
          <w:iCs/>
          <w:lang w:eastAsia="en-US"/>
        </w:rPr>
        <w:t>6/1384</w:t>
      </w:r>
      <w:r w:rsidRPr="00995CA8">
        <w:rPr>
          <w:i/>
          <w:iCs/>
          <w:lang w:eastAsia="en-US"/>
        </w:rPr>
        <w:t>.)</w:t>
      </w:r>
    </w:p>
    <w:p w14:paraId="33A1A842" w14:textId="77777777" w:rsidR="00995CA8" w:rsidRPr="00995CA8" w:rsidRDefault="00995CA8" w:rsidP="00995CA8">
      <w:pPr>
        <w:rPr>
          <w:lang w:eastAsia="en-US"/>
        </w:rPr>
      </w:pPr>
    </w:p>
    <w:p w14:paraId="72658300" w14:textId="77777777" w:rsidR="00995CA8" w:rsidRDefault="00995CA8" w:rsidP="002E7746">
      <w:pPr>
        <w:spacing w:after="240"/>
        <w:jc w:val="right"/>
        <w:sectPr w:rsidR="00995CA8" w:rsidSect="00B272A9">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B69500" w14:textId="7CFFA1CA" w:rsidR="00CE4124" w:rsidRPr="00A21AC6" w:rsidRDefault="00CE4124" w:rsidP="002E7746">
      <w:pPr>
        <w:spacing w:after="240"/>
        <w:jc w:val="right"/>
      </w:pPr>
      <w:r w:rsidRPr="00A21AC6">
        <w:lastRenderedPageBreak/>
        <w:t>BILAGA TILL LAGSTIFTNINGSRESOLUTIONEN</w:t>
      </w:r>
    </w:p>
    <w:p w14:paraId="15CD3D7B" w14:textId="35102C67" w:rsidR="00CE4124" w:rsidRPr="00A21AC6" w:rsidRDefault="00CE4124" w:rsidP="00CE4124">
      <w:pPr>
        <w:spacing w:after="240"/>
        <w:rPr>
          <w:b/>
          <w:bCs/>
          <w:szCs w:val="24"/>
        </w:rPr>
      </w:pPr>
      <w:r w:rsidRPr="00A21AC6">
        <w:rPr>
          <w:b/>
          <w:szCs w:val="24"/>
        </w:rPr>
        <w:t xml:space="preserve">Gemensamt uttalande från Europaparlamentet, rådet och kommissionen om import av stålprodukter från Ryssland </w:t>
      </w:r>
    </w:p>
    <w:p w14:paraId="7DBC43E3" w14:textId="77777777" w:rsidR="00CE4124" w:rsidRPr="00A21AC6" w:rsidRDefault="00CE4124" w:rsidP="00CE4124">
      <w:pPr>
        <w:widowControl/>
        <w:spacing w:after="240"/>
        <w:rPr>
          <w:szCs w:val="24"/>
        </w:rPr>
      </w:pPr>
      <w:r w:rsidRPr="00A21AC6">
        <w:rPr>
          <w:szCs w:val="24"/>
        </w:rPr>
        <w:t>Sedan krigets början har unionen och dess medlemsstater vidtagit åtgärder utan tidigare motstycke för att minska det ekonomiska beroendet av Ryssland och för att unionens ekonomiska verksamhet inte ska bidra till Rysslands krigföring.</w:t>
      </w:r>
    </w:p>
    <w:p w14:paraId="3A85621D" w14:textId="77777777" w:rsidR="00CE4124" w:rsidRPr="00A21AC6" w:rsidRDefault="00CE4124" w:rsidP="00CE4124">
      <w:pPr>
        <w:widowControl/>
        <w:spacing w:after="240"/>
        <w:rPr>
          <w:szCs w:val="24"/>
        </w:rPr>
      </w:pPr>
      <w:r w:rsidRPr="00A21AC6">
        <w:rPr>
          <w:szCs w:val="24"/>
        </w:rPr>
        <w:t xml:space="preserve">Dessa åtgärder har avsevärt minskat handelsflödena i en rad olika sektorer, däribland stålsektorn. De har påskyndat frikopplingen och bidragit till unionens </w:t>
      </w:r>
      <w:proofErr w:type="spellStart"/>
      <w:r w:rsidRPr="00A21AC6">
        <w:rPr>
          <w:szCs w:val="24"/>
        </w:rPr>
        <w:t>resiliens</w:t>
      </w:r>
      <w:proofErr w:type="spellEnd"/>
      <w:r w:rsidRPr="00A21AC6">
        <w:rPr>
          <w:szCs w:val="24"/>
        </w:rPr>
        <w:t>, samtidigt som de också är ett bevis på unionens förmåga att agera på ett enat och beslutsamt sätt när dess värden och strategiska intressen står på spel.</w:t>
      </w:r>
    </w:p>
    <w:p w14:paraId="2A11B5BF" w14:textId="77777777" w:rsidR="00CE4124" w:rsidRPr="00A21AC6" w:rsidRDefault="00CE4124" w:rsidP="00CE4124">
      <w:pPr>
        <w:widowControl/>
        <w:spacing w:after="240"/>
        <w:rPr>
          <w:szCs w:val="24"/>
        </w:rPr>
      </w:pPr>
      <w:r w:rsidRPr="00A21AC6">
        <w:rPr>
          <w:szCs w:val="24"/>
        </w:rPr>
        <w:t>Samtidigt måste unionen fortsatt vara uppmärksam på områden där beroenden kvarstår, särskilt när det gäller vissa stålprodukter som det ännu inte är helt förbjudet att importera.</w:t>
      </w:r>
    </w:p>
    <w:p w14:paraId="0476379B" w14:textId="77777777" w:rsidR="00CE4124" w:rsidRPr="00A21AC6" w:rsidRDefault="00CE4124" w:rsidP="00CE4124">
      <w:pPr>
        <w:widowControl/>
        <w:spacing w:after="240"/>
        <w:rPr>
          <w:szCs w:val="24"/>
        </w:rPr>
      </w:pPr>
      <w:r w:rsidRPr="00A21AC6">
        <w:rPr>
          <w:szCs w:val="24"/>
        </w:rPr>
        <w:t>Framför allt fortsätter viss begränsad import av produkter med ursprung i Ryssland inom stålsektorn till och med den 30 september 2028, i enlighet med de övergångsarrangemang som fastställs i de relevanta restriktiva åtgärder som antagits av rådet</w:t>
      </w:r>
      <w:r w:rsidRPr="00A21AC6">
        <w:rPr>
          <w:szCs w:val="24"/>
          <w:vertAlign w:val="superscript"/>
        </w:rPr>
        <w:footnoteReference w:id="1"/>
      </w:r>
      <w:r w:rsidRPr="00A21AC6">
        <w:rPr>
          <w:szCs w:val="24"/>
        </w:rPr>
        <w:t>. För att säkerställa en progressiv och stadig diversifiering begränsas denna import genom kvoter med volymer som minskar årligen.</w:t>
      </w:r>
    </w:p>
    <w:p w14:paraId="463FF945" w14:textId="2A8ED99A" w:rsidR="00CE4124" w:rsidRPr="00A21AC6" w:rsidRDefault="00CE4124" w:rsidP="00CE4124">
      <w:pPr>
        <w:spacing w:after="240"/>
      </w:pPr>
      <w:r w:rsidRPr="00A21AC6">
        <w:rPr>
          <w:szCs w:val="24"/>
        </w:rPr>
        <w:t>Europaparlamentet, rådet och kommissionen erinrar om de institutionella ramar som är tillämpliga på restriktiva åtgärder, och betonar att de relevanta restriktiva åtgärder som rådet antagit ligger till grund för en utveckling mot en fullständig utfasning av den återstående importen av ryska stålprodukter, särskilt stålämnen, senast den 30 september 2028.</w:t>
      </w:r>
    </w:p>
    <w:p w14:paraId="3975105E" w14:textId="745172B5" w:rsidR="00E365E1" w:rsidRPr="00A21AC6" w:rsidRDefault="00E365E1" w:rsidP="00080C3E">
      <w:pPr>
        <w:pStyle w:val="AmNumberTabs"/>
      </w:pPr>
    </w:p>
    <w:sectPr w:rsidR="00E365E1" w:rsidRPr="00A21AC6" w:rsidSect="00B272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3263F" w14:textId="77777777" w:rsidR="00A00B2A" w:rsidRPr="00B272A9" w:rsidRDefault="00A00B2A">
      <w:r w:rsidRPr="00B272A9">
        <w:separator/>
      </w:r>
    </w:p>
  </w:endnote>
  <w:endnote w:type="continuationSeparator" w:id="0">
    <w:p w14:paraId="20710298" w14:textId="77777777" w:rsidR="00A00B2A" w:rsidRPr="00B272A9" w:rsidRDefault="00A00B2A">
      <w:r w:rsidRPr="00B272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7A57" w14:textId="77777777" w:rsidR="00080C3E" w:rsidRPr="00EC7D6A" w:rsidRDefault="00080C3E">
    <w:pPr>
      <w:pStyle w:val="Footer1"/>
    </w:pPr>
    <w:r w:rsidRPr="00EC7D6A">
      <w:rPr>
        <w:rStyle w:val="Footer2"/>
      </w:rPr>
      <w:t>SV</w:t>
    </w:r>
    <w:r w:rsidRPr="00EC7D6A">
      <w:tab/>
    </w:r>
    <w:r w:rsidRPr="00EC7D6A">
      <w:fldChar w:fldCharType="begin"/>
    </w:r>
    <w:r w:rsidRPr="00EC7D6A">
      <w:instrText xml:space="preserve"> PAGE </w:instrText>
    </w:r>
    <w:r w:rsidRPr="00EC7D6A">
      <w:fldChar w:fldCharType="separate"/>
    </w:r>
    <w:r w:rsidRPr="00EC7D6A">
      <w:rPr>
        <w:noProof/>
      </w:rPr>
      <w:t>1</w:t>
    </w:r>
    <w:r w:rsidRPr="00EC7D6A">
      <w:fldChar w:fldCharType="end"/>
    </w:r>
    <w:r w:rsidRPr="00EC7D6A">
      <w:tab/>
    </w:r>
    <w:r w:rsidRPr="00EC7D6A">
      <w:rPr>
        <w:rStyle w:val="Footer2"/>
      </w:rPr>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08AF" w14:textId="65C7CB8D" w:rsidR="00080C3E" w:rsidRPr="002E7746" w:rsidRDefault="00080C3E" w:rsidP="00EC7D6A">
    <w:pPr>
      <w:pStyle w:val="EPFooter2"/>
      <w:rPr>
        <w:rFonts w:ascii="Times New Roman" w:hAnsi="Times New Roman" w:cs="Times New Roman"/>
        <w:b w:val="0"/>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48A1" w14:textId="77777777" w:rsidR="00080C3E" w:rsidRPr="00EC7D6A" w:rsidRDefault="00080C3E">
    <w:pPr>
      <w:pStyle w:val="Footer1"/>
    </w:pPr>
    <w:r w:rsidRPr="00EC7D6A">
      <w:rPr>
        <w:rStyle w:val="Footer2"/>
      </w:rPr>
      <w:t>SV</w:t>
    </w:r>
    <w:r w:rsidRPr="00EC7D6A">
      <w:tab/>
    </w:r>
    <w:r w:rsidRPr="00EC7D6A">
      <w:fldChar w:fldCharType="begin"/>
    </w:r>
    <w:r w:rsidRPr="00EC7D6A">
      <w:instrText xml:space="preserve"> PAGE </w:instrText>
    </w:r>
    <w:r w:rsidRPr="00EC7D6A">
      <w:fldChar w:fldCharType="separate"/>
    </w:r>
    <w:r w:rsidRPr="00EC7D6A">
      <w:rPr>
        <w:noProof/>
      </w:rPr>
      <w:t>1</w:t>
    </w:r>
    <w:r w:rsidRPr="00EC7D6A">
      <w:fldChar w:fldCharType="end"/>
    </w:r>
    <w:r w:rsidRPr="00EC7D6A">
      <w:tab/>
    </w:r>
    <w:r w:rsidRPr="00EC7D6A">
      <w:rPr>
        <w:rStyle w:val="Footer2"/>
      </w:rPr>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24730" w14:textId="77777777" w:rsidR="00A00B2A" w:rsidRPr="00B272A9" w:rsidRDefault="00A00B2A">
      <w:r w:rsidRPr="00B272A9">
        <w:separator/>
      </w:r>
    </w:p>
  </w:footnote>
  <w:footnote w:type="continuationSeparator" w:id="0">
    <w:p w14:paraId="7746FAA2" w14:textId="77777777" w:rsidR="00A00B2A" w:rsidRPr="00B272A9" w:rsidRDefault="00A00B2A">
      <w:r w:rsidRPr="00B272A9">
        <w:continuationSeparator/>
      </w:r>
    </w:p>
  </w:footnote>
  <w:footnote w:id="1">
    <w:p w14:paraId="1F4A9C3E" w14:textId="7F33704C" w:rsidR="00CE4124" w:rsidRPr="002E7746" w:rsidRDefault="00CE4124" w:rsidP="00CE4124">
      <w:pPr>
        <w:pStyle w:val="FootnoteText"/>
        <w:ind w:left="851" w:hanging="851"/>
        <w:rPr>
          <w:sz w:val="24"/>
          <w:szCs w:val="24"/>
          <w:lang w:val="sv-SE"/>
        </w:rPr>
      </w:pPr>
      <w:r w:rsidRPr="00AE3F12">
        <w:rPr>
          <w:rStyle w:val="FootnoteReference"/>
          <w:sz w:val="24"/>
          <w:szCs w:val="24"/>
        </w:rPr>
        <w:footnoteRef/>
      </w:r>
      <w:r w:rsidRPr="002E7746">
        <w:rPr>
          <w:sz w:val="24"/>
          <w:szCs w:val="24"/>
          <w:lang w:val="sv-SE"/>
        </w:rPr>
        <w:t xml:space="preserve"> </w:t>
      </w:r>
      <w:r w:rsidRPr="002E7746">
        <w:rPr>
          <w:sz w:val="24"/>
          <w:szCs w:val="24"/>
          <w:lang w:val="sv-SE"/>
        </w:rPr>
        <w:tab/>
        <w:t>Rådets beslut 2014/512/</w:t>
      </w:r>
      <w:proofErr w:type="spellStart"/>
      <w:r w:rsidRPr="002E7746">
        <w:rPr>
          <w:sz w:val="24"/>
          <w:szCs w:val="24"/>
          <w:lang w:val="sv-SE"/>
        </w:rPr>
        <w:t>Gusp</w:t>
      </w:r>
      <w:proofErr w:type="spellEnd"/>
      <w:r w:rsidRPr="002E7746">
        <w:rPr>
          <w:sz w:val="24"/>
          <w:szCs w:val="24"/>
          <w:lang w:val="sv-SE"/>
        </w:rPr>
        <w:t xml:space="preserve"> av den 31 juli 2014 om restriktiva åtgärder med hänsyn till Rysslands åtgärder som destabiliserar situationen i Ukraina </w:t>
      </w:r>
      <w:r w:rsidR="00995CA8" w:rsidRPr="00995CA8">
        <w:rPr>
          <w:sz w:val="24"/>
          <w:szCs w:val="24"/>
          <w:lang w:val="sv-SE"/>
        </w:rPr>
        <w:t>(</w:t>
      </w:r>
      <w:r w:rsidR="00995CA8">
        <w:rPr>
          <w:sz w:val="24"/>
          <w:szCs w:val="24"/>
          <w:lang w:val="sv-SE"/>
        </w:rPr>
        <w:t>EUT</w:t>
      </w:r>
      <w:r w:rsidR="00995CA8" w:rsidRPr="00995CA8">
        <w:rPr>
          <w:sz w:val="24"/>
          <w:szCs w:val="24"/>
          <w:lang w:val="sv-SE"/>
        </w:rPr>
        <w:t xml:space="preserve"> L 229, 31.7.2014, </w:t>
      </w:r>
      <w:r w:rsidR="00995CA8">
        <w:rPr>
          <w:sz w:val="24"/>
          <w:szCs w:val="24"/>
          <w:lang w:val="sv-SE"/>
        </w:rPr>
        <w:t>s</w:t>
      </w:r>
      <w:r w:rsidR="00995CA8" w:rsidRPr="00995CA8">
        <w:rPr>
          <w:sz w:val="24"/>
          <w:szCs w:val="24"/>
          <w:lang w:val="sv-SE"/>
        </w:rPr>
        <w:t xml:space="preserve">. 13, ELI: </w:t>
      </w:r>
      <w:hyperlink r:id="rId1" w:history="1">
        <w:r w:rsidR="00995CA8" w:rsidRPr="001435C8">
          <w:rPr>
            <w:rStyle w:val="Hyperlink"/>
            <w:sz w:val="24"/>
            <w:szCs w:val="24"/>
            <w:lang w:val="sv-SE"/>
          </w:rPr>
          <w:t>http://data.europa.eu/eli/dec/2014/512/oj</w:t>
        </w:r>
      </w:hyperlink>
      <w:r w:rsidR="00995CA8" w:rsidRPr="00995CA8">
        <w:rPr>
          <w:sz w:val="24"/>
          <w:szCs w:val="24"/>
          <w:lang w:val="sv-SE"/>
        </w:rPr>
        <w:t>)</w:t>
      </w:r>
      <w:r w:rsidR="00995CA8">
        <w:rPr>
          <w:sz w:val="24"/>
          <w:szCs w:val="24"/>
          <w:lang w:val="sv-SE"/>
        </w:rPr>
        <w:t xml:space="preserve"> </w:t>
      </w:r>
      <w:r w:rsidRPr="002E7746">
        <w:rPr>
          <w:sz w:val="24"/>
          <w:szCs w:val="24"/>
          <w:lang w:val="sv-SE"/>
        </w:rPr>
        <w:t>och rådets förordning (EU) nr 833/2014 av den 31 juli 2014 om restriktiva åtgärder mot bakgrund av Rysslands åtgärder som destabiliserar situationen i Ukraina</w:t>
      </w:r>
      <w:r w:rsidR="00995CA8">
        <w:rPr>
          <w:sz w:val="24"/>
          <w:szCs w:val="24"/>
          <w:lang w:val="sv-SE"/>
        </w:rPr>
        <w:t xml:space="preserve"> </w:t>
      </w:r>
      <w:r w:rsidR="00995CA8" w:rsidRPr="00995CA8">
        <w:rPr>
          <w:sz w:val="24"/>
          <w:szCs w:val="24"/>
          <w:lang w:val="sv-SE"/>
        </w:rPr>
        <w:t>(</w:t>
      </w:r>
      <w:r w:rsidR="00995CA8">
        <w:rPr>
          <w:sz w:val="24"/>
          <w:szCs w:val="24"/>
          <w:lang w:val="sv-SE"/>
        </w:rPr>
        <w:t>EUT</w:t>
      </w:r>
      <w:r w:rsidR="00995CA8" w:rsidRPr="00995CA8">
        <w:rPr>
          <w:sz w:val="24"/>
          <w:szCs w:val="24"/>
          <w:lang w:val="sv-SE"/>
        </w:rPr>
        <w:t xml:space="preserve"> L 229, 31.7.2014, </w:t>
      </w:r>
      <w:r w:rsidR="00995CA8">
        <w:rPr>
          <w:sz w:val="24"/>
          <w:szCs w:val="24"/>
          <w:lang w:val="sv-SE"/>
        </w:rPr>
        <w:t>s</w:t>
      </w:r>
      <w:r w:rsidR="00995CA8" w:rsidRPr="00995CA8">
        <w:rPr>
          <w:sz w:val="24"/>
          <w:szCs w:val="24"/>
          <w:lang w:val="sv-SE"/>
        </w:rPr>
        <w:t xml:space="preserve">. 1, ELI: </w:t>
      </w:r>
      <w:hyperlink r:id="rId2" w:history="1">
        <w:r w:rsidR="00995CA8" w:rsidRPr="00C109CA">
          <w:rPr>
            <w:rStyle w:val="Hyperlink"/>
            <w:sz w:val="24"/>
            <w:szCs w:val="24"/>
            <w:lang w:val="sv-SE"/>
          </w:rPr>
          <w:t>http://data.europa.eu/eli/reg/2014/833/oj</w:t>
        </w:r>
      </w:hyperlink>
      <w:r w:rsidR="00995CA8" w:rsidRPr="00995CA8">
        <w:rPr>
          <w:sz w:val="24"/>
          <w:szCs w:val="24"/>
          <w:lang w:val="sv-SE"/>
        </w:rPr>
        <w:t>)</w:t>
      </w:r>
      <w:r w:rsidRPr="002E7746">
        <w:rPr>
          <w:sz w:val="24"/>
          <w:szCs w:val="24"/>
          <w:lang w:val="sv-S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5A5721"/>
    <w:multiLevelType w:val="hybridMultilevel"/>
    <w:tmpl w:val="C480F63A"/>
    <w:lvl w:ilvl="0" w:tplc="543E34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C77951"/>
    <w:multiLevelType w:val="hybridMultilevel"/>
    <w:tmpl w:val="CF046FD2"/>
    <w:lvl w:ilvl="0" w:tplc="0FFCA6B2">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6D6436BC">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333CE4FA">
      <w:numFmt w:val="bullet"/>
      <w:lvlText w:val="•"/>
      <w:lvlJc w:val="left"/>
      <w:pPr>
        <w:ind w:left="2402" w:hanging="567"/>
      </w:pPr>
      <w:rPr>
        <w:lang w:val="en-US" w:eastAsia="en-US" w:bidi="ar-SA"/>
      </w:rPr>
    </w:lvl>
    <w:lvl w:ilvl="3" w:tplc="E99CA8DC">
      <w:numFmt w:val="bullet"/>
      <w:lvlText w:val="•"/>
      <w:lvlJc w:val="left"/>
      <w:pPr>
        <w:ind w:left="3265" w:hanging="567"/>
      </w:pPr>
      <w:rPr>
        <w:lang w:val="en-US" w:eastAsia="en-US" w:bidi="ar-SA"/>
      </w:rPr>
    </w:lvl>
    <w:lvl w:ilvl="4" w:tplc="9B6E61AC">
      <w:numFmt w:val="bullet"/>
      <w:lvlText w:val="•"/>
      <w:lvlJc w:val="left"/>
      <w:pPr>
        <w:ind w:left="4128" w:hanging="567"/>
      </w:pPr>
      <w:rPr>
        <w:lang w:val="en-US" w:eastAsia="en-US" w:bidi="ar-SA"/>
      </w:rPr>
    </w:lvl>
    <w:lvl w:ilvl="5" w:tplc="6180FC42">
      <w:numFmt w:val="bullet"/>
      <w:lvlText w:val="•"/>
      <w:lvlJc w:val="left"/>
      <w:pPr>
        <w:ind w:left="4991" w:hanging="567"/>
      </w:pPr>
      <w:rPr>
        <w:lang w:val="en-US" w:eastAsia="en-US" w:bidi="ar-SA"/>
      </w:rPr>
    </w:lvl>
    <w:lvl w:ilvl="6" w:tplc="29843604">
      <w:numFmt w:val="bullet"/>
      <w:lvlText w:val="•"/>
      <w:lvlJc w:val="left"/>
      <w:pPr>
        <w:ind w:left="5854" w:hanging="567"/>
      </w:pPr>
      <w:rPr>
        <w:lang w:val="en-US" w:eastAsia="en-US" w:bidi="ar-SA"/>
      </w:rPr>
    </w:lvl>
    <w:lvl w:ilvl="7" w:tplc="9BB6033E">
      <w:numFmt w:val="bullet"/>
      <w:lvlText w:val="•"/>
      <w:lvlJc w:val="left"/>
      <w:pPr>
        <w:ind w:left="6717" w:hanging="567"/>
      </w:pPr>
      <w:rPr>
        <w:lang w:val="en-US" w:eastAsia="en-US" w:bidi="ar-SA"/>
      </w:rPr>
    </w:lvl>
    <w:lvl w:ilvl="8" w:tplc="AE6CFA44">
      <w:numFmt w:val="bullet"/>
      <w:lvlText w:val="•"/>
      <w:lvlJc w:val="left"/>
      <w:pPr>
        <w:ind w:left="7580" w:hanging="567"/>
      </w:pPr>
      <w:rPr>
        <w:lang w:val="en-US" w:eastAsia="en-US" w:bidi="ar-SA"/>
      </w:rPr>
    </w:lvl>
  </w:abstractNum>
  <w:abstractNum w:abstractNumId="14" w15:restartNumberingAfterBreak="0">
    <w:nsid w:val="4D3C337A"/>
    <w:multiLevelType w:val="hybridMultilevel"/>
    <w:tmpl w:val="F398A9F8"/>
    <w:lvl w:ilvl="0" w:tplc="1D84C3F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58BA367A">
      <w:numFmt w:val="bullet"/>
      <w:lvlText w:val="•"/>
      <w:lvlJc w:val="left"/>
      <w:pPr>
        <w:ind w:left="1794" w:hanging="850"/>
      </w:pPr>
      <w:rPr>
        <w:lang w:val="en-US" w:eastAsia="en-US" w:bidi="ar-SA"/>
      </w:rPr>
    </w:lvl>
    <w:lvl w:ilvl="2" w:tplc="3090638C">
      <w:numFmt w:val="bullet"/>
      <w:lvlText w:val="•"/>
      <w:lvlJc w:val="left"/>
      <w:pPr>
        <w:ind w:left="2629" w:hanging="850"/>
      </w:pPr>
      <w:rPr>
        <w:lang w:val="en-US" w:eastAsia="en-US" w:bidi="ar-SA"/>
      </w:rPr>
    </w:lvl>
    <w:lvl w:ilvl="3" w:tplc="709442F6">
      <w:numFmt w:val="bullet"/>
      <w:lvlText w:val="•"/>
      <w:lvlJc w:val="left"/>
      <w:pPr>
        <w:ind w:left="3463" w:hanging="850"/>
      </w:pPr>
      <w:rPr>
        <w:lang w:val="en-US" w:eastAsia="en-US" w:bidi="ar-SA"/>
      </w:rPr>
    </w:lvl>
    <w:lvl w:ilvl="4" w:tplc="5E2A0716">
      <w:numFmt w:val="bullet"/>
      <w:lvlText w:val="•"/>
      <w:lvlJc w:val="left"/>
      <w:pPr>
        <w:ind w:left="4298" w:hanging="850"/>
      </w:pPr>
      <w:rPr>
        <w:lang w:val="en-US" w:eastAsia="en-US" w:bidi="ar-SA"/>
      </w:rPr>
    </w:lvl>
    <w:lvl w:ilvl="5" w:tplc="0F4E7B62">
      <w:numFmt w:val="bullet"/>
      <w:lvlText w:val="•"/>
      <w:lvlJc w:val="left"/>
      <w:pPr>
        <w:ind w:left="5133" w:hanging="850"/>
      </w:pPr>
      <w:rPr>
        <w:lang w:val="en-US" w:eastAsia="en-US" w:bidi="ar-SA"/>
      </w:rPr>
    </w:lvl>
    <w:lvl w:ilvl="6" w:tplc="BC663FC6">
      <w:numFmt w:val="bullet"/>
      <w:lvlText w:val="•"/>
      <w:lvlJc w:val="left"/>
      <w:pPr>
        <w:ind w:left="5967" w:hanging="850"/>
      </w:pPr>
      <w:rPr>
        <w:lang w:val="en-US" w:eastAsia="en-US" w:bidi="ar-SA"/>
      </w:rPr>
    </w:lvl>
    <w:lvl w:ilvl="7" w:tplc="180E4590">
      <w:numFmt w:val="bullet"/>
      <w:lvlText w:val="•"/>
      <w:lvlJc w:val="left"/>
      <w:pPr>
        <w:ind w:left="6802" w:hanging="850"/>
      </w:pPr>
      <w:rPr>
        <w:lang w:val="en-US" w:eastAsia="en-US" w:bidi="ar-SA"/>
      </w:rPr>
    </w:lvl>
    <w:lvl w:ilvl="8" w:tplc="0FC448A2">
      <w:numFmt w:val="bullet"/>
      <w:lvlText w:val="•"/>
      <w:lvlJc w:val="left"/>
      <w:pPr>
        <w:ind w:left="7637" w:hanging="850"/>
      </w:pPr>
      <w:rPr>
        <w:lang w:val="en-US" w:eastAsia="en-US" w:bidi="ar-SA"/>
      </w:rPr>
    </w:lvl>
  </w:abstractNum>
  <w:abstractNum w:abstractNumId="15" w15:restartNumberingAfterBreak="0">
    <w:nsid w:val="60B67A4F"/>
    <w:multiLevelType w:val="hybridMultilevel"/>
    <w:tmpl w:val="F996A700"/>
    <w:lvl w:ilvl="0" w:tplc="3D6A71C0">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2F9E0C2E">
      <w:numFmt w:val="bullet"/>
      <w:lvlText w:val="•"/>
      <w:lvlJc w:val="left"/>
      <w:pPr>
        <w:ind w:left="1668" w:hanging="708"/>
      </w:pPr>
      <w:rPr>
        <w:lang w:val="en-US" w:eastAsia="en-US" w:bidi="ar-SA"/>
      </w:rPr>
    </w:lvl>
    <w:lvl w:ilvl="2" w:tplc="C27A508C">
      <w:numFmt w:val="bullet"/>
      <w:lvlText w:val="•"/>
      <w:lvlJc w:val="left"/>
      <w:pPr>
        <w:ind w:left="2517" w:hanging="708"/>
      </w:pPr>
      <w:rPr>
        <w:lang w:val="en-US" w:eastAsia="en-US" w:bidi="ar-SA"/>
      </w:rPr>
    </w:lvl>
    <w:lvl w:ilvl="3" w:tplc="5D060262">
      <w:numFmt w:val="bullet"/>
      <w:lvlText w:val="•"/>
      <w:lvlJc w:val="left"/>
      <w:pPr>
        <w:ind w:left="3365" w:hanging="708"/>
      </w:pPr>
      <w:rPr>
        <w:lang w:val="en-US" w:eastAsia="en-US" w:bidi="ar-SA"/>
      </w:rPr>
    </w:lvl>
    <w:lvl w:ilvl="4" w:tplc="E746EEB6">
      <w:numFmt w:val="bullet"/>
      <w:lvlText w:val="•"/>
      <w:lvlJc w:val="left"/>
      <w:pPr>
        <w:ind w:left="4214" w:hanging="708"/>
      </w:pPr>
      <w:rPr>
        <w:lang w:val="en-US" w:eastAsia="en-US" w:bidi="ar-SA"/>
      </w:rPr>
    </w:lvl>
    <w:lvl w:ilvl="5" w:tplc="62AE4BE2">
      <w:numFmt w:val="bullet"/>
      <w:lvlText w:val="•"/>
      <w:lvlJc w:val="left"/>
      <w:pPr>
        <w:ind w:left="5063" w:hanging="708"/>
      </w:pPr>
      <w:rPr>
        <w:lang w:val="en-US" w:eastAsia="en-US" w:bidi="ar-SA"/>
      </w:rPr>
    </w:lvl>
    <w:lvl w:ilvl="6" w:tplc="7E061828">
      <w:numFmt w:val="bullet"/>
      <w:lvlText w:val="•"/>
      <w:lvlJc w:val="left"/>
      <w:pPr>
        <w:ind w:left="5911" w:hanging="708"/>
      </w:pPr>
      <w:rPr>
        <w:lang w:val="en-US" w:eastAsia="en-US" w:bidi="ar-SA"/>
      </w:rPr>
    </w:lvl>
    <w:lvl w:ilvl="7" w:tplc="072463C4">
      <w:numFmt w:val="bullet"/>
      <w:lvlText w:val="•"/>
      <w:lvlJc w:val="left"/>
      <w:pPr>
        <w:ind w:left="6760" w:hanging="708"/>
      </w:pPr>
      <w:rPr>
        <w:lang w:val="en-US" w:eastAsia="en-US" w:bidi="ar-SA"/>
      </w:rPr>
    </w:lvl>
    <w:lvl w:ilvl="8" w:tplc="C9B244A6">
      <w:numFmt w:val="bullet"/>
      <w:lvlText w:val="•"/>
      <w:lvlJc w:val="left"/>
      <w:pPr>
        <w:ind w:left="7609" w:hanging="708"/>
      </w:pPr>
      <w:rPr>
        <w:lang w:val="en-US" w:eastAsia="en-US" w:bidi="ar-SA"/>
      </w:rPr>
    </w:lvl>
  </w:abstractNum>
  <w:abstractNum w:abstractNumId="16" w15:restartNumberingAfterBreak="0">
    <w:nsid w:val="66D377C0"/>
    <w:multiLevelType w:val="hybridMultilevel"/>
    <w:tmpl w:val="898671CA"/>
    <w:lvl w:ilvl="0" w:tplc="DBDAB7F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1444F254">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0510B88E">
      <w:numFmt w:val="bullet"/>
      <w:lvlText w:val="•"/>
      <w:lvlJc w:val="left"/>
      <w:pPr>
        <w:ind w:left="2402" w:hanging="567"/>
      </w:pPr>
      <w:rPr>
        <w:lang w:val="en-US" w:eastAsia="en-US" w:bidi="ar-SA"/>
      </w:rPr>
    </w:lvl>
    <w:lvl w:ilvl="3" w:tplc="9DFEA790">
      <w:numFmt w:val="bullet"/>
      <w:lvlText w:val="•"/>
      <w:lvlJc w:val="left"/>
      <w:pPr>
        <w:ind w:left="3265" w:hanging="567"/>
      </w:pPr>
      <w:rPr>
        <w:lang w:val="en-US" w:eastAsia="en-US" w:bidi="ar-SA"/>
      </w:rPr>
    </w:lvl>
    <w:lvl w:ilvl="4" w:tplc="E90888E4">
      <w:numFmt w:val="bullet"/>
      <w:lvlText w:val="•"/>
      <w:lvlJc w:val="left"/>
      <w:pPr>
        <w:ind w:left="4128" w:hanging="567"/>
      </w:pPr>
      <w:rPr>
        <w:lang w:val="en-US" w:eastAsia="en-US" w:bidi="ar-SA"/>
      </w:rPr>
    </w:lvl>
    <w:lvl w:ilvl="5" w:tplc="F67A6532">
      <w:numFmt w:val="bullet"/>
      <w:lvlText w:val="•"/>
      <w:lvlJc w:val="left"/>
      <w:pPr>
        <w:ind w:left="4991" w:hanging="567"/>
      </w:pPr>
      <w:rPr>
        <w:lang w:val="en-US" w:eastAsia="en-US" w:bidi="ar-SA"/>
      </w:rPr>
    </w:lvl>
    <w:lvl w:ilvl="6" w:tplc="8A58CD70">
      <w:numFmt w:val="bullet"/>
      <w:lvlText w:val="•"/>
      <w:lvlJc w:val="left"/>
      <w:pPr>
        <w:ind w:left="5854" w:hanging="567"/>
      </w:pPr>
      <w:rPr>
        <w:lang w:val="en-US" w:eastAsia="en-US" w:bidi="ar-SA"/>
      </w:rPr>
    </w:lvl>
    <w:lvl w:ilvl="7" w:tplc="E9366B76">
      <w:numFmt w:val="bullet"/>
      <w:lvlText w:val="•"/>
      <w:lvlJc w:val="left"/>
      <w:pPr>
        <w:ind w:left="6717" w:hanging="567"/>
      </w:pPr>
      <w:rPr>
        <w:lang w:val="en-US" w:eastAsia="en-US" w:bidi="ar-SA"/>
      </w:rPr>
    </w:lvl>
    <w:lvl w:ilvl="8" w:tplc="F59293FC">
      <w:numFmt w:val="bullet"/>
      <w:lvlText w:val="•"/>
      <w:lvlJc w:val="left"/>
      <w:pPr>
        <w:ind w:left="7580" w:hanging="567"/>
      </w:pPr>
      <w:rPr>
        <w:lang w:val="en-US" w:eastAsia="en-US" w:bidi="ar-SA"/>
      </w:rPr>
    </w:lvl>
  </w:abstractNum>
  <w:num w:numId="1" w16cid:durableId="104427599">
    <w:abstractNumId w:val="9"/>
  </w:num>
  <w:num w:numId="2" w16cid:durableId="388649122">
    <w:abstractNumId w:val="9"/>
  </w:num>
  <w:num w:numId="3" w16cid:durableId="1660962552">
    <w:abstractNumId w:val="7"/>
  </w:num>
  <w:num w:numId="4" w16cid:durableId="636035584">
    <w:abstractNumId w:val="7"/>
  </w:num>
  <w:num w:numId="5" w16cid:durableId="1882745371">
    <w:abstractNumId w:val="6"/>
  </w:num>
  <w:num w:numId="6" w16cid:durableId="608781252">
    <w:abstractNumId w:val="6"/>
  </w:num>
  <w:num w:numId="7" w16cid:durableId="695665235">
    <w:abstractNumId w:val="5"/>
  </w:num>
  <w:num w:numId="8" w16cid:durableId="750156057">
    <w:abstractNumId w:val="5"/>
  </w:num>
  <w:num w:numId="9" w16cid:durableId="726606468">
    <w:abstractNumId w:val="4"/>
  </w:num>
  <w:num w:numId="10" w16cid:durableId="297228141">
    <w:abstractNumId w:val="4"/>
  </w:num>
  <w:num w:numId="11" w16cid:durableId="1386564328">
    <w:abstractNumId w:val="8"/>
  </w:num>
  <w:num w:numId="12" w16cid:durableId="152599933">
    <w:abstractNumId w:val="8"/>
  </w:num>
  <w:num w:numId="13" w16cid:durableId="726341475">
    <w:abstractNumId w:val="3"/>
  </w:num>
  <w:num w:numId="14" w16cid:durableId="2127698678">
    <w:abstractNumId w:val="3"/>
  </w:num>
  <w:num w:numId="15" w16cid:durableId="747309205">
    <w:abstractNumId w:val="2"/>
  </w:num>
  <w:num w:numId="16" w16cid:durableId="983972768">
    <w:abstractNumId w:val="2"/>
  </w:num>
  <w:num w:numId="17" w16cid:durableId="718171687">
    <w:abstractNumId w:val="1"/>
  </w:num>
  <w:num w:numId="18" w16cid:durableId="37167747">
    <w:abstractNumId w:val="1"/>
  </w:num>
  <w:num w:numId="19" w16cid:durableId="1121341238">
    <w:abstractNumId w:val="0"/>
  </w:num>
  <w:num w:numId="20" w16cid:durableId="612714990">
    <w:abstractNumId w:val="0"/>
  </w:num>
  <w:num w:numId="21" w16cid:durableId="1799911773">
    <w:abstractNumId w:val="9"/>
  </w:num>
  <w:num w:numId="22" w16cid:durableId="984891890">
    <w:abstractNumId w:val="7"/>
  </w:num>
  <w:num w:numId="23" w16cid:durableId="1168593064">
    <w:abstractNumId w:val="6"/>
  </w:num>
  <w:num w:numId="24" w16cid:durableId="429467229">
    <w:abstractNumId w:val="5"/>
  </w:num>
  <w:num w:numId="25" w16cid:durableId="1382098479">
    <w:abstractNumId w:val="4"/>
  </w:num>
  <w:num w:numId="26" w16cid:durableId="2111704898">
    <w:abstractNumId w:val="8"/>
  </w:num>
  <w:num w:numId="27" w16cid:durableId="1983995400">
    <w:abstractNumId w:val="3"/>
  </w:num>
  <w:num w:numId="28" w16cid:durableId="677200827">
    <w:abstractNumId w:val="2"/>
  </w:num>
  <w:num w:numId="29" w16cid:durableId="1961838558">
    <w:abstractNumId w:val="1"/>
  </w:num>
  <w:num w:numId="30" w16cid:durableId="205455446">
    <w:abstractNumId w:val="0"/>
  </w:num>
  <w:num w:numId="31" w16cid:durableId="818422034">
    <w:abstractNumId w:val="9"/>
  </w:num>
  <w:num w:numId="32" w16cid:durableId="379090717">
    <w:abstractNumId w:val="7"/>
  </w:num>
  <w:num w:numId="33" w16cid:durableId="425924634">
    <w:abstractNumId w:val="6"/>
  </w:num>
  <w:num w:numId="34" w16cid:durableId="412241043">
    <w:abstractNumId w:val="5"/>
  </w:num>
  <w:num w:numId="35" w16cid:durableId="1607152397">
    <w:abstractNumId w:val="4"/>
  </w:num>
  <w:num w:numId="36" w16cid:durableId="2070298928">
    <w:abstractNumId w:val="8"/>
  </w:num>
  <w:num w:numId="37" w16cid:durableId="1932658596">
    <w:abstractNumId w:val="3"/>
  </w:num>
  <w:num w:numId="38" w16cid:durableId="440760478">
    <w:abstractNumId w:val="2"/>
  </w:num>
  <w:num w:numId="39" w16cid:durableId="644239093">
    <w:abstractNumId w:val="1"/>
  </w:num>
  <w:num w:numId="40" w16cid:durableId="1453479464">
    <w:abstractNumId w:val="0"/>
  </w:num>
  <w:num w:numId="41" w16cid:durableId="82647203">
    <w:abstractNumId w:val="10"/>
  </w:num>
  <w:num w:numId="42" w16cid:durableId="186450801">
    <w:abstractNumId w:val="10"/>
  </w:num>
  <w:num w:numId="43" w16cid:durableId="104203550">
    <w:abstractNumId w:val="10"/>
  </w:num>
  <w:num w:numId="44" w16cid:durableId="2129423406">
    <w:abstractNumId w:val="12"/>
  </w:num>
  <w:num w:numId="45" w16cid:durableId="17762319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4"/>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5"/>
    <w:lvlOverride w:ilvl="0">
      <w:startOverride w:val="1"/>
    </w:lvlOverride>
    <w:lvlOverride w:ilvl="1"/>
    <w:lvlOverride w:ilvl="2"/>
    <w:lvlOverride w:ilvl="3"/>
    <w:lvlOverride w:ilvl="4"/>
    <w:lvlOverride w:ilvl="5"/>
    <w:lvlOverride w:ilvl="6"/>
    <w:lvlOverride w:ilvl="7"/>
    <w:lvlOverride w:ilvl="8"/>
  </w:num>
  <w:num w:numId="49" w16cid:durableId="146676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SV"/>
    <w:docVar w:name="dvnumam" w:val="88"/>
    <w:docVar w:name="dvpe" w:val="779.727"/>
    <w:docVar w:name="dvrapporteur" w:val="Föredragande: "/>
    <w:docVar w:name="dvstar" w:val="***I"/>
    <w:docVar w:name="dvtitre" w:val="Europaparlamentets lagstiftningsresolution av den xx xx 2026 om förslaget till Europaparlamentets och rådets förordning om hantering av de negativa handelsrelaterade effekterna av global överkapacitet på unionens stålmarknad(COM(2025)0726 – C10-0245/2025 – 2025/0726(COD))"/>
  </w:docVars>
  <w:rsids>
    <w:rsidRoot w:val="00A00B2A"/>
    <w:rsid w:val="00002272"/>
    <w:rsid w:val="00010478"/>
    <w:rsid w:val="00064002"/>
    <w:rsid w:val="000677B9"/>
    <w:rsid w:val="00080C3E"/>
    <w:rsid w:val="000831BA"/>
    <w:rsid w:val="000A42CC"/>
    <w:rsid w:val="000B229E"/>
    <w:rsid w:val="000E7DD9"/>
    <w:rsid w:val="0010095E"/>
    <w:rsid w:val="00125B37"/>
    <w:rsid w:val="00176F76"/>
    <w:rsid w:val="00187494"/>
    <w:rsid w:val="001F32AE"/>
    <w:rsid w:val="002767FF"/>
    <w:rsid w:val="002B18FE"/>
    <w:rsid w:val="002B5493"/>
    <w:rsid w:val="002E7746"/>
    <w:rsid w:val="00343214"/>
    <w:rsid w:val="00361C00"/>
    <w:rsid w:val="00395FA1"/>
    <w:rsid w:val="003E15D4"/>
    <w:rsid w:val="00411CCE"/>
    <w:rsid w:val="0041666E"/>
    <w:rsid w:val="00421060"/>
    <w:rsid w:val="00471C19"/>
    <w:rsid w:val="004867E3"/>
    <w:rsid w:val="00494A28"/>
    <w:rsid w:val="004A4C92"/>
    <w:rsid w:val="004C0004"/>
    <w:rsid w:val="004C5D52"/>
    <w:rsid w:val="0050519A"/>
    <w:rsid w:val="005072A1"/>
    <w:rsid w:val="00514517"/>
    <w:rsid w:val="005454E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5AF"/>
    <w:rsid w:val="008B7490"/>
    <w:rsid w:val="008C2AC6"/>
    <w:rsid w:val="00930C23"/>
    <w:rsid w:val="0093193B"/>
    <w:rsid w:val="00945094"/>
    <w:rsid w:val="009509D8"/>
    <w:rsid w:val="00950B64"/>
    <w:rsid w:val="00981893"/>
    <w:rsid w:val="00995CA8"/>
    <w:rsid w:val="009E42D0"/>
    <w:rsid w:val="00A00B2A"/>
    <w:rsid w:val="00A1687D"/>
    <w:rsid w:val="00A21AC6"/>
    <w:rsid w:val="00A43E52"/>
    <w:rsid w:val="00A4678D"/>
    <w:rsid w:val="00A778C7"/>
    <w:rsid w:val="00AB441E"/>
    <w:rsid w:val="00AB6293"/>
    <w:rsid w:val="00AE0928"/>
    <w:rsid w:val="00AF3B82"/>
    <w:rsid w:val="00B12E95"/>
    <w:rsid w:val="00B22876"/>
    <w:rsid w:val="00B272A9"/>
    <w:rsid w:val="00B50353"/>
    <w:rsid w:val="00B558F0"/>
    <w:rsid w:val="00BD48FE"/>
    <w:rsid w:val="00BD7BD8"/>
    <w:rsid w:val="00BE6ADC"/>
    <w:rsid w:val="00C05BFE"/>
    <w:rsid w:val="00C109CA"/>
    <w:rsid w:val="00C23CD4"/>
    <w:rsid w:val="00C61C0C"/>
    <w:rsid w:val="00C93B97"/>
    <w:rsid w:val="00C941CB"/>
    <w:rsid w:val="00CC2357"/>
    <w:rsid w:val="00CE4124"/>
    <w:rsid w:val="00CF071A"/>
    <w:rsid w:val="00D02009"/>
    <w:rsid w:val="00D058B8"/>
    <w:rsid w:val="00D3691B"/>
    <w:rsid w:val="00D56C11"/>
    <w:rsid w:val="00D834A0"/>
    <w:rsid w:val="00D872DF"/>
    <w:rsid w:val="00D91E21"/>
    <w:rsid w:val="00DA7FCD"/>
    <w:rsid w:val="00E365E1"/>
    <w:rsid w:val="00E44715"/>
    <w:rsid w:val="00E820A4"/>
    <w:rsid w:val="00EB006A"/>
    <w:rsid w:val="00EB4772"/>
    <w:rsid w:val="00ED169E"/>
    <w:rsid w:val="00ED4235"/>
    <w:rsid w:val="00F04346"/>
    <w:rsid w:val="00F075DC"/>
    <w:rsid w:val="00F149E9"/>
    <w:rsid w:val="00F5134D"/>
    <w:rsid w:val="00F74202"/>
    <w:rsid w:val="00F861D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8A465"/>
  <w15:chartTrackingRefBased/>
  <w15:docId w15:val="{1603C144-3DC7-41CC-BC05-9A16DE86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02009"/>
    <w:rPr>
      <w:b/>
      <w:kern w:val="28"/>
      <w:sz w:val="28"/>
      <w:lang w:val="fr-FR" w:eastAsia="fr-FR"/>
    </w:rPr>
  </w:style>
  <w:style w:type="character" w:customStyle="1" w:styleId="Heading2Char">
    <w:name w:val="Heading 2 Char"/>
    <w:basedOn w:val="DefaultParagraphFont"/>
    <w:link w:val="Heading2"/>
    <w:semiHidden/>
    <w:rsid w:val="00D02009"/>
    <w:rPr>
      <w:sz w:val="24"/>
      <w:lang w:val="fr-FR" w:eastAsia="fr-FR"/>
    </w:rPr>
  </w:style>
  <w:style w:type="character" w:customStyle="1" w:styleId="Heading3Char">
    <w:name w:val="Heading 3 Char"/>
    <w:basedOn w:val="DefaultParagraphFont"/>
    <w:link w:val="Heading3"/>
    <w:semiHidden/>
    <w:rsid w:val="00D02009"/>
    <w:rPr>
      <w:rFonts w:ascii="Arial" w:hAnsi="Arial"/>
      <w:sz w:val="24"/>
      <w:lang w:val="fr-FR" w:eastAsia="fr-FR"/>
    </w:rPr>
  </w:style>
  <w:style w:type="character" w:customStyle="1" w:styleId="Heading4Char">
    <w:name w:val="Heading 4 Char"/>
    <w:basedOn w:val="DefaultParagraphFont"/>
    <w:link w:val="Heading4"/>
    <w:semiHidden/>
    <w:rsid w:val="00D02009"/>
    <w:rPr>
      <w:sz w:val="24"/>
      <w:lang w:val="en-US" w:eastAsia="fr-FR"/>
    </w:rPr>
  </w:style>
  <w:style w:type="character" w:customStyle="1" w:styleId="Heading5Char">
    <w:name w:val="Heading 5 Char"/>
    <w:basedOn w:val="DefaultParagraphFont"/>
    <w:link w:val="Heading5"/>
    <w:semiHidden/>
    <w:rsid w:val="00D02009"/>
    <w:rPr>
      <w:sz w:val="24"/>
      <w:lang w:val="en-US" w:eastAsia="fr-FR"/>
    </w:rPr>
  </w:style>
  <w:style w:type="character" w:customStyle="1" w:styleId="Heading6Char">
    <w:name w:val="Heading 6 Char"/>
    <w:basedOn w:val="DefaultParagraphFont"/>
    <w:link w:val="Heading6"/>
    <w:semiHidden/>
    <w:rsid w:val="00D02009"/>
    <w:rPr>
      <w:i/>
      <w:sz w:val="22"/>
      <w:lang w:val="sv-SE"/>
    </w:rPr>
  </w:style>
  <w:style w:type="character" w:customStyle="1" w:styleId="Heading7Char">
    <w:name w:val="Heading 7 Char"/>
    <w:basedOn w:val="DefaultParagraphFont"/>
    <w:link w:val="Heading7"/>
    <w:semiHidden/>
    <w:rsid w:val="00D02009"/>
    <w:rPr>
      <w:rFonts w:ascii="Arial" w:hAnsi="Arial"/>
      <w:sz w:val="24"/>
      <w:lang w:val="sv-SE"/>
    </w:rPr>
  </w:style>
  <w:style w:type="character" w:customStyle="1" w:styleId="Heading8Char">
    <w:name w:val="Heading 8 Char"/>
    <w:basedOn w:val="DefaultParagraphFont"/>
    <w:link w:val="Heading8"/>
    <w:semiHidden/>
    <w:rsid w:val="00D02009"/>
    <w:rPr>
      <w:rFonts w:ascii="Arial" w:hAnsi="Arial"/>
      <w:i/>
      <w:sz w:val="24"/>
      <w:lang w:val="sv-SE"/>
    </w:rPr>
  </w:style>
  <w:style w:type="character" w:customStyle="1" w:styleId="Heading9Char">
    <w:name w:val="Heading 9 Char"/>
    <w:basedOn w:val="DefaultParagraphFont"/>
    <w:link w:val="Heading9"/>
    <w:semiHidden/>
    <w:rsid w:val="00D02009"/>
    <w:rPr>
      <w:rFonts w:ascii="Arial" w:hAnsi="Arial"/>
      <w:b/>
      <w:i/>
      <w:sz w:val="18"/>
      <w:lang w:val="sv-SE"/>
    </w:rPr>
  </w:style>
  <w:style w:type="paragraph" w:styleId="TOCHeading">
    <w:name w:val="TOC Heading"/>
    <w:basedOn w:val="Normal"/>
    <w:next w:val="Normal"/>
    <w:unhideWhenUsed/>
    <w:qFormat/>
    <w:rsid w:val="00D02009"/>
    <w:pPr>
      <w:widowControl/>
      <w:spacing w:after="240"/>
    </w:pPr>
    <w:rPr>
      <w:lang w:val="en-GB"/>
    </w:rPr>
  </w:style>
  <w:style w:type="paragraph" w:customStyle="1" w:styleId="EPFooter2">
    <w:name w:val="EPFooter2"/>
    <w:basedOn w:val="Normal"/>
    <w:next w:val="Normal"/>
    <w:rsid w:val="00D0200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02009"/>
    <w:pPr>
      <w:keepNext/>
      <w:spacing w:after="240"/>
      <w:jc w:val="right"/>
    </w:pPr>
    <w:rPr>
      <w:rFonts w:ascii="Arial" w:hAnsi="Arial"/>
      <w:b/>
    </w:rPr>
  </w:style>
  <w:style w:type="paragraph" w:customStyle="1" w:styleId="Normal6a">
    <w:name w:val="Normal6a"/>
    <w:basedOn w:val="Normal"/>
    <w:rsid w:val="00D02009"/>
    <w:pPr>
      <w:spacing w:after="120"/>
    </w:pPr>
  </w:style>
  <w:style w:type="paragraph" w:customStyle="1" w:styleId="PageHeading">
    <w:name w:val="PageHeading"/>
    <w:basedOn w:val="Normal"/>
    <w:qFormat/>
    <w:rsid w:val="00D02009"/>
    <w:pPr>
      <w:keepNext/>
      <w:spacing w:after="480"/>
      <w:jc w:val="center"/>
    </w:pPr>
    <w:rPr>
      <w:rFonts w:ascii="Arial" w:hAnsi="Arial" w:cs="Arial"/>
      <w:b/>
    </w:rPr>
  </w:style>
  <w:style w:type="paragraph" w:customStyle="1" w:styleId="NormalBold">
    <w:name w:val="NormalBold"/>
    <w:basedOn w:val="Normal"/>
    <w:link w:val="NormalBoldChar"/>
    <w:rsid w:val="00D02009"/>
    <w:rPr>
      <w:b/>
    </w:rPr>
  </w:style>
  <w:style w:type="paragraph" w:customStyle="1" w:styleId="NormalBold12a">
    <w:name w:val="NormalBold12a"/>
    <w:basedOn w:val="Normal"/>
    <w:rsid w:val="00D02009"/>
    <w:pPr>
      <w:spacing w:after="240"/>
    </w:pPr>
    <w:rPr>
      <w:b/>
    </w:rPr>
  </w:style>
  <w:style w:type="paragraph" w:customStyle="1" w:styleId="AmJustText">
    <w:name w:val="AmJustText"/>
    <w:basedOn w:val="Normal"/>
    <w:rsid w:val="00D02009"/>
    <w:pPr>
      <w:spacing w:after="240"/>
    </w:pPr>
    <w:rPr>
      <w:i/>
    </w:rPr>
  </w:style>
  <w:style w:type="paragraph" w:customStyle="1" w:styleId="NormalHanging12a">
    <w:name w:val="NormalHanging12a"/>
    <w:basedOn w:val="Normal"/>
    <w:rsid w:val="00D02009"/>
    <w:pPr>
      <w:spacing w:after="240"/>
      <w:ind w:left="567" w:hanging="567"/>
    </w:pPr>
  </w:style>
  <w:style w:type="paragraph" w:customStyle="1" w:styleId="CoverNormal24a">
    <w:name w:val="CoverNormal24a"/>
    <w:basedOn w:val="Normal"/>
    <w:rsid w:val="00D02009"/>
    <w:pPr>
      <w:spacing w:after="480"/>
      <w:ind w:left="1417"/>
    </w:pPr>
  </w:style>
  <w:style w:type="paragraph" w:customStyle="1" w:styleId="CoverNormal">
    <w:name w:val="CoverNormal"/>
    <w:basedOn w:val="Normal"/>
    <w:rsid w:val="00D02009"/>
    <w:pPr>
      <w:ind w:left="1418"/>
    </w:pPr>
  </w:style>
  <w:style w:type="paragraph" w:customStyle="1" w:styleId="AmCrossRef">
    <w:name w:val="AmCrossRef"/>
    <w:basedOn w:val="Normal"/>
    <w:rsid w:val="00D02009"/>
    <w:pPr>
      <w:spacing w:before="240" w:after="240"/>
      <w:jc w:val="center"/>
    </w:pPr>
    <w:rPr>
      <w:i/>
    </w:rPr>
  </w:style>
  <w:style w:type="paragraph" w:customStyle="1" w:styleId="AmJustTitle">
    <w:name w:val="AmJustTitle"/>
    <w:basedOn w:val="Normal"/>
    <w:next w:val="AmJustText"/>
    <w:rsid w:val="00D02009"/>
    <w:pPr>
      <w:keepNext/>
      <w:spacing w:before="240" w:after="240"/>
      <w:jc w:val="center"/>
    </w:pPr>
    <w:rPr>
      <w:i/>
    </w:rPr>
  </w:style>
  <w:style w:type="paragraph" w:customStyle="1" w:styleId="CoverReference">
    <w:name w:val="CoverReference"/>
    <w:basedOn w:val="Normal"/>
    <w:rsid w:val="00D02009"/>
    <w:pPr>
      <w:spacing w:before="1080"/>
      <w:jc w:val="right"/>
    </w:pPr>
    <w:rPr>
      <w:rFonts w:ascii="Arial" w:hAnsi="Arial" w:cs="Arial"/>
      <w:b/>
    </w:rPr>
  </w:style>
  <w:style w:type="paragraph" w:customStyle="1" w:styleId="CoverDocType">
    <w:name w:val="CoverDocType"/>
    <w:basedOn w:val="Normal"/>
    <w:rsid w:val="00D02009"/>
    <w:pPr>
      <w:ind w:left="1418"/>
    </w:pPr>
    <w:rPr>
      <w:rFonts w:ascii="Arial" w:hAnsi="Arial"/>
      <w:b/>
      <w:sz w:val="48"/>
    </w:rPr>
  </w:style>
  <w:style w:type="paragraph" w:customStyle="1" w:styleId="CoverDocType24a">
    <w:name w:val="CoverDocType24a"/>
    <w:basedOn w:val="Normal"/>
    <w:rsid w:val="00D02009"/>
    <w:pPr>
      <w:spacing w:after="480"/>
      <w:ind w:left="1418"/>
    </w:pPr>
    <w:rPr>
      <w:rFonts w:ascii="Arial" w:hAnsi="Arial"/>
      <w:b/>
      <w:sz w:val="48"/>
    </w:rPr>
  </w:style>
  <w:style w:type="paragraph" w:customStyle="1" w:styleId="CoverDate">
    <w:name w:val="CoverDate"/>
    <w:basedOn w:val="Normal"/>
    <w:rsid w:val="00D02009"/>
    <w:pPr>
      <w:spacing w:before="240" w:after="1200"/>
    </w:pPr>
  </w:style>
  <w:style w:type="paragraph" w:styleId="Header">
    <w:name w:val="header"/>
    <w:basedOn w:val="Normal"/>
    <w:link w:val="HeaderChar"/>
    <w:rsid w:val="00D02009"/>
    <w:pPr>
      <w:tabs>
        <w:tab w:val="center" w:pos="4513"/>
        <w:tab w:val="right" w:pos="9026"/>
      </w:tabs>
    </w:pPr>
  </w:style>
  <w:style w:type="character" w:customStyle="1" w:styleId="HeaderChar">
    <w:name w:val="Header Char"/>
    <w:basedOn w:val="DefaultParagraphFont"/>
    <w:link w:val="Header"/>
    <w:rsid w:val="00D02009"/>
    <w:rPr>
      <w:sz w:val="24"/>
      <w:lang w:val="sv-SE"/>
    </w:rPr>
  </w:style>
  <w:style w:type="paragraph" w:customStyle="1" w:styleId="AmOrLang">
    <w:name w:val="AmOrLang"/>
    <w:basedOn w:val="Normal"/>
    <w:rsid w:val="00D02009"/>
    <w:pPr>
      <w:spacing w:before="240" w:after="240"/>
      <w:jc w:val="right"/>
    </w:pPr>
  </w:style>
  <w:style w:type="paragraph" w:customStyle="1" w:styleId="AmColumnHeading">
    <w:name w:val="AmColumnHeading"/>
    <w:basedOn w:val="Normal"/>
    <w:rsid w:val="00D02009"/>
    <w:pPr>
      <w:spacing w:after="240"/>
      <w:jc w:val="center"/>
    </w:pPr>
    <w:rPr>
      <w:i/>
    </w:rPr>
  </w:style>
  <w:style w:type="paragraph" w:customStyle="1" w:styleId="AmNumberTabs">
    <w:name w:val="AmNumberTabs"/>
    <w:basedOn w:val="Normal"/>
    <w:rsid w:val="00D020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02009"/>
    <w:pPr>
      <w:spacing w:before="240"/>
    </w:pPr>
    <w:rPr>
      <w:b/>
    </w:rPr>
  </w:style>
  <w:style w:type="paragraph" w:customStyle="1" w:styleId="EPBody">
    <w:name w:val="EPBody"/>
    <w:basedOn w:val="Normal"/>
    <w:rsid w:val="00D02009"/>
    <w:pPr>
      <w:jc w:val="center"/>
    </w:pPr>
    <w:rPr>
      <w:rFonts w:ascii="Arial" w:hAnsi="Arial" w:cs="Arial"/>
      <w:i/>
      <w:sz w:val="22"/>
      <w:szCs w:val="22"/>
    </w:rPr>
  </w:style>
  <w:style w:type="paragraph" w:customStyle="1" w:styleId="EPFooter">
    <w:name w:val="EPFooter"/>
    <w:basedOn w:val="Normal"/>
    <w:rsid w:val="00D02009"/>
    <w:pPr>
      <w:tabs>
        <w:tab w:val="center" w:pos="4535"/>
        <w:tab w:val="right" w:pos="9071"/>
      </w:tabs>
      <w:spacing w:before="240" w:after="240"/>
    </w:pPr>
    <w:rPr>
      <w:color w:val="010000"/>
      <w:sz w:val="22"/>
    </w:rPr>
  </w:style>
  <w:style w:type="paragraph" w:customStyle="1" w:styleId="EPComma">
    <w:name w:val="EPComma"/>
    <w:basedOn w:val="Normal"/>
    <w:rsid w:val="00D02009"/>
    <w:pPr>
      <w:spacing w:before="480" w:after="240"/>
    </w:pPr>
  </w:style>
  <w:style w:type="paragraph" w:customStyle="1" w:styleId="Lgendesigne">
    <w:name w:val="Légende signe"/>
    <w:basedOn w:val="Normal"/>
    <w:rsid w:val="00D02009"/>
    <w:pPr>
      <w:tabs>
        <w:tab w:val="right" w:pos="454"/>
        <w:tab w:val="left" w:pos="737"/>
      </w:tabs>
      <w:ind w:left="737" w:hanging="737"/>
    </w:pPr>
    <w:rPr>
      <w:snapToGrid w:val="0"/>
      <w:sz w:val="18"/>
      <w:lang w:eastAsia="en-US"/>
    </w:rPr>
  </w:style>
  <w:style w:type="paragraph" w:customStyle="1" w:styleId="Lgendetitre">
    <w:name w:val="Légende titre"/>
    <w:basedOn w:val="Normal"/>
    <w:rsid w:val="00D02009"/>
    <w:pPr>
      <w:spacing w:before="240" w:after="240"/>
    </w:pPr>
    <w:rPr>
      <w:b/>
      <w:i/>
      <w:snapToGrid w:val="0"/>
      <w:lang w:eastAsia="en-US"/>
    </w:rPr>
  </w:style>
  <w:style w:type="paragraph" w:customStyle="1" w:styleId="Lgendestandard">
    <w:name w:val="Légende standard"/>
    <w:basedOn w:val="Normal"/>
    <w:rsid w:val="00D02009"/>
    <w:rPr>
      <w:sz w:val="18"/>
    </w:rPr>
  </w:style>
  <w:style w:type="paragraph" w:customStyle="1" w:styleId="Default">
    <w:name w:val="Default"/>
    <w:rsid w:val="00D02009"/>
    <w:pPr>
      <w:autoSpaceDE w:val="0"/>
      <w:autoSpaceDN w:val="0"/>
      <w:adjustRightInd w:val="0"/>
    </w:pPr>
    <w:rPr>
      <w:color w:val="000000"/>
      <w:sz w:val="24"/>
      <w:szCs w:val="24"/>
      <w:lang w:val="sv-SE"/>
    </w:rPr>
  </w:style>
  <w:style w:type="character" w:customStyle="1" w:styleId="Normal6Char">
    <w:name w:val="Normal6 Char"/>
    <w:basedOn w:val="DefaultParagraphFont"/>
    <w:link w:val="Normal6"/>
    <w:locked/>
    <w:rsid w:val="00D02009"/>
    <w:rPr>
      <w:sz w:val="24"/>
      <w:lang w:val="sv-SE"/>
    </w:rPr>
  </w:style>
  <w:style w:type="paragraph" w:customStyle="1" w:styleId="Normal6">
    <w:name w:val="Normal6"/>
    <w:basedOn w:val="Normal"/>
    <w:link w:val="Normal6Char"/>
    <w:rsid w:val="00D02009"/>
    <w:pPr>
      <w:spacing w:after="120"/>
    </w:pPr>
  </w:style>
  <w:style w:type="character" w:customStyle="1" w:styleId="NormalBoldChar">
    <w:name w:val="NormalBold Char"/>
    <w:basedOn w:val="DefaultParagraphFont"/>
    <w:link w:val="NormalBold"/>
    <w:locked/>
    <w:rsid w:val="00D02009"/>
    <w:rPr>
      <w:b/>
      <w:sz w:val="24"/>
      <w:lang w:val="sv-SE"/>
    </w:rPr>
  </w:style>
  <w:style w:type="paragraph" w:customStyle="1" w:styleId="ColumnHeading">
    <w:name w:val="ColumnHeading"/>
    <w:basedOn w:val="Normal"/>
    <w:rsid w:val="00D02009"/>
    <w:pPr>
      <w:spacing w:after="240"/>
      <w:jc w:val="center"/>
    </w:pPr>
    <w:rPr>
      <w:i/>
    </w:rPr>
  </w:style>
  <w:style w:type="paragraph" w:customStyle="1" w:styleId="AMNumberTabs0">
    <w:name w:val="AMNumberTabs"/>
    <w:basedOn w:val="Normal"/>
    <w:rsid w:val="00D020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02009"/>
    <w:pPr>
      <w:jc w:val="right"/>
    </w:pPr>
    <w:rPr>
      <w:lang w:val="sv-SE"/>
    </w:rPr>
  </w:style>
  <w:style w:type="paragraph" w:styleId="ListParagraph">
    <w:name w:val="List Paragraph"/>
    <w:basedOn w:val="Normal"/>
    <w:uiPriority w:val="1"/>
    <w:qFormat/>
    <w:rsid w:val="00D02009"/>
    <w:pPr>
      <w:ind w:left="720"/>
      <w:contextualSpacing/>
    </w:pPr>
  </w:style>
  <w:style w:type="paragraph" w:styleId="BodyText">
    <w:name w:val="Body Text"/>
    <w:basedOn w:val="Normal"/>
    <w:link w:val="BodyTextChar"/>
    <w:uiPriority w:val="1"/>
    <w:unhideWhenUsed/>
    <w:qFormat/>
    <w:rsid w:val="00D02009"/>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D02009"/>
    <w:rPr>
      <w:sz w:val="24"/>
      <w:szCs w:val="24"/>
      <w:lang w:val="sv-SE" w:eastAsia="en-US"/>
    </w:rPr>
  </w:style>
  <w:style w:type="character" w:styleId="Hyperlink">
    <w:name w:val="Hyperlink"/>
    <w:basedOn w:val="DefaultParagraphFont"/>
    <w:uiPriority w:val="99"/>
    <w:unhideWhenUsed/>
    <w:rsid w:val="00D02009"/>
    <w:rPr>
      <w:color w:val="467886"/>
      <w:u w:val="single"/>
    </w:rPr>
  </w:style>
  <w:style w:type="paragraph" w:styleId="Revision">
    <w:name w:val="Revision"/>
    <w:hidden/>
    <w:uiPriority w:val="99"/>
    <w:semiHidden/>
    <w:rsid w:val="00D02009"/>
    <w:rPr>
      <w:sz w:val="24"/>
      <w:lang w:val="sv-SE"/>
    </w:rPr>
  </w:style>
  <w:style w:type="character" w:styleId="CommentReference">
    <w:name w:val="annotation reference"/>
    <w:basedOn w:val="DefaultParagraphFont"/>
    <w:rsid w:val="00D02009"/>
    <w:rPr>
      <w:sz w:val="16"/>
      <w:szCs w:val="16"/>
    </w:rPr>
  </w:style>
  <w:style w:type="paragraph" w:styleId="CommentText">
    <w:name w:val="annotation text"/>
    <w:basedOn w:val="Normal"/>
    <w:link w:val="CommentTextChar"/>
    <w:rsid w:val="00D02009"/>
    <w:rPr>
      <w:sz w:val="20"/>
    </w:rPr>
  </w:style>
  <w:style w:type="character" w:customStyle="1" w:styleId="CommentTextChar">
    <w:name w:val="Comment Text Char"/>
    <w:basedOn w:val="DefaultParagraphFont"/>
    <w:link w:val="CommentText"/>
    <w:rsid w:val="00D02009"/>
    <w:rPr>
      <w:lang w:val="sv-SE"/>
    </w:rPr>
  </w:style>
  <w:style w:type="paragraph" w:styleId="CommentSubject">
    <w:name w:val="annotation subject"/>
    <w:basedOn w:val="CommentText"/>
    <w:next w:val="CommentText"/>
    <w:link w:val="CommentSubjectChar"/>
    <w:unhideWhenUsed/>
    <w:rsid w:val="00D02009"/>
    <w:rPr>
      <w:b/>
      <w:bCs/>
    </w:rPr>
  </w:style>
  <w:style w:type="character" w:customStyle="1" w:styleId="CommentSubjectChar">
    <w:name w:val="Comment Subject Char"/>
    <w:basedOn w:val="CommentTextChar"/>
    <w:link w:val="CommentSubject"/>
    <w:rsid w:val="00D02009"/>
    <w:rPr>
      <w:b/>
      <w:bCs/>
      <w:lang w:val="sv-SE"/>
    </w:rPr>
  </w:style>
  <w:style w:type="character" w:styleId="UnresolvedMention">
    <w:name w:val="Unresolved Mention"/>
    <w:basedOn w:val="DefaultParagraphFont"/>
    <w:uiPriority w:val="99"/>
    <w:semiHidden/>
    <w:unhideWhenUsed/>
    <w:rsid w:val="00D02009"/>
    <w:rPr>
      <w:color w:val="605E5C"/>
      <w:shd w:val="clear" w:color="auto" w:fill="E1DFDD"/>
    </w:rPr>
  </w:style>
  <w:style w:type="character" w:styleId="Emphasis">
    <w:name w:val="Emphasis"/>
    <w:basedOn w:val="DefaultParagraphFont"/>
    <w:uiPriority w:val="20"/>
    <w:qFormat/>
    <w:rsid w:val="00D02009"/>
    <w:rPr>
      <w:i/>
      <w:iCs/>
    </w:rPr>
  </w:style>
  <w:style w:type="paragraph" w:customStyle="1" w:styleId="Normal12a">
    <w:name w:val="Normal12a"/>
    <w:basedOn w:val="Normal"/>
    <w:rsid w:val="00D02009"/>
    <w:pPr>
      <w:spacing w:after="240"/>
    </w:pPr>
  </w:style>
  <w:style w:type="paragraph" w:customStyle="1" w:styleId="RollCallVotes">
    <w:name w:val="RollCallVotes"/>
    <w:basedOn w:val="Normal"/>
    <w:rsid w:val="00D02009"/>
    <w:pPr>
      <w:spacing w:before="120" w:after="120"/>
      <w:jc w:val="center"/>
    </w:pPr>
    <w:rPr>
      <w:b/>
      <w:bCs/>
      <w:snapToGrid w:val="0"/>
      <w:sz w:val="16"/>
      <w:lang w:eastAsia="en-US"/>
    </w:rPr>
  </w:style>
  <w:style w:type="paragraph" w:customStyle="1" w:styleId="RollCallTabs">
    <w:name w:val="RollCallTabs"/>
    <w:basedOn w:val="Normal"/>
    <w:qFormat/>
    <w:rsid w:val="00D02009"/>
    <w:pPr>
      <w:tabs>
        <w:tab w:val="center" w:pos="284"/>
        <w:tab w:val="left" w:pos="426"/>
      </w:tabs>
    </w:pPr>
    <w:rPr>
      <w:snapToGrid w:val="0"/>
      <w:lang w:eastAsia="en-US"/>
    </w:rPr>
  </w:style>
  <w:style w:type="paragraph" w:customStyle="1" w:styleId="RollCallSymbols14pt">
    <w:name w:val="RollCallSymbols14pt"/>
    <w:basedOn w:val="Normal"/>
    <w:rsid w:val="00D02009"/>
    <w:pPr>
      <w:spacing w:before="120" w:after="120"/>
      <w:jc w:val="center"/>
    </w:pPr>
    <w:rPr>
      <w:rFonts w:ascii="Arial" w:hAnsi="Arial"/>
      <w:b/>
      <w:bCs/>
      <w:snapToGrid w:val="0"/>
      <w:sz w:val="28"/>
      <w:lang w:eastAsia="en-US"/>
    </w:rPr>
  </w:style>
  <w:style w:type="paragraph" w:customStyle="1" w:styleId="RollCallTable">
    <w:name w:val="RollCallTable"/>
    <w:basedOn w:val="Normal"/>
    <w:rsid w:val="00D02009"/>
    <w:pPr>
      <w:spacing w:before="120" w:after="120"/>
    </w:pPr>
    <w:rPr>
      <w:snapToGrid w:val="0"/>
      <w:sz w:val="16"/>
      <w:lang w:eastAsia="en-US"/>
    </w:rPr>
  </w:style>
  <w:style w:type="paragraph" w:customStyle="1" w:styleId="Normal24a">
    <w:name w:val="Normal24a"/>
    <w:basedOn w:val="Normal"/>
    <w:rsid w:val="00D02009"/>
    <w:pPr>
      <w:spacing w:after="480"/>
    </w:pPr>
    <w:rPr>
      <w:szCs w:val="24"/>
    </w:rPr>
  </w:style>
  <w:style w:type="paragraph" w:customStyle="1" w:styleId="NormalBoldCenter">
    <w:name w:val="NormalBoldCenter"/>
    <w:basedOn w:val="Normal"/>
    <w:rsid w:val="00D02009"/>
    <w:pPr>
      <w:jc w:val="center"/>
    </w:pPr>
    <w:rPr>
      <w:b/>
      <w:szCs w:val="24"/>
    </w:rPr>
  </w:style>
  <w:style w:type="paragraph" w:customStyle="1" w:styleId="Footprint12b">
    <w:name w:val="Footprint12b"/>
    <w:basedOn w:val="Normal"/>
    <w:rsid w:val="00D02009"/>
    <w:pPr>
      <w:spacing w:before="240"/>
    </w:pPr>
    <w:rPr>
      <w:szCs w:val="24"/>
    </w:rPr>
  </w:style>
  <w:style w:type="paragraph" w:customStyle="1" w:styleId="NormalSingle">
    <w:name w:val="NormalSingle"/>
    <w:basedOn w:val="Normal"/>
    <w:qFormat/>
    <w:rsid w:val="00D02009"/>
    <w:rPr>
      <w:szCs w:val="24"/>
    </w:rPr>
  </w:style>
  <w:style w:type="paragraph" w:customStyle="1" w:styleId="PageHeadingNotTOC">
    <w:name w:val="PageHeadingNotTOC"/>
    <w:basedOn w:val="Normal"/>
    <w:rsid w:val="00D02009"/>
    <w:pPr>
      <w:keepNext/>
      <w:spacing w:after="480"/>
      <w:jc w:val="center"/>
    </w:pPr>
    <w:rPr>
      <w:rFonts w:ascii="Arial" w:hAnsi="Arial" w:cs="Arial"/>
      <w:b/>
    </w:rPr>
  </w:style>
  <w:style w:type="paragraph" w:customStyle="1" w:styleId="AmHeadingPA">
    <w:name w:val="AmHeadingPA"/>
    <w:basedOn w:val="Normal"/>
    <w:next w:val="Normal"/>
    <w:rsid w:val="00D02009"/>
    <w:pPr>
      <w:spacing w:before="480" w:after="240"/>
      <w:jc w:val="center"/>
    </w:pPr>
    <w:rPr>
      <w:rFonts w:ascii="Arial" w:hAnsi="Arial"/>
      <w:b/>
      <w:caps/>
      <w:snapToGrid w:val="0"/>
      <w:szCs w:val="24"/>
      <w:lang w:eastAsia="en-US"/>
    </w:rPr>
  </w:style>
  <w:style w:type="paragraph" w:styleId="Footer">
    <w:name w:val="footer"/>
    <w:basedOn w:val="Normal"/>
    <w:link w:val="FooterChar"/>
    <w:rsid w:val="00D02009"/>
    <w:pPr>
      <w:tabs>
        <w:tab w:val="center" w:pos="4513"/>
        <w:tab w:val="right" w:pos="9026"/>
      </w:tabs>
    </w:pPr>
  </w:style>
  <w:style w:type="character" w:customStyle="1" w:styleId="FooterChar">
    <w:name w:val="Footer Char"/>
    <w:basedOn w:val="DefaultParagraphFont"/>
    <w:link w:val="Footer"/>
    <w:rsid w:val="00D02009"/>
    <w:rPr>
      <w:sz w:val="24"/>
      <w:lang w:val="sv-SE"/>
    </w:rPr>
  </w:style>
  <w:style w:type="paragraph" w:customStyle="1" w:styleId="FootnoteTextForceStyle">
    <w:name w:val="Footnote Text ForceStyle"/>
    <w:rsid w:val="00080C3E"/>
    <w:pPr>
      <w:keepLines/>
      <w:spacing w:line="240" w:lineRule="exact"/>
      <w:ind w:left="850" w:hanging="850"/>
    </w:pPr>
    <w:rPr>
      <w:sz w:val="24"/>
      <w:lang w:val="sv-SE" w:eastAsia="en-US"/>
    </w:rPr>
  </w:style>
  <w:style w:type="character" w:customStyle="1" w:styleId="Footer2">
    <w:name w:val="Footer2"/>
    <w:rsid w:val="00080C3E"/>
    <w:rPr>
      <w:rFonts w:ascii="Arial" w:hAnsi="Arial"/>
      <w:b/>
      <w:sz w:val="48"/>
    </w:rPr>
  </w:style>
  <w:style w:type="paragraph" w:customStyle="1" w:styleId="Footer1">
    <w:name w:val="Footer1"/>
    <w:basedOn w:val="Normal"/>
    <w:rsid w:val="00080C3E"/>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080C3E"/>
    <w:rPr>
      <w:color w:val="0000FF"/>
      <w:u w:val="single"/>
    </w:rPr>
  </w:style>
  <w:style w:type="paragraph" w:customStyle="1" w:styleId="Typedudocument">
    <w:name w:val="Type du document"/>
    <w:basedOn w:val="Normal"/>
    <w:next w:val="Normal"/>
    <w:rsid w:val="00080C3E"/>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2026-07-01T15:22:00Z</dcterms:created>
  <dcterms:modified xsi:type="dcterms:W3CDTF">2026-07-01T15:22:00Z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P10_TA(2026)0170_</vt:lpwstr>
  </property>
  <property fmtid="{D5CDD505-2E9C-101B-9397-08002B2CF9AE}" pid="4" name="&lt;Type&gt;">
    <vt:lpwstr>RR</vt:lpwstr>
  </property>
</Properties>
</file>