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B71EA" w14:paraId="02EE00C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0FD3FA" w14:textId="77777777" w:rsidR="00751A4A" w:rsidRPr="00AB71EA" w:rsidRDefault="00FD070F" w:rsidP="0010095E">
            <w:pPr>
              <w:pStyle w:val="EPName"/>
            </w:pPr>
            <w:r w:rsidRPr="00AB71EA">
              <w:t>Parlement européen</w:t>
            </w:r>
          </w:p>
          <w:p w14:paraId="36441D33" w14:textId="77777777" w:rsidR="00751A4A" w:rsidRPr="00AB71E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71EA">
              <w:t>2024</w:t>
            </w:r>
            <w:r w:rsidR="00817416" w:rsidRPr="00AB71EA">
              <w:t>-202</w:t>
            </w:r>
            <w:r w:rsidRPr="00AB71EA">
              <w:t>9</w:t>
            </w:r>
          </w:p>
        </w:tc>
        <w:tc>
          <w:tcPr>
            <w:tcW w:w="2268" w:type="dxa"/>
            <w:shd w:val="clear" w:color="auto" w:fill="auto"/>
          </w:tcPr>
          <w:p w14:paraId="6E20FF46" w14:textId="77777777" w:rsidR="00751A4A" w:rsidRPr="00AB71EA" w:rsidRDefault="00187494" w:rsidP="0010095E">
            <w:pPr>
              <w:pStyle w:val="EPLogo"/>
            </w:pPr>
            <w:r w:rsidRPr="00AB71EA">
              <w:rPr>
                <w:noProof/>
                <w:lang w:eastAsia="ja-JP"/>
              </w:rPr>
              <w:drawing>
                <wp:inline distT="0" distB="0" distL="0" distR="0" wp14:anchorId="07387306" wp14:editId="1BA1531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A10FA2" w14:textId="77777777" w:rsidR="00D058B8" w:rsidRPr="00AB71EA" w:rsidRDefault="00D058B8" w:rsidP="004C5D52">
      <w:pPr>
        <w:pStyle w:val="LineTop"/>
      </w:pPr>
    </w:p>
    <w:p w14:paraId="60E1BA48" w14:textId="77777777" w:rsidR="00680577" w:rsidRPr="00AB71EA" w:rsidRDefault="00FD070F" w:rsidP="00680577">
      <w:pPr>
        <w:pStyle w:val="EPBodyTA1"/>
      </w:pPr>
      <w:r w:rsidRPr="00AB71EA">
        <w:t>TEXTES ADOPTÉS</w:t>
      </w:r>
    </w:p>
    <w:p w14:paraId="4EB43372" w14:textId="77777777" w:rsidR="00D058B8" w:rsidRPr="00AB71EA" w:rsidRDefault="00D058B8" w:rsidP="00D058B8">
      <w:pPr>
        <w:pStyle w:val="LineBottom"/>
      </w:pPr>
    </w:p>
    <w:p w14:paraId="72268DB4" w14:textId="26A7943B" w:rsidR="00FD070F" w:rsidRPr="00AB71EA" w:rsidRDefault="00FD070F" w:rsidP="00FD070F">
      <w:pPr>
        <w:pStyle w:val="ATHeading1"/>
      </w:pPr>
      <w:bookmarkStart w:id="0" w:name="TANumber"/>
      <w:r w:rsidRPr="00AB71EA">
        <w:t>P10_</w:t>
      </w:r>
      <w:proofErr w:type="gramStart"/>
      <w:r w:rsidRPr="00AB71EA">
        <w:t>TA(</w:t>
      </w:r>
      <w:proofErr w:type="gramEnd"/>
      <w:r w:rsidRPr="00AB71EA">
        <w:t>2026)0</w:t>
      </w:r>
      <w:bookmarkEnd w:id="0"/>
      <w:r w:rsidR="00435D85" w:rsidRPr="00AB71EA">
        <w:t>173</w:t>
      </w:r>
    </w:p>
    <w:p w14:paraId="4C1724CE" w14:textId="77777777" w:rsidR="00FD070F" w:rsidRPr="00AB71EA" w:rsidRDefault="00FD070F" w:rsidP="00FD070F">
      <w:pPr>
        <w:pStyle w:val="ATHeading2"/>
      </w:pPr>
      <w:bookmarkStart w:id="1" w:name="title"/>
      <w:r w:rsidRPr="00AB71EA">
        <w:t>Accord de partenariat et de coopération renforcé UE-Ouzbékistan</w:t>
      </w:r>
      <w:bookmarkEnd w:id="1"/>
    </w:p>
    <w:p w14:paraId="2EEBDAC3" w14:textId="77777777" w:rsidR="00FD070F" w:rsidRPr="00AB71EA" w:rsidRDefault="00FD070F" w:rsidP="00FD070F">
      <w:pPr>
        <w:rPr>
          <w:i/>
          <w:vanish/>
        </w:rPr>
      </w:pPr>
      <w:r w:rsidRPr="00AB71EA">
        <w:rPr>
          <w:i/>
        </w:rPr>
        <w:fldChar w:fldCharType="begin"/>
      </w:r>
      <w:r w:rsidRPr="00AB71EA">
        <w:rPr>
          <w:i/>
        </w:rPr>
        <w:instrText xml:space="preserve"> TC"(</w:instrText>
      </w:r>
      <w:bookmarkStart w:id="2" w:name="DocNumber"/>
      <w:r w:rsidRPr="00AB71EA">
        <w:rPr>
          <w:i/>
        </w:rPr>
        <w:instrText>A10-0102/2026</w:instrText>
      </w:r>
      <w:bookmarkEnd w:id="2"/>
      <w:r w:rsidRPr="00AB71EA">
        <w:rPr>
          <w:i/>
        </w:rPr>
        <w:instrText xml:space="preserve"> - Rapporteur: Ilhan Kyuchyuk)"\l3 \n&gt; \* MERGEFORMAT </w:instrText>
      </w:r>
      <w:r w:rsidRPr="00AB71EA">
        <w:rPr>
          <w:i/>
        </w:rPr>
        <w:fldChar w:fldCharType="end"/>
      </w:r>
    </w:p>
    <w:p w14:paraId="29344235" w14:textId="77777777" w:rsidR="00FD070F" w:rsidRPr="00AB71EA" w:rsidRDefault="00FD070F" w:rsidP="00FD070F">
      <w:pPr>
        <w:rPr>
          <w:vanish/>
        </w:rPr>
      </w:pPr>
      <w:bookmarkStart w:id="3" w:name="Commission"/>
      <w:r w:rsidRPr="00AB71EA">
        <w:rPr>
          <w:vanish/>
        </w:rPr>
        <w:t>Commission des affaires étrangères</w:t>
      </w:r>
      <w:bookmarkEnd w:id="3"/>
    </w:p>
    <w:p w14:paraId="54DCBD26" w14:textId="77777777" w:rsidR="00FD070F" w:rsidRPr="00AB71EA" w:rsidRDefault="00FD070F" w:rsidP="00FD070F">
      <w:pPr>
        <w:rPr>
          <w:vanish/>
        </w:rPr>
      </w:pPr>
      <w:bookmarkStart w:id="4" w:name="PE"/>
      <w:r w:rsidRPr="00AB71EA">
        <w:rPr>
          <w:vanish/>
        </w:rPr>
        <w:t>PE781.380</w:t>
      </w:r>
      <w:bookmarkEnd w:id="4"/>
    </w:p>
    <w:p w14:paraId="72748A47" w14:textId="49C06452" w:rsidR="00C94E9B" w:rsidRPr="00AB71EA" w:rsidRDefault="00FD070F" w:rsidP="00AB71EA">
      <w:pPr>
        <w:pStyle w:val="ATHeading3"/>
      </w:pPr>
      <w:bookmarkStart w:id="5" w:name="Sujet"/>
      <w:r w:rsidRPr="00AB71EA">
        <w:t xml:space="preserve">Résolution législative du Parlement européen du </w:t>
      </w:r>
      <w:r w:rsidR="00BB16B9" w:rsidRPr="00AB71EA">
        <w:t xml:space="preserve">20 </w:t>
      </w:r>
      <w:r w:rsidR="00ED3C30" w:rsidRPr="00AB71EA">
        <w:t>mai</w:t>
      </w:r>
      <w:r w:rsidRPr="00AB71EA">
        <w:t xml:space="preserve"> 2026 </w:t>
      </w:r>
      <w:r w:rsidR="00C94E9B" w:rsidRPr="00AB71EA">
        <w:t>sur le projet de décision du Conseil relative à la conclusion, au nom de l’Union, de l’accord de partenariat et de coopération renforcé entre l’Union européenne et ses États membres, d’une part, et la République d’Ouzbékistan, d’autre part</w:t>
      </w:r>
      <w:r w:rsidR="00AB71EA">
        <w:t xml:space="preserve"> </w:t>
      </w:r>
      <w:r w:rsidR="00C94E9B" w:rsidRPr="00AB71EA">
        <w:t>(09190/2025 – C10</w:t>
      </w:r>
      <w:r w:rsidR="00C94E9B" w:rsidRPr="00AB71EA">
        <w:noBreakHyphen/>
        <w:t>0280/2025 – 2024/0260(NLE))</w:t>
      </w:r>
    </w:p>
    <w:p w14:paraId="35E64F80" w14:textId="75658A13" w:rsidR="004E157C" w:rsidRPr="00AB71EA" w:rsidRDefault="004E157C" w:rsidP="004E157C">
      <w:pPr>
        <w:pStyle w:val="NormalBold"/>
      </w:pPr>
      <w:bookmarkStart w:id="6" w:name="TextBodyBegin"/>
      <w:bookmarkEnd w:id="5"/>
      <w:bookmarkEnd w:id="6"/>
      <w:r w:rsidRPr="00AB71EA">
        <w:t>(Approbation)</w:t>
      </w:r>
    </w:p>
    <w:p w14:paraId="5F84BAD0" w14:textId="77777777" w:rsidR="004E157C" w:rsidRPr="00AB71EA" w:rsidRDefault="004E157C" w:rsidP="004E157C">
      <w:pPr>
        <w:pStyle w:val="EPComma"/>
      </w:pPr>
      <w:r w:rsidRPr="00AB71EA">
        <w:rPr>
          <w:i/>
        </w:rPr>
        <w:t>Le Parlement européen</w:t>
      </w:r>
      <w:r w:rsidRPr="00AB71EA">
        <w:t>,</w:t>
      </w:r>
    </w:p>
    <w:p w14:paraId="01FFAB30" w14:textId="77777777" w:rsidR="004E157C" w:rsidRPr="00AB71EA" w:rsidRDefault="004E157C" w:rsidP="004E157C">
      <w:pPr>
        <w:pStyle w:val="NormalHanging12a"/>
      </w:pPr>
      <w:r w:rsidRPr="00AB71EA">
        <w:t>–</w:t>
      </w:r>
      <w:r w:rsidRPr="00AB71EA">
        <w:tab/>
        <w:t>vu le projet de décision du Conseil (09190/2025),</w:t>
      </w:r>
    </w:p>
    <w:p w14:paraId="4856F9F3" w14:textId="77777777" w:rsidR="004E157C" w:rsidRPr="00AB71EA" w:rsidRDefault="004E157C" w:rsidP="004E157C">
      <w:pPr>
        <w:pStyle w:val="NormalHanging12a"/>
      </w:pPr>
      <w:r w:rsidRPr="00AB71EA">
        <w:t>–</w:t>
      </w:r>
      <w:r w:rsidRPr="00AB71EA">
        <w:tab/>
        <w:t>vu l’accord de partenariat et de coopération renforcé entre l’Union européenne et ses États membres, d’une part, et la République d’Ouzbékistan, d’autre part (6300/2025),</w:t>
      </w:r>
    </w:p>
    <w:p w14:paraId="4BBFAAE2" w14:textId="093CC83D" w:rsidR="004E157C" w:rsidRPr="00AB71EA" w:rsidRDefault="004E157C" w:rsidP="004E157C">
      <w:pPr>
        <w:pStyle w:val="NormalHanging12a"/>
      </w:pPr>
      <w:r w:rsidRPr="00AB71EA">
        <w:t>–</w:t>
      </w:r>
      <w:r w:rsidRPr="00AB71EA">
        <w:tab/>
        <w:t>vu la demande d’approbation présentée par le Conseil, conformément aux articles 207 et 209, ainsi qu’à l’article 218, paragraphe 6, deuxième alinéa, point a), et à l’article 218, paragraphe 7, du traité sur le fonctionnement de l’Union européenne (C10</w:t>
      </w:r>
      <w:r w:rsidRPr="00AB71EA">
        <w:noBreakHyphen/>
        <w:t>0280/2025),</w:t>
      </w:r>
    </w:p>
    <w:p w14:paraId="07796C3D" w14:textId="71670C6D" w:rsidR="00AF23FB" w:rsidRPr="00AB71EA" w:rsidRDefault="00AF23FB" w:rsidP="00AF23FB">
      <w:pPr>
        <w:pStyle w:val="NormalHanging12a"/>
      </w:pPr>
      <w:r w:rsidRPr="00AB71EA">
        <w:t>-</w:t>
      </w:r>
      <w:r w:rsidRPr="00AB71EA">
        <w:tab/>
        <w:t xml:space="preserve">vu sa résolution non législative du </w:t>
      </w:r>
      <w:r w:rsidRPr="00AB71EA">
        <w:rPr>
          <w:szCs w:val="24"/>
        </w:rPr>
        <w:t>20 mai 2026</w:t>
      </w:r>
      <w:r w:rsidRPr="00AB71EA">
        <w:rPr>
          <w:rStyle w:val="FootnoteReference"/>
          <w:szCs w:val="24"/>
        </w:rPr>
        <w:footnoteReference w:id="1"/>
      </w:r>
      <w:r w:rsidRPr="00AB71EA">
        <w:rPr>
          <w:szCs w:val="24"/>
        </w:rPr>
        <w:t xml:space="preserve"> sur </w:t>
      </w:r>
      <w:r w:rsidRPr="00AB71EA">
        <w:t>le projet de décision du Conseil relatif à la conclusion, au nom de l’Union, de l’accord de partenariat et de coopération renforcé entre l’Union européenne et ses États membres, d’une part, et la République d’Ouzbékistan, d’autre part,</w:t>
      </w:r>
    </w:p>
    <w:p w14:paraId="130B7526" w14:textId="77777777" w:rsidR="004E157C" w:rsidRPr="00AB71EA" w:rsidRDefault="004E157C" w:rsidP="004E157C">
      <w:pPr>
        <w:pStyle w:val="NormalHanging12a"/>
      </w:pPr>
      <w:r w:rsidRPr="00AB71EA">
        <w:t>–</w:t>
      </w:r>
      <w:r w:rsidRPr="00AB71EA">
        <w:tab/>
        <w:t>vu l’article 107, paragraphes 1 et 4, ainsi que l’article 117, paragraphe 7, de son règlement intérieur,</w:t>
      </w:r>
    </w:p>
    <w:p w14:paraId="3999EC80" w14:textId="77777777" w:rsidR="004E157C" w:rsidRPr="00AB71EA" w:rsidRDefault="004E157C" w:rsidP="004E157C">
      <w:pPr>
        <w:pStyle w:val="NormalHanging12a"/>
      </w:pPr>
      <w:r w:rsidRPr="00AB71EA">
        <w:t>–</w:t>
      </w:r>
      <w:r w:rsidRPr="00AB71EA">
        <w:tab/>
        <w:t>vu la recommandation de la commission des affaires étrangères (A10-0102/2026),</w:t>
      </w:r>
    </w:p>
    <w:p w14:paraId="6112BF18" w14:textId="77777777" w:rsidR="004E157C" w:rsidRPr="00AB71EA" w:rsidRDefault="004E157C" w:rsidP="004E157C">
      <w:pPr>
        <w:pStyle w:val="NormalHanging12a"/>
      </w:pPr>
      <w:r w:rsidRPr="00AB71EA">
        <w:t>1.</w:t>
      </w:r>
      <w:r w:rsidRPr="00AB71EA">
        <w:tab/>
        <w:t xml:space="preserve">donne son approbation à la conclusion de </w:t>
      </w:r>
      <w:proofErr w:type="gramStart"/>
      <w:r w:rsidRPr="00AB71EA">
        <w:t>l’accord;</w:t>
      </w:r>
      <w:proofErr w:type="gramEnd"/>
    </w:p>
    <w:p w14:paraId="2739D855" w14:textId="6051D268" w:rsidR="002C524C" w:rsidRPr="00AB71EA" w:rsidRDefault="004E157C" w:rsidP="002C524C">
      <w:pPr>
        <w:pStyle w:val="NormalHanging12a"/>
      </w:pPr>
      <w:r w:rsidRPr="00AB71EA">
        <w:t>2.</w:t>
      </w:r>
      <w:r w:rsidRPr="00AB71EA">
        <w:tab/>
        <w:t>charge sa Présidente de transmettre la position du Parlement au Conseil, à la Commission, ainsi qu’aux gouvernements et aux parlements des États membres et de la République d’Ouzbékistan.</w:t>
      </w:r>
    </w:p>
    <w:p w14:paraId="6C44B22D" w14:textId="55D680EB" w:rsidR="00E365E1" w:rsidRPr="00AB71EA" w:rsidRDefault="00E365E1" w:rsidP="00FD070F"/>
    <w:sectPr w:rsidR="00E365E1" w:rsidRPr="00AB71EA" w:rsidSect="002C52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A1CB3" w14:textId="77777777" w:rsidR="00FD070F" w:rsidRPr="002C524C" w:rsidRDefault="00FD070F">
      <w:r w:rsidRPr="002C524C">
        <w:separator/>
      </w:r>
    </w:p>
  </w:endnote>
  <w:endnote w:type="continuationSeparator" w:id="0">
    <w:p w14:paraId="30CFD4AD" w14:textId="77777777" w:rsidR="00FD070F" w:rsidRPr="002C524C" w:rsidRDefault="00FD070F">
      <w:r w:rsidRPr="002C52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60373" w14:textId="77777777" w:rsidR="00064002" w:rsidRPr="002C524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28674" w14:textId="77777777" w:rsidR="00064002" w:rsidRPr="002C524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94B83" w14:textId="77777777" w:rsidR="00064002" w:rsidRPr="002C524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49A93" w14:textId="77777777" w:rsidR="00FD070F" w:rsidRPr="002C524C" w:rsidRDefault="00FD070F">
      <w:r w:rsidRPr="002C524C">
        <w:separator/>
      </w:r>
    </w:p>
  </w:footnote>
  <w:footnote w:type="continuationSeparator" w:id="0">
    <w:p w14:paraId="163F8A12" w14:textId="77777777" w:rsidR="00FD070F" w:rsidRPr="002C524C" w:rsidRDefault="00FD070F">
      <w:r w:rsidRPr="002C524C">
        <w:continuationSeparator/>
      </w:r>
    </w:p>
  </w:footnote>
  <w:footnote w:id="1">
    <w:p w14:paraId="06D99AD0" w14:textId="609AABD9" w:rsidR="00AF23FB" w:rsidRPr="00F544F1" w:rsidRDefault="00AF23FB">
      <w:pPr>
        <w:pStyle w:val="FootnoteText"/>
        <w:rPr>
          <w:sz w:val="24"/>
          <w:szCs w:val="24"/>
          <w:lang w:val="fr-BE"/>
        </w:rPr>
      </w:pPr>
      <w:r w:rsidRPr="00F544F1">
        <w:rPr>
          <w:rStyle w:val="FootnoteReference"/>
          <w:sz w:val="24"/>
          <w:szCs w:val="24"/>
        </w:rPr>
        <w:footnoteRef/>
      </w:r>
      <w:r w:rsidRPr="00F544F1">
        <w:rPr>
          <w:sz w:val="24"/>
          <w:szCs w:val="24"/>
        </w:rPr>
        <w:t xml:space="preserve"> </w:t>
      </w:r>
      <w:r w:rsidRPr="00F544F1">
        <w:rPr>
          <w:sz w:val="24"/>
          <w:szCs w:val="24"/>
          <w:lang w:val="fr-BE"/>
        </w:rPr>
        <w:tab/>
        <w:t xml:space="preserve">Textes adoptés de cette date, </w:t>
      </w:r>
      <w:r>
        <w:rPr>
          <w:sz w:val="24"/>
          <w:szCs w:val="24"/>
          <w:lang w:val="fr-BE"/>
        </w:rPr>
        <w:t>P</w:t>
      </w:r>
      <w:r w:rsidRPr="00F544F1">
        <w:rPr>
          <w:sz w:val="24"/>
          <w:szCs w:val="24"/>
          <w:lang w:val="fr-BE"/>
        </w:rPr>
        <w:t>10_</w:t>
      </w:r>
      <w:proofErr w:type="gramStart"/>
      <w:r w:rsidRPr="00F544F1">
        <w:rPr>
          <w:sz w:val="24"/>
          <w:szCs w:val="24"/>
          <w:lang w:val="fr-BE"/>
        </w:rPr>
        <w:t>TA(</w:t>
      </w:r>
      <w:proofErr w:type="gramEnd"/>
      <w:r w:rsidRPr="00BD62E0">
        <w:rPr>
          <w:sz w:val="24"/>
          <w:szCs w:val="24"/>
          <w:lang w:val="fr-BE"/>
        </w:rPr>
        <w:t>2026)0</w:t>
      </w:r>
      <w:r w:rsidR="00435D85" w:rsidRPr="00CA387E">
        <w:rPr>
          <w:sz w:val="24"/>
          <w:szCs w:val="24"/>
          <w:lang w:val="fr-BE"/>
        </w:rPr>
        <w:t>17</w:t>
      </w:r>
      <w:r w:rsidR="00BD62E0" w:rsidRPr="004F127F">
        <w:rPr>
          <w:sz w:val="24"/>
          <w:szCs w:val="24"/>
          <w:lang w:val="fr-BE"/>
        </w:rPr>
        <w:t>4</w:t>
      </w:r>
      <w:r w:rsidRPr="00BD62E0">
        <w:rPr>
          <w:sz w:val="24"/>
          <w:szCs w:val="24"/>
          <w:lang w:val="fr-B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579A2" w14:textId="77777777" w:rsidR="00064002" w:rsidRPr="002C524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C956C" w14:textId="77777777" w:rsidR="00064002" w:rsidRPr="002C524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2F8D8" w14:textId="77777777" w:rsidR="00064002" w:rsidRPr="002C524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A0C2D0E"/>
    <w:multiLevelType w:val="hybridMultilevel"/>
    <w:tmpl w:val="30DAA01C"/>
    <w:lvl w:ilvl="0" w:tplc="1A1E5A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F612AE6"/>
    <w:multiLevelType w:val="hybridMultilevel"/>
    <w:tmpl w:val="1EAC0D30"/>
    <w:lvl w:ilvl="0" w:tplc="1A2A10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4826244">
    <w:abstractNumId w:val="9"/>
  </w:num>
  <w:num w:numId="2" w16cid:durableId="2076272504">
    <w:abstractNumId w:val="9"/>
  </w:num>
  <w:num w:numId="3" w16cid:durableId="619383454">
    <w:abstractNumId w:val="7"/>
  </w:num>
  <w:num w:numId="4" w16cid:durableId="687562649">
    <w:abstractNumId w:val="7"/>
  </w:num>
  <w:num w:numId="5" w16cid:durableId="1017001603">
    <w:abstractNumId w:val="6"/>
  </w:num>
  <w:num w:numId="6" w16cid:durableId="2087415189">
    <w:abstractNumId w:val="6"/>
  </w:num>
  <w:num w:numId="7" w16cid:durableId="810831831">
    <w:abstractNumId w:val="5"/>
  </w:num>
  <w:num w:numId="8" w16cid:durableId="2102407607">
    <w:abstractNumId w:val="5"/>
  </w:num>
  <w:num w:numId="9" w16cid:durableId="2079740358">
    <w:abstractNumId w:val="4"/>
  </w:num>
  <w:num w:numId="10" w16cid:durableId="719091090">
    <w:abstractNumId w:val="4"/>
  </w:num>
  <w:num w:numId="11" w16cid:durableId="405492830">
    <w:abstractNumId w:val="8"/>
  </w:num>
  <w:num w:numId="12" w16cid:durableId="478033523">
    <w:abstractNumId w:val="8"/>
  </w:num>
  <w:num w:numId="13" w16cid:durableId="717509585">
    <w:abstractNumId w:val="3"/>
  </w:num>
  <w:num w:numId="14" w16cid:durableId="841238737">
    <w:abstractNumId w:val="3"/>
  </w:num>
  <w:num w:numId="15" w16cid:durableId="1933775367">
    <w:abstractNumId w:val="2"/>
  </w:num>
  <w:num w:numId="16" w16cid:durableId="823358860">
    <w:abstractNumId w:val="2"/>
  </w:num>
  <w:num w:numId="17" w16cid:durableId="934023473">
    <w:abstractNumId w:val="1"/>
  </w:num>
  <w:num w:numId="18" w16cid:durableId="396710528">
    <w:abstractNumId w:val="1"/>
  </w:num>
  <w:num w:numId="19" w16cid:durableId="48967657">
    <w:abstractNumId w:val="0"/>
  </w:num>
  <w:num w:numId="20" w16cid:durableId="126359829">
    <w:abstractNumId w:val="0"/>
  </w:num>
  <w:num w:numId="21" w16cid:durableId="1200823618">
    <w:abstractNumId w:val="9"/>
  </w:num>
  <w:num w:numId="22" w16cid:durableId="133835607">
    <w:abstractNumId w:val="7"/>
  </w:num>
  <w:num w:numId="23" w16cid:durableId="1636787775">
    <w:abstractNumId w:val="6"/>
  </w:num>
  <w:num w:numId="24" w16cid:durableId="1367608466">
    <w:abstractNumId w:val="5"/>
  </w:num>
  <w:num w:numId="25" w16cid:durableId="800612480">
    <w:abstractNumId w:val="4"/>
  </w:num>
  <w:num w:numId="26" w16cid:durableId="1155563029">
    <w:abstractNumId w:val="8"/>
  </w:num>
  <w:num w:numId="27" w16cid:durableId="1528715264">
    <w:abstractNumId w:val="3"/>
  </w:num>
  <w:num w:numId="28" w16cid:durableId="681080976">
    <w:abstractNumId w:val="2"/>
  </w:num>
  <w:num w:numId="29" w16cid:durableId="1117526035">
    <w:abstractNumId w:val="1"/>
  </w:num>
  <w:num w:numId="30" w16cid:durableId="1676685578">
    <w:abstractNumId w:val="0"/>
  </w:num>
  <w:num w:numId="31" w16cid:durableId="2084445316">
    <w:abstractNumId w:val="9"/>
  </w:num>
  <w:num w:numId="32" w16cid:durableId="2012175697">
    <w:abstractNumId w:val="7"/>
  </w:num>
  <w:num w:numId="33" w16cid:durableId="2107268884">
    <w:abstractNumId w:val="6"/>
  </w:num>
  <w:num w:numId="34" w16cid:durableId="2049835029">
    <w:abstractNumId w:val="5"/>
  </w:num>
  <w:num w:numId="35" w16cid:durableId="317656401">
    <w:abstractNumId w:val="4"/>
  </w:num>
  <w:num w:numId="36" w16cid:durableId="1930116093">
    <w:abstractNumId w:val="8"/>
  </w:num>
  <w:num w:numId="37" w16cid:durableId="814682117">
    <w:abstractNumId w:val="3"/>
  </w:num>
  <w:num w:numId="38" w16cid:durableId="169687254">
    <w:abstractNumId w:val="2"/>
  </w:num>
  <w:num w:numId="39" w16cid:durableId="280460236">
    <w:abstractNumId w:val="1"/>
  </w:num>
  <w:num w:numId="40" w16cid:durableId="1113289226">
    <w:abstractNumId w:val="0"/>
  </w:num>
  <w:num w:numId="41" w16cid:durableId="97650232">
    <w:abstractNumId w:val="10"/>
  </w:num>
  <w:num w:numId="42" w16cid:durableId="308826094">
    <w:abstractNumId w:val="10"/>
  </w:num>
  <w:num w:numId="43" w16cid:durableId="1208878606">
    <w:abstractNumId w:val="10"/>
  </w:num>
  <w:num w:numId="44" w16cid:durableId="1717268178">
    <w:abstractNumId w:val="12"/>
  </w:num>
  <w:num w:numId="45" w16cid:durableId="1174614646">
    <w:abstractNumId w:val="11"/>
  </w:num>
  <w:num w:numId="46" w16cid:durableId="105041659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2/2026"/>
    <w:docVar w:name="dvlangue" w:val="FR"/>
    <w:docVar w:name="dvnumam" w:val="0"/>
    <w:docVar w:name="dvpe" w:val="781.380"/>
    <w:docVar w:name="dvrapporteur" w:val="Rapporteur: "/>
    <w:docVar w:name="dvstar" w:val="***"/>
    <w:docVar w:name="dvtitre" w:val="Résolution législative du Parlement européen du ... 2026 sur le projet de décision du Conseil relative à la conclusion de l’accord de partenariat et de coopération renforcé entre l’Union européenne, d’une part, et la République d’Ouzbékistan, d’autre part(09190/2025 – C10-0280/2025 – 2024/0260(NLE))"/>
  </w:docVars>
  <w:rsids>
    <w:rsidRoot w:val="00FD070F"/>
    <w:rsid w:val="00002272"/>
    <w:rsid w:val="00064002"/>
    <w:rsid w:val="000677B9"/>
    <w:rsid w:val="00080CBE"/>
    <w:rsid w:val="000831BA"/>
    <w:rsid w:val="000A42CC"/>
    <w:rsid w:val="000E7DD9"/>
    <w:rsid w:val="0010095E"/>
    <w:rsid w:val="00125B37"/>
    <w:rsid w:val="00187494"/>
    <w:rsid w:val="001F32AE"/>
    <w:rsid w:val="001F3C95"/>
    <w:rsid w:val="00207E50"/>
    <w:rsid w:val="002767FF"/>
    <w:rsid w:val="002B18FE"/>
    <w:rsid w:val="002B5493"/>
    <w:rsid w:val="002C524C"/>
    <w:rsid w:val="00343214"/>
    <w:rsid w:val="00361C00"/>
    <w:rsid w:val="00395FA1"/>
    <w:rsid w:val="003D53EA"/>
    <w:rsid w:val="003E0E57"/>
    <w:rsid w:val="003E15D4"/>
    <w:rsid w:val="00411CCE"/>
    <w:rsid w:val="0041666E"/>
    <w:rsid w:val="00421060"/>
    <w:rsid w:val="00435D85"/>
    <w:rsid w:val="00471C19"/>
    <w:rsid w:val="004867E3"/>
    <w:rsid w:val="00494A28"/>
    <w:rsid w:val="004C0004"/>
    <w:rsid w:val="004C5D52"/>
    <w:rsid w:val="004E157C"/>
    <w:rsid w:val="004F127F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2430"/>
    <w:rsid w:val="00731ADD"/>
    <w:rsid w:val="00734777"/>
    <w:rsid w:val="00747932"/>
    <w:rsid w:val="00751A4A"/>
    <w:rsid w:val="00756632"/>
    <w:rsid w:val="00762C74"/>
    <w:rsid w:val="00786EC0"/>
    <w:rsid w:val="00794E82"/>
    <w:rsid w:val="007C044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B71EA"/>
    <w:rsid w:val="00AE0928"/>
    <w:rsid w:val="00AF23FB"/>
    <w:rsid w:val="00AF3B82"/>
    <w:rsid w:val="00B12E95"/>
    <w:rsid w:val="00B22876"/>
    <w:rsid w:val="00B558F0"/>
    <w:rsid w:val="00B97276"/>
    <w:rsid w:val="00BB16B9"/>
    <w:rsid w:val="00BD48FE"/>
    <w:rsid w:val="00BD62E0"/>
    <w:rsid w:val="00BD7BD8"/>
    <w:rsid w:val="00BE6ADC"/>
    <w:rsid w:val="00C05BFE"/>
    <w:rsid w:val="00C23CD4"/>
    <w:rsid w:val="00C61C0C"/>
    <w:rsid w:val="00C941CB"/>
    <w:rsid w:val="00C94E9B"/>
    <w:rsid w:val="00CC2357"/>
    <w:rsid w:val="00CF071A"/>
    <w:rsid w:val="00D01B44"/>
    <w:rsid w:val="00D058B8"/>
    <w:rsid w:val="00D06E80"/>
    <w:rsid w:val="00D351E0"/>
    <w:rsid w:val="00D56C11"/>
    <w:rsid w:val="00D834A0"/>
    <w:rsid w:val="00D872DF"/>
    <w:rsid w:val="00D91E21"/>
    <w:rsid w:val="00DA7FCD"/>
    <w:rsid w:val="00E365E1"/>
    <w:rsid w:val="00E4436F"/>
    <w:rsid w:val="00E820A4"/>
    <w:rsid w:val="00EB006A"/>
    <w:rsid w:val="00EB4772"/>
    <w:rsid w:val="00ED169E"/>
    <w:rsid w:val="00ED3C30"/>
    <w:rsid w:val="00ED4235"/>
    <w:rsid w:val="00F04346"/>
    <w:rsid w:val="00F075DC"/>
    <w:rsid w:val="00F149E9"/>
    <w:rsid w:val="00F5134D"/>
    <w:rsid w:val="00F544F1"/>
    <w:rsid w:val="00F74202"/>
    <w:rsid w:val="00F87713"/>
    <w:rsid w:val="00FA3BFD"/>
    <w:rsid w:val="00FB4360"/>
    <w:rsid w:val="00FD070F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31A7D6"/>
  <w15:chartTrackingRefBased/>
  <w15:docId w15:val="{F16AD2D1-285E-4BBB-A49D-2330E2899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E157C"/>
    <w:pPr>
      <w:spacing w:before="480" w:after="240"/>
    </w:pPr>
  </w:style>
  <w:style w:type="paragraph" w:customStyle="1" w:styleId="NormalBold">
    <w:name w:val="NormalBold"/>
    <w:basedOn w:val="Normal"/>
    <w:rsid w:val="004E157C"/>
    <w:rPr>
      <w:b/>
    </w:rPr>
  </w:style>
  <w:style w:type="paragraph" w:customStyle="1" w:styleId="NormalHanging12a">
    <w:name w:val="NormalHanging12a"/>
    <w:basedOn w:val="Normal"/>
    <w:rsid w:val="004E157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B16B9"/>
    <w:rPr>
      <w:sz w:val="24"/>
      <w:lang w:val="fr-FR"/>
    </w:rPr>
  </w:style>
  <w:style w:type="paragraph" w:customStyle="1" w:styleId="NormalBold12a">
    <w:name w:val="NormalBold12a"/>
    <w:basedOn w:val="Normal"/>
    <w:rsid w:val="00C94E9B"/>
    <w:pPr>
      <w:spacing w:after="24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MAGHOUZ Yousra_DLA</dc:creator>
  <cp:keywords/>
  <cp:lastModifiedBy>MAGHOUZ Yousra</cp:lastModifiedBy>
  <cp:revision>2</cp:revision>
  <cp:lastPrinted>2004-11-19T15:42:00Z</cp:lastPrinted>
  <dcterms:created xsi:type="dcterms:W3CDTF">2026-05-21T09:31:00Z</dcterms:created>
  <dcterms:modified xsi:type="dcterms:W3CDTF">2026-05-21T09:31:00Z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P10_TA(2026)0173_</vt:lpwstr>
  </property>
  <property fmtid="{D5CDD505-2E9C-101B-9397-08002B2CF9AE}" pid="4" name="&lt;Type&gt;">
    <vt:lpwstr>RR</vt:lpwstr>
  </property>
</Properties>
</file>