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DB0" w14:paraId="698EB7BC" w14:textId="77777777" w:rsidTr="0010095E">
        <w:trPr>
          <w:trHeight w:hRule="exact" w:val="1418"/>
        </w:trPr>
        <w:tc>
          <w:tcPr>
            <w:tcW w:w="6804" w:type="dxa"/>
            <w:shd w:val="clear" w:color="auto" w:fill="auto"/>
            <w:vAlign w:val="center"/>
          </w:tcPr>
          <w:p w14:paraId="409082C1" w14:textId="77777777" w:rsidR="00751A4A" w:rsidRPr="00FB7DB0" w:rsidRDefault="00531224" w:rsidP="0010095E">
            <w:pPr>
              <w:pStyle w:val="EPName"/>
            </w:pPr>
            <w:r w:rsidRPr="00FB7DB0">
              <w:t>Parlamento Europeo</w:t>
            </w:r>
          </w:p>
          <w:p w14:paraId="02F50281" w14:textId="77777777" w:rsidR="00751A4A" w:rsidRPr="00FB7DB0" w:rsidRDefault="005F1B17" w:rsidP="005F1B17">
            <w:pPr>
              <w:pStyle w:val="EPTerm"/>
              <w:rPr>
                <w:rStyle w:val="HideTWBExt"/>
                <w:noProof w:val="0"/>
                <w:vanish w:val="0"/>
                <w:color w:val="auto"/>
              </w:rPr>
            </w:pPr>
            <w:r w:rsidRPr="00FB7DB0">
              <w:t>2024</w:t>
            </w:r>
            <w:r w:rsidR="00817416" w:rsidRPr="00FB7DB0">
              <w:t>-202</w:t>
            </w:r>
            <w:r w:rsidRPr="00FB7DB0">
              <w:t>9</w:t>
            </w:r>
          </w:p>
        </w:tc>
        <w:tc>
          <w:tcPr>
            <w:tcW w:w="2268" w:type="dxa"/>
            <w:shd w:val="clear" w:color="auto" w:fill="auto"/>
          </w:tcPr>
          <w:p w14:paraId="0C6DC0EB" w14:textId="77777777" w:rsidR="00751A4A" w:rsidRPr="00FB7DB0" w:rsidRDefault="00187494" w:rsidP="0010095E">
            <w:pPr>
              <w:pStyle w:val="EPLogo"/>
            </w:pPr>
            <w:r w:rsidRPr="00FB7DB0">
              <w:rPr>
                <w:noProof/>
                <w:lang w:eastAsia="ja-JP"/>
              </w:rPr>
              <w:drawing>
                <wp:inline distT="0" distB="0" distL="0" distR="0" wp14:anchorId="585720C1" wp14:editId="21907C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2B9941" w14:textId="77777777" w:rsidR="00D058B8" w:rsidRPr="00FB7DB0" w:rsidRDefault="00D058B8" w:rsidP="004C5D52">
      <w:pPr>
        <w:pStyle w:val="LineTop"/>
      </w:pPr>
    </w:p>
    <w:p w14:paraId="5AA327BB" w14:textId="77777777" w:rsidR="00680577" w:rsidRPr="00FB7DB0" w:rsidRDefault="00531224" w:rsidP="00680577">
      <w:pPr>
        <w:pStyle w:val="EPBodyTA1"/>
      </w:pPr>
      <w:r w:rsidRPr="00FB7DB0">
        <w:t>TEXTOS APROBADOS</w:t>
      </w:r>
    </w:p>
    <w:p w14:paraId="403817F6" w14:textId="77777777" w:rsidR="00D058B8" w:rsidRPr="00FB7DB0" w:rsidRDefault="00D058B8" w:rsidP="00D058B8">
      <w:pPr>
        <w:pStyle w:val="LineBottom"/>
      </w:pPr>
    </w:p>
    <w:p w14:paraId="42FC08D7" w14:textId="14AF4F26" w:rsidR="00531224" w:rsidRPr="008B0C73" w:rsidRDefault="00531224" w:rsidP="00531224">
      <w:pPr>
        <w:pStyle w:val="ATHeading1"/>
      </w:pPr>
      <w:bookmarkStart w:id="0" w:name="TANumber"/>
      <w:r w:rsidRPr="008B0C73">
        <w:t>P10_TA(2026)0</w:t>
      </w:r>
      <w:r w:rsidR="00F56848" w:rsidRPr="008B0C73">
        <w:t>175</w:t>
      </w:r>
      <w:bookmarkEnd w:id="0"/>
    </w:p>
    <w:p w14:paraId="59EBFD17" w14:textId="77777777" w:rsidR="00531224" w:rsidRPr="008B0C73" w:rsidRDefault="00531224" w:rsidP="00531224">
      <w:pPr>
        <w:pStyle w:val="ATHeading2"/>
      </w:pPr>
      <w:bookmarkStart w:id="1" w:name="title"/>
      <w:r w:rsidRPr="008B0C73">
        <w:t>Convenio Internacional del Aceite de Oliva y de las Aceitunas de Mesa: enmienda del artículo 36</w:t>
      </w:r>
      <w:bookmarkEnd w:id="1"/>
    </w:p>
    <w:p w14:paraId="4D594527" w14:textId="77777777" w:rsidR="00531224" w:rsidRPr="00FB7DB0" w:rsidRDefault="00531224" w:rsidP="00531224">
      <w:pPr>
        <w:rPr>
          <w:i/>
          <w:vanish/>
        </w:rPr>
      </w:pPr>
      <w:r w:rsidRPr="00FB7DB0">
        <w:rPr>
          <w:i/>
        </w:rPr>
        <w:fldChar w:fldCharType="begin"/>
      </w:r>
      <w:r w:rsidRPr="00FB7DB0">
        <w:rPr>
          <w:i/>
        </w:rPr>
        <w:instrText xml:space="preserve"> TC"(</w:instrText>
      </w:r>
      <w:bookmarkStart w:id="2" w:name="DocNumber"/>
      <w:r w:rsidRPr="00FB7DB0">
        <w:rPr>
          <w:i/>
        </w:rPr>
        <w:instrText>A10-0101/2026</w:instrText>
      </w:r>
      <w:bookmarkEnd w:id="2"/>
      <w:r w:rsidRPr="00FB7DB0">
        <w:rPr>
          <w:i/>
        </w:rPr>
        <w:instrText xml:space="preserve"> - Ponente: Bernd Lange)"\l3 \n&gt; \* MERGEFORMAT </w:instrText>
      </w:r>
      <w:r w:rsidRPr="00FB7DB0">
        <w:rPr>
          <w:i/>
        </w:rPr>
        <w:fldChar w:fldCharType="end"/>
      </w:r>
    </w:p>
    <w:p w14:paraId="74BED549" w14:textId="77777777" w:rsidR="00531224" w:rsidRPr="00FB7DB0" w:rsidRDefault="00531224" w:rsidP="00531224">
      <w:pPr>
        <w:rPr>
          <w:vanish/>
        </w:rPr>
      </w:pPr>
      <w:bookmarkStart w:id="3" w:name="Commission"/>
      <w:r w:rsidRPr="00FB7DB0">
        <w:rPr>
          <w:vanish/>
        </w:rPr>
        <w:t>Comisión de Comercio Internacional</w:t>
      </w:r>
      <w:bookmarkEnd w:id="3"/>
    </w:p>
    <w:p w14:paraId="580955D7" w14:textId="77777777" w:rsidR="00531224" w:rsidRPr="00FB7DB0" w:rsidRDefault="00531224" w:rsidP="00531224">
      <w:pPr>
        <w:rPr>
          <w:vanish/>
        </w:rPr>
      </w:pPr>
      <w:bookmarkStart w:id="4" w:name="PE"/>
      <w:r w:rsidRPr="00FB7DB0">
        <w:rPr>
          <w:vanish/>
        </w:rPr>
        <w:t>PE785.190</w:t>
      </w:r>
      <w:bookmarkEnd w:id="4"/>
    </w:p>
    <w:p w14:paraId="792F10EA" w14:textId="77777777" w:rsidR="00531224" w:rsidRPr="008B0C73" w:rsidRDefault="00531224" w:rsidP="00531224">
      <w:pPr>
        <w:pStyle w:val="ATHeading3"/>
      </w:pPr>
      <w:bookmarkStart w:id="5" w:name="Sujet"/>
      <w:r w:rsidRPr="008B0C73">
        <w:t>Resolución legislativa del Parlamento Europeo, de 20 de mayo de 2026, sobre el proyecto de Decisión del Consejo relativa a la aprobación, en nombre de la Unión, de la enmienda del artículo 36 del Convenio Internacional del Aceite de Oliva y de las Aceitunas de Mesa de 2015</w:t>
      </w:r>
      <w:bookmarkEnd w:id="5"/>
      <w:r w:rsidRPr="008B0C73">
        <w:t xml:space="preserve"> </w:t>
      </w:r>
      <w:bookmarkStart w:id="6" w:name="References"/>
      <w:r w:rsidRPr="008B0C73">
        <w:t>(15592/2025 – C10-0001/2026 – 2025/0193(NLE))</w:t>
      </w:r>
      <w:bookmarkEnd w:id="6"/>
    </w:p>
    <w:p w14:paraId="7529F291" w14:textId="0B1E51C7" w:rsidR="009A6A9E" w:rsidRPr="008B0C73" w:rsidRDefault="009A6A9E" w:rsidP="009A6A9E">
      <w:pPr>
        <w:pStyle w:val="NormalBold"/>
        <w:rPr>
          <w:lang w:val="es-ES"/>
        </w:rPr>
      </w:pPr>
      <w:r w:rsidRPr="008B0C73">
        <w:rPr>
          <w:lang w:val="es-ES"/>
        </w:rPr>
        <w:t>(Aprobación)</w:t>
      </w:r>
    </w:p>
    <w:p w14:paraId="1A392C8F" w14:textId="77777777" w:rsidR="00D50520" w:rsidRPr="00FB7DB0" w:rsidRDefault="00D50520" w:rsidP="00D50520">
      <w:pPr>
        <w:pStyle w:val="EPComma"/>
      </w:pPr>
      <w:r w:rsidRPr="00FB7DB0">
        <w:rPr>
          <w:i/>
        </w:rPr>
        <w:t>El Parlamento Europeo</w:t>
      </w:r>
      <w:r w:rsidRPr="00FB7DB0">
        <w:t>,</w:t>
      </w:r>
    </w:p>
    <w:p w14:paraId="1E6F30AF" w14:textId="77777777" w:rsidR="00D50520" w:rsidRPr="00FB7DB0" w:rsidRDefault="00D50520" w:rsidP="00D50520">
      <w:pPr>
        <w:pStyle w:val="NormalHanging12a"/>
      </w:pPr>
      <w:r w:rsidRPr="00FB7DB0">
        <w:t>–</w:t>
      </w:r>
      <w:r w:rsidRPr="00FB7DB0">
        <w:tab/>
        <w:t>Visto el proyecto de Decisión del Consejo (15592/2025),</w:t>
      </w:r>
    </w:p>
    <w:p w14:paraId="2AAB6F09" w14:textId="77777777" w:rsidR="00D50520" w:rsidRPr="00FB7DB0" w:rsidRDefault="00D50520" w:rsidP="00D50520">
      <w:pPr>
        <w:pStyle w:val="NormalHanging12a"/>
      </w:pPr>
      <w:r w:rsidRPr="00FB7DB0">
        <w:t>–</w:t>
      </w:r>
      <w:r w:rsidRPr="00FB7DB0">
        <w:tab/>
        <w:t>Visto el proyecto de enmienda del artículo 36 del Convenio Internacional del Aceite de Oliva y de las Aceitunas de Mesa (15592/2025),</w:t>
      </w:r>
    </w:p>
    <w:p w14:paraId="0DCF6E5C" w14:textId="77777777" w:rsidR="00D50520" w:rsidRPr="00FB7DB0" w:rsidRDefault="00D50520" w:rsidP="00D50520">
      <w:pPr>
        <w:pStyle w:val="NormalHanging12a"/>
      </w:pPr>
      <w:r w:rsidRPr="00FB7DB0">
        <w:t>–</w:t>
      </w:r>
      <w:r w:rsidRPr="00FB7DB0">
        <w:tab/>
        <w:t>Vista la solicitud de aprobación presentada por el Consejo de conformidad con el artículo 207, apartado 4, párrafo primero, así como con el artículo 218, apartado 6, párrafo segundo, letra a), inciso v), del Tratado de Funcionamiento de la Unión Europea (C10</w:t>
      </w:r>
      <w:r w:rsidRPr="00FB7DB0">
        <w:noBreakHyphen/>
        <w:t>0001/2026),</w:t>
      </w:r>
    </w:p>
    <w:p w14:paraId="69C97AD6" w14:textId="77777777" w:rsidR="00D50520" w:rsidRPr="00FB7DB0" w:rsidRDefault="00D50520" w:rsidP="00D50520">
      <w:pPr>
        <w:pStyle w:val="NormalHanging12a"/>
      </w:pPr>
      <w:r w:rsidRPr="00FB7DB0">
        <w:t>–</w:t>
      </w:r>
      <w:r w:rsidRPr="00FB7DB0">
        <w:tab/>
        <w:t>Visto el artículo 107, apartados 1 y 4, así como el artículo 117, apartado 7, de su Reglamento interno,</w:t>
      </w:r>
    </w:p>
    <w:p w14:paraId="717A6584" w14:textId="77777777" w:rsidR="00D50520" w:rsidRPr="00FB7DB0" w:rsidRDefault="00D50520" w:rsidP="00D50520">
      <w:pPr>
        <w:pStyle w:val="NormalHanging12a"/>
      </w:pPr>
      <w:r w:rsidRPr="00FB7DB0">
        <w:t>–</w:t>
      </w:r>
      <w:r w:rsidRPr="00FB7DB0">
        <w:tab/>
        <w:t>Vista la opinión en forma de carta de la Comisión de Agricultura y Desarrollo Rural,</w:t>
      </w:r>
    </w:p>
    <w:p w14:paraId="7F9569DE" w14:textId="77777777" w:rsidR="00D50520" w:rsidRPr="00FB7DB0" w:rsidRDefault="00D50520" w:rsidP="00D50520">
      <w:pPr>
        <w:pStyle w:val="NormalHanging12a"/>
      </w:pPr>
      <w:r w:rsidRPr="00FB7DB0">
        <w:t>–</w:t>
      </w:r>
      <w:r w:rsidRPr="00FB7DB0">
        <w:tab/>
        <w:t>Vista la Recomendación de la Comisión de Comercio Internacional (A10-0101/2026),</w:t>
      </w:r>
    </w:p>
    <w:p w14:paraId="220B5FAA" w14:textId="6013DFCE" w:rsidR="00D50520" w:rsidRPr="00FB7DB0" w:rsidRDefault="00D50520" w:rsidP="00D50520">
      <w:pPr>
        <w:pStyle w:val="NormalHanging12a"/>
      </w:pPr>
      <w:r w:rsidRPr="00FB7DB0">
        <w:t>1.</w:t>
      </w:r>
      <w:r w:rsidRPr="00FB7DB0">
        <w:tab/>
        <w:t xml:space="preserve">Concede su aprobación </w:t>
      </w:r>
      <w:r w:rsidR="00621912" w:rsidRPr="00FB7DB0">
        <w:t xml:space="preserve">a la adopción de la </w:t>
      </w:r>
      <w:r w:rsidRPr="00FB7DB0">
        <w:t>modificación del Convenio;</w:t>
      </w:r>
    </w:p>
    <w:p w14:paraId="2961B388" w14:textId="1A28BA47" w:rsidR="00F82B5C" w:rsidRPr="00FB7DB0" w:rsidRDefault="00D50520" w:rsidP="00F82B5C">
      <w:pPr>
        <w:pStyle w:val="NormalHanging12a"/>
      </w:pPr>
      <w:r w:rsidRPr="00FB7DB0">
        <w:t>2.</w:t>
      </w:r>
      <w:r w:rsidRPr="00FB7DB0">
        <w:tab/>
        <w:t>Encarga a su presidenta que transmita la Posición del Parlamento al Consejo y a la Comisión, así como a los Gobiernos y Parlamentos de los Estados miembros.</w:t>
      </w:r>
    </w:p>
    <w:p w14:paraId="1E9E1B2D" w14:textId="7EC5D885" w:rsidR="00E365E1" w:rsidRPr="00FB7DB0" w:rsidRDefault="00E365E1" w:rsidP="00D50520"/>
    <w:sectPr w:rsidR="00E365E1" w:rsidRPr="00FB7DB0" w:rsidSect="00F82B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86B8F" w14:textId="77777777" w:rsidR="00531224" w:rsidRPr="00F82B5C" w:rsidRDefault="00531224">
      <w:r w:rsidRPr="00F82B5C">
        <w:separator/>
      </w:r>
    </w:p>
  </w:endnote>
  <w:endnote w:type="continuationSeparator" w:id="0">
    <w:p w14:paraId="471EE202" w14:textId="77777777" w:rsidR="00531224" w:rsidRPr="00F82B5C" w:rsidRDefault="00531224">
      <w:r w:rsidRPr="00F82B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C023" w14:textId="77777777" w:rsidR="00064002" w:rsidRPr="00F82B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AA26" w14:textId="77777777" w:rsidR="00064002" w:rsidRPr="00F82B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1852" w14:textId="77777777" w:rsidR="00064002" w:rsidRPr="00F82B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9D4A6" w14:textId="77777777" w:rsidR="00531224" w:rsidRPr="00F82B5C" w:rsidRDefault="00531224">
      <w:r w:rsidRPr="00F82B5C">
        <w:separator/>
      </w:r>
    </w:p>
  </w:footnote>
  <w:footnote w:type="continuationSeparator" w:id="0">
    <w:p w14:paraId="7D391999" w14:textId="77777777" w:rsidR="00531224" w:rsidRPr="00F82B5C" w:rsidRDefault="00531224">
      <w:r w:rsidRPr="00F82B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B47F" w14:textId="77777777" w:rsidR="00064002" w:rsidRPr="00F82B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09A9" w14:textId="77777777" w:rsidR="00064002" w:rsidRPr="00F82B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A186" w14:textId="77777777" w:rsidR="00064002" w:rsidRPr="00F82B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4701423">
    <w:abstractNumId w:val="9"/>
  </w:num>
  <w:num w:numId="2" w16cid:durableId="306129756">
    <w:abstractNumId w:val="9"/>
  </w:num>
  <w:num w:numId="3" w16cid:durableId="2008167422">
    <w:abstractNumId w:val="7"/>
  </w:num>
  <w:num w:numId="4" w16cid:durableId="88477122">
    <w:abstractNumId w:val="7"/>
  </w:num>
  <w:num w:numId="5" w16cid:durableId="160313918">
    <w:abstractNumId w:val="6"/>
  </w:num>
  <w:num w:numId="6" w16cid:durableId="471093767">
    <w:abstractNumId w:val="6"/>
  </w:num>
  <w:num w:numId="7" w16cid:durableId="1501656461">
    <w:abstractNumId w:val="5"/>
  </w:num>
  <w:num w:numId="8" w16cid:durableId="1737243457">
    <w:abstractNumId w:val="5"/>
  </w:num>
  <w:num w:numId="9" w16cid:durableId="1094202175">
    <w:abstractNumId w:val="4"/>
  </w:num>
  <w:num w:numId="10" w16cid:durableId="1006248576">
    <w:abstractNumId w:val="4"/>
  </w:num>
  <w:num w:numId="11" w16cid:durableId="623460511">
    <w:abstractNumId w:val="8"/>
  </w:num>
  <w:num w:numId="12" w16cid:durableId="911743098">
    <w:abstractNumId w:val="8"/>
  </w:num>
  <w:num w:numId="13" w16cid:durableId="1428118725">
    <w:abstractNumId w:val="3"/>
  </w:num>
  <w:num w:numId="14" w16cid:durableId="767580398">
    <w:abstractNumId w:val="3"/>
  </w:num>
  <w:num w:numId="15" w16cid:durableId="733621649">
    <w:abstractNumId w:val="2"/>
  </w:num>
  <w:num w:numId="16" w16cid:durableId="605886484">
    <w:abstractNumId w:val="2"/>
  </w:num>
  <w:num w:numId="17" w16cid:durableId="1063067135">
    <w:abstractNumId w:val="1"/>
  </w:num>
  <w:num w:numId="18" w16cid:durableId="1830486790">
    <w:abstractNumId w:val="1"/>
  </w:num>
  <w:num w:numId="19" w16cid:durableId="1937520563">
    <w:abstractNumId w:val="0"/>
  </w:num>
  <w:num w:numId="20" w16cid:durableId="448742675">
    <w:abstractNumId w:val="0"/>
  </w:num>
  <w:num w:numId="21" w16cid:durableId="1345473354">
    <w:abstractNumId w:val="9"/>
  </w:num>
  <w:num w:numId="22" w16cid:durableId="1267343260">
    <w:abstractNumId w:val="7"/>
  </w:num>
  <w:num w:numId="23" w16cid:durableId="294680779">
    <w:abstractNumId w:val="6"/>
  </w:num>
  <w:num w:numId="24" w16cid:durableId="1180045342">
    <w:abstractNumId w:val="5"/>
  </w:num>
  <w:num w:numId="25" w16cid:durableId="1265771528">
    <w:abstractNumId w:val="4"/>
  </w:num>
  <w:num w:numId="26" w16cid:durableId="617445764">
    <w:abstractNumId w:val="8"/>
  </w:num>
  <w:num w:numId="27" w16cid:durableId="572816640">
    <w:abstractNumId w:val="3"/>
  </w:num>
  <w:num w:numId="28" w16cid:durableId="1596666701">
    <w:abstractNumId w:val="2"/>
  </w:num>
  <w:num w:numId="29" w16cid:durableId="321593068">
    <w:abstractNumId w:val="1"/>
  </w:num>
  <w:num w:numId="30" w16cid:durableId="2126079591">
    <w:abstractNumId w:val="0"/>
  </w:num>
  <w:num w:numId="31" w16cid:durableId="246039329">
    <w:abstractNumId w:val="9"/>
  </w:num>
  <w:num w:numId="32" w16cid:durableId="899442443">
    <w:abstractNumId w:val="7"/>
  </w:num>
  <w:num w:numId="33" w16cid:durableId="655106113">
    <w:abstractNumId w:val="6"/>
  </w:num>
  <w:num w:numId="34" w16cid:durableId="64305864">
    <w:abstractNumId w:val="5"/>
  </w:num>
  <w:num w:numId="35" w16cid:durableId="1563174136">
    <w:abstractNumId w:val="4"/>
  </w:num>
  <w:num w:numId="36" w16cid:durableId="315888625">
    <w:abstractNumId w:val="8"/>
  </w:num>
  <w:num w:numId="37" w16cid:durableId="1695809573">
    <w:abstractNumId w:val="3"/>
  </w:num>
  <w:num w:numId="38" w16cid:durableId="1778939367">
    <w:abstractNumId w:val="2"/>
  </w:num>
  <w:num w:numId="39" w16cid:durableId="1000276042">
    <w:abstractNumId w:val="1"/>
  </w:num>
  <w:num w:numId="40" w16cid:durableId="520826428">
    <w:abstractNumId w:val="0"/>
  </w:num>
  <w:num w:numId="41" w16cid:durableId="967853776">
    <w:abstractNumId w:val="10"/>
  </w:num>
  <w:num w:numId="42" w16cid:durableId="1907497153">
    <w:abstractNumId w:val="10"/>
  </w:num>
  <w:num w:numId="43" w16cid:durableId="1527593429">
    <w:abstractNumId w:val="10"/>
  </w:num>
  <w:num w:numId="44" w16cid:durableId="2035186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ES"/>
    <w:docVar w:name="dvnumam" w:val="0"/>
    <w:docVar w:name="dvpe" w:val="785.190"/>
    <w:docVar w:name="dvrapporteur" w:val="Ponente: "/>
    <w:docVar w:name="dvstar" w:val="***"/>
    <w:docVar w:name="dvtitre" w:val="Resolución legislativa del Parlamento Europeo, de 20 de mayo de 2026, sobre el proyecto de Decisión del Consejo relativa a la aprobación, en nombre de la Unión, de la enmienda del artículo 36 del Convenio Internacional del Aceite de Oliva y de las Aceitunas de Mesa de 2015(15592/2025 – C10-0001/2026 – 2025/0193(NLE))"/>
  </w:docVars>
  <w:rsids>
    <w:rsidRoot w:val="0053122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647"/>
    <w:rsid w:val="00445BEC"/>
    <w:rsid w:val="00471C19"/>
    <w:rsid w:val="004867E3"/>
    <w:rsid w:val="00494A28"/>
    <w:rsid w:val="004C0004"/>
    <w:rsid w:val="004C5D52"/>
    <w:rsid w:val="0050519A"/>
    <w:rsid w:val="005072A1"/>
    <w:rsid w:val="00514517"/>
    <w:rsid w:val="00531224"/>
    <w:rsid w:val="00545827"/>
    <w:rsid w:val="00560270"/>
    <w:rsid w:val="005C2568"/>
    <w:rsid w:val="005F1B17"/>
    <w:rsid w:val="006037C0"/>
    <w:rsid w:val="0062191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C73"/>
    <w:rsid w:val="008C2AC6"/>
    <w:rsid w:val="00930C23"/>
    <w:rsid w:val="0093193B"/>
    <w:rsid w:val="009509D8"/>
    <w:rsid w:val="00950B64"/>
    <w:rsid w:val="00981893"/>
    <w:rsid w:val="009A6A9E"/>
    <w:rsid w:val="00A1687D"/>
    <w:rsid w:val="00A43E52"/>
    <w:rsid w:val="00A4678D"/>
    <w:rsid w:val="00A778C7"/>
    <w:rsid w:val="00AB441E"/>
    <w:rsid w:val="00AB6293"/>
    <w:rsid w:val="00AE0928"/>
    <w:rsid w:val="00AF3B82"/>
    <w:rsid w:val="00B1160E"/>
    <w:rsid w:val="00B12E95"/>
    <w:rsid w:val="00B22876"/>
    <w:rsid w:val="00B558F0"/>
    <w:rsid w:val="00BD48FE"/>
    <w:rsid w:val="00BD7BD8"/>
    <w:rsid w:val="00BE6ADC"/>
    <w:rsid w:val="00C05BFE"/>
    <w:rsid w:val="00C23CD4"/>
    <w:rsid w:val="00C61C0C"/>
    <w:rsid w:val="00C941CB"/>
    <w:rsid w:val="00CC2357"/>
    <w:rsid w:val="00CF071A"/>
    <w:rsid w:val="00D058B8"/>
    <w:rsid w:val="00D5052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848"/>
    <w:rsid w:val="00F74202"/>
    <w:rsid w:val="00F82B5C"/>
    <w:rsid w:val="00F87713"/>
    <w:rsid w:val="00FB4360"/>
    <w:rsid w:val="00FB7DB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C066A"/>
  <w15:chartTrackingRefBased/>
  <w15:docId w15:val="{A6E0B7BB-7A76-4C2E-B961-5CDBB38A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0520"/>
    <w:pPr>
      <w:spacing w:before="480" w:after="240"/>
    </w:pPr>
  </w:style>
  <w:style w:type="paragraph" w:customStyle="1" w:styleId="NormalHanging12a">
    <w:name w:val="NormalHanging12a"/>
    <w:basedOn w:val="Normal"/>
    <w:rsid w:val="00D50520"/>
    <w:pPr>
      <w:spacing w:after="240"/>
      <w:ind w:left="567" w:hanging="567"/>
    </w:pPr>
  </w:style>
  <w:style w:type="paragraph" w:customStyle="1" w:styleId="NormalBold">
    <w:name w:val="NormalBold"/>
    <w:basedOn w:val="Normal"/>
    <w:rsid w:val="009A6A9E"/>
    <w:rPr>
      <w:b/>
      <w:lang w:val="en-GB"/>
    </w:rPr>
  </w:style>
  <w:style w:type="character" w:styleId="CommentReference">
    <w:name w:val="annotation reference"/>
    <w:basedOn w:val="DefaultParagraphFont"/>
    <w:rsid w:val="009A6A9E"/>
    <w:rPr>
      <w:sz w:val="16"/>
      <w:szCs w:val="16"/>
    </w:rPr>
  </w:style>
  <w:style w:type="paragraph" w:styleId="CommentText">
    <w:name w:val="annotation text"/>
    <w:basedOn w:val="Normal"/>
    <w:link w:val="CommentTextChar"/>
    <w:rsid w:val="009A6A9E"/>
    <w:rPr>
      <w:sz w:val="20"/>
      <w:lang w:val="en-GB"/>
    </w:rPr>
  </w:style>
  <w:style w:type="character" w:customStyle="1" w:styleId="CommentTextChar">
    <w:name w:val="Comment Text Char"/>
    <w:basedOn w:val="DefaultParagraphFont"/>
    <w:link w:val="CommentText"/>
    <w:rsid w:val="009A6A9E"/>
  </w:style>
  <w:style w:type="paragraph" w:styleId="Revision">
    <w:name w:val="Revision"/>
    <w:hidden/>
    <w:uiPriority w:val="99"/>
    <w:semiHidden/>
    <w:rsid w:val="0062191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MLG_PE</cp:lastModifiedBy>
  <cp:revision>2</cp:revision>
  <cp:lastPrinted>2004-11-19T15:42:00Z</cp:lastPrinted>
  <dcterms:created xsi:type="dcterms:W3CDTF">2026-05-20T13:01:00Z</dcterms:created>
  <dcterms:modified xsi:type="dcterms:W3CDTF">2026-05-20T13:01:00Z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A10-0101/2026</vt:lpwstr>
  </property>
  <property fmtid="{D5CDD505-2E9C-101B-9397-08002B2CF9AE}" pid="4" name="&lt;Type&gt;">
    <vt:lpwstr>RR</vt:lpwstr>
  </property>
</Properties>
</file>