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17E" w14:paraId="1E6B8FB9" w14:textId="77777777" w:rsidTr="0010095E">
        <w:trPr>
          <w:trHeight w:hRule="exact" w:val="1418"/>
        </w:trPr>
        <w:tc>
          <w:tcPr>
            <w:tcW w:w="6804" w:type="dxa"/>
            <w:shd w:val="clear" w:color="auto" w:fill="auto"/>
            <w:vAlign w:val="center"/>
          </w:tcPr>
          <w:p w14:paraId="01355434" w14:textId="77777777" w:rsidR="00751A4A" w:rsidRPr="00D2217E" w:rsidRDefault="001D1C58" w:rsidP="0010095E">
            <w:pPr>
              <w:pStyle w:val="EPName"/>
            </w:pPr>
            <w:r w:rsidRPr="00D2217E">
              <w:t>Europa-Parlamentet</w:t>
            </w:r>
          </w:p>
          <w:p w14:paraId="75EC098E" w14:textId="77777777" w:rsidR="00751A4A" w:rsidRPr="00D2217E" w:rsidRDefault="005F1B17" w:rsidP="005F1B17">
            <w:pPr>
              <w:pStyle w:val="EPTerm"/>
              <w:rPr>
                <w:rStyle w:val="HideTWBExt"/>
                <w:noProof w:val="0"/>
                <w:vanish w:val="0"/>
                <w:color w:val="auto"/>
              </w:rPr>
            </w:pPr>
            <w:r w:rsidRPr="00D2217E">
              <w:t>2024</w:t>
            </w:r>
            <w:r w:rsidR="00817416" w:rsidRPr="00D2217E">
              <w:t>-202</w:t>
            </w:r>
            <w:r w:rsidRPr="00D2217E">
              <w:t>9</w:t>
            </w:r>
          </w:p>
        </w:tc>
        <w:tc>
          <w:tcPr>
            <w:tcW w:w="2268" w:type="dxa"/>
            <w:shd w:val="clear" w:color="auto" w:fill="auto"/>
          </w:tcPr>
          <w:p w14:paraId="7B379567" w14:textId="77777777" w:rsidR="00751A4A" w:rsidRPr="00D2217E" w:rsidRDefault="00187494" w:rsidP="0010095E">
            <w:pPr>
              <w:pStyle w:val="EPLogo"/>
            </w:pPr>
            <w:r w:rsidRPr="00D2217E">
              <w:rPr>
                <w:noProof/>
                <w:lang w:eastAsia="ja-JP"/>
              </w:rPr>
              <w:drawing>
                <wp:inline distT="0" distB="0" distL="0" distR="0" wp14:anchorId="7AF25F97" wp14:editId="3F4A2D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757710" w14:textId="77777777" w:rsidR="00D058B8" w:rsidRPr="00D2217E" w:rsidRDefault="00D058B8" w:rsidP="004C5D52">
      <w:pPr>
        <w:pStyle w:val="LineTop"/>
      </w:pPr>
    </w:p>
    <w:p w14:paraId="786565E5" w14:textId="77777777" w:rsidR="00680577" w:rsidRPr="00D2217E" w:rsidRDefault="001D1C58" w:rsidP="00680577">
      <w:pPr>
        <w:pStyle w:val="EPBodyTA1"/>
      </w:pPr>
      <w:r w:rsidRPr="00D2217E">
        <w:t>VEDTAGNE TEKSTER</w:t>
      </w:r>
    </w:p>
    <w:p w14:paraId="6502EE29" w14:textId="77777777" w:rsidR="00D058B8" w:rsidRPr="00D2217E" w:rsidRDefault="00D058B8" w:rsidP="00D058B8">
      <w:pPr>
        <w:pStyle w:val="LineBottom"/>
      </w:pPr>
    </w:p>
    <w:p w14:paraId="3C77915B" w14:textId="37A03D0D" w:rsidR="001D1C58" w:rsidRPr="00D2217E" w:rsidRDefault="001D1C58" w:rsidP="001D1C58">
      <w:pPr>
        <w:pStyle w:val="ATHeading1"/>
      </w:pPr>
      <w:bookmarkStart w:id="0" w:name="TANumber"/>
      <w:r w:rsidRPr="00D2217E">
        <w:t>P10_TA(2026)0</w:t>
      </w:r>
      <w:bookmarkEnd w:id="0"/>
      <w:r w:rsidR="00E312E4">
        <w:t>177</w:t>
      </w:r>
    </w:p>
    <w:p w14:paraId="52103091" w14:textId="35BB7F6D" w:rsidR="001D1C58" w:rsidRPr="00AE7ACF" w:rsidRDefault="00AE7ACF" w:rsidP="00AE7ACF">
      <w:pPr>
        <w:pStyle w:val="ATHeading2"/>
      </w:pPr>
      <w:r w:rsidRPr="00C11306">
        <w:rPr>
          <w:bCs/>
        </w:rPr>
        <w:t xml:space="preserve">Aftale mellem EU og Libanon om samarbejde mellem </w:t>
      </w:r>
      <w:proofErr w:type="spellStart"/>
      <w:r w:rsidRPr="00C11306">
        <w:rPr>
          <w:bCs/>
        </w:rPr>
        <w:t>Eurojust</w:t>
      </w:r>
      <w:proofErr w:type="spellEnd"/>
      <w:r w:rsidRPr="00C11306">
        <w:rPr>
          <w:bCs/>
        </w:rPr>
        <w:t xml:space="preserve"> og Libanons myndigheder med</w:t>
      </w:r>
      <w:r>
        <w:rPr>
          <w:bCs/>
        </w:rPr>
        <w:t xml:space="preserve"> </w:t>
      </w:r>
      <w:r w:rsidRPr="00C11306">
        <w:rPr>
          <w:bCs/>
        </w:rPr>
        <w:t>ansvar for retligt samarbejde i straffesager</w:t>
      </w:r>
    </w:p>
    <w:p w14:paraId="522402B7" w14:textId="77777777" w:rsidR="001D1C58" w:rsidRPr="00D2217E" w:rsidRDefault="001D1C58" w:rsidP="001D1C58">
      <w:pPr>
        <w:rPr>
          <w:i/>
          <w:vanish/>
        </w:rPr>
      </w:pPr>
      <w:r w:rsidRPr="00D2217E">
        <w:rPr>
          <w:i/>
        </w:rPr>
        <w:fldChar w:fldCharType="begin"/>
      </w:r>
      <w:r w:rsidRPr="00D2217E">
        <w:rPr>
          <w:i/>
        </w:rPr>
        <w:instrText xml:space="preserve"> TC"(</w:instrText>
      </w:r>
      <w:bookmarkStart w:id="1" w:name="DocNumber"/>
      <w:r w:rsidRPr="00D2217E">
        <w:rPr>
          <w:i/>
        </w:rPr>
        <w:instrText>A10-0132/2026</w:instrText>
      </w:r>
      <w:bookmarkEnd w:id="1"/>
      <w:r w:rsidRPr="00D2217E">
        <w:rPr>
          <w:i/>
        </w:rPr>
        <w:instrText xml:space="preserve"> - Ordfører: Jaroslav </w:instrText>
      </w:r>
      <w:proofErr w:type="spellStart"/>
      <w:r w:rsidRPr="00D2217E">
        <w:rPr>
          <w:i/>
        </w:rPr>
        <w:instrText>Bžoch</w:instrText>
      </w:r>
      <w:proofErr w:type="spellEnd"/>
      <w:r w:rsidRPr="00D2217E">
        <w:rPr>
          <w:i/>
        </w:rPr>
        <w:instrText xml:space="preserve">)"\l3 \n&gt; \* MERGEFORMAT </w:instrText>
      </w:r>
      <w:r w:rsidRPr="00D2217E">
        <w:rPr>
          <w:i/>
        </w:rPr>
        <w:fldChar w:fldCharType="end"/>
      </w:r>
    </w:p>
    <w:p w14:paraId="4A8910BA" w14:textId="77777777" w:rsidR="001D1C58" w:rsidRPr="00D2217E" w:rsidRDefault="001D1C58" w:rsidP="001D1C58">
      <w:pPr>
        <w:rPr>
          <w:vanish/>
        </w:rPr>
      </w:pPr>
      <w:bookmarkStart w:id="2" w:name="Commission"/>
      <w:r w:rsidRPr="00D2217E">
        <w:rPr>
          <w:vanish/>
        </w:rPr>
        <w:t>Udvalget om Borgernes Rettigheder og Retlige og Indre Anliggender</w:t>
      </w:r>
      <w:bookmarkEnd w:id="2"/>
    </w:p>
    <w:p w14:paraId="07539F24" w14:textId="77777777" w:rsidR="001D1C58" w:rsidRPr="00D2217E" w:rsidRDefault="001D1C58" w:rsidP="001D1C58">
      <w:pPr>
        <w:rPr>
          <w:vanish/>
        </w:rPr>
      </w:pPr>
      <w:bookmarkStart w:id="3" w:name="PE"/>
      <w:r w:rsidRPr="00D2217E">
        <w:rPr>
          <w:vanish/>
        </w:rPr>
        <w:t>PE786.905</w:t>
      </w:r>
      <w:bookmarkEnd w:id="3"/>
    </w:p>
    <w:p w14:paraId="2E0CED50" w14:textId="2EEFE002" w:rsidR="001D1C58" w:rsidRPr="00D2217E" w:rsidRDefault="001D1C58" w:rsidP="001D1C58">
      <w:pPr>
        <w:pStyle w:val="ATHeading3"/>
      </w:pPr>
      <w:bookmarkStart w:id="4" w:name="Sujet"/>
      <w:r w:rsidRPr="00D2217E">
        <w:t xml:space="preserve">Europa-Parlamentets lovgivningsmæssige beslutning af </w:t>
      </w:r>
      <w:r w:rsidR="00AE7ACF">
        <w:t>20</w:t>
      </w:r>
      <w:r w:rsidRPr="00D2217E">
        <w:t>.</w:t>
      </w:r>
      <w:r w:rsidR="00166A54">
        <w:t xml:space="preserve"> maj</w:t>
      </w:r>
      <w:r w:rsidRPr="00D2217E">
        <w:t xml:space="preserve"> 2026 om udkast til Rådets afgørelse om indgåelse </w:t>
      </w:r>
      <w:r w:rsidR="00DD4A2D">
        <w:t xml:space="preserve">på </w:t>
      </w:r>
      <w:r w:rsidRPr="00D2217E">
        <w:t>Den Europæiske Union</w:t>
      </w:r>
      <w:r w:rsidR="00DD4A2D">
        <w:t>s vegne</w:t>
      </w:r>
      <w:r w:rsidRPr="00D2217E">
        <w:t xml:space="preserve"> </w:t>
      </w:r>
      <w:r w:rsidR="00DD4A2D" w:rsidRPr="00D2217E">
        <w:t>af aftalen mellem Den Europæiske Union</w:t>
      </w:r>
      <w:r w:rsidR="00DD4A2D">
        <w:t xml:space="preserve"> </w:t>
      </w:r>
      <w:r w:rsidRPr="00D2217E">
        <w:t>og Den Libanesiske Republik om samarbejdet mellem Den Europæiske Unions Agentur for Strafferetligt Samarbejde (</w:t>
      </w:r>
      <w:proofErr w:type="spellStart"/>
      <w:r w:rsidRPr="00D2217E">
        <w:t>Eurojust</w:t>
      </w:r>
      <w:proofErr w:type="spellEnd"/>
      <w:r w:rsidRPr="00D2217E">
        <w:t>) og Den Libanesiske Republiks myndigheder med ansvar for retligt samarbejde i straffesager</w:t>
      </w:r>
      <w:bookmarkEnd w:id="4"/>
      <w:r w:rsidRPr="00D2217E">
        <w:t xml:space="preserve"> </w:t>
      </w:r>
      <w:bookmarkStart w:id="5" w:name="References"/>
      <w:r w:rsidRPr="00D2217E">
        <w:t>(13619/2024 – C10-0333/2025 – 2024/0155(NLE))</w:t>
      </w:r>
      <w:bookmarkEnd w:id="5"/>
    </w:p>
    <w:p w14:paraId="7F873E83" w14:textId="77777777" w:rsidR="000A7409" w:rsidRPr="00D2217E" w:rsidRDefault="000A7409" w:rsidP="000A7409">
      <w:pPr>
        <w:pStyle w:val="NormalBold"/>
      </w:pPr>
      <w:r w:rsidRPr="00D2217E">
        <w:t>(Godkendelse)</w:t>
      </w:r>
    </w:p>
    <w:p w14:paraId="0276204E" w14:textId="77777777" w:rsidR="000A7409" w:rsidRPr="00D2217E" w:rsidRDefault="000A7409" w:rsidP="000A7409">
      <w:pPr>
        <w:pStyle w:val="EPComma"/>
      </w:pPr>
      <w:r w:rsidRPr="00D2217E">
        <w:rPr>
          <w:i/>
        </w:rPr>
        <w:t>Europa-Parlamentet</w:t>
      </w:r>
      <w:r w:rsidRPr="00D2217E">
        <w:t>,</w:t>
      </w:r>
    </w:p>
    <w:p w14:paraId="08C1F56E" w14:textId="77777777" w:rsidR="000A7409" w:rsidRPr="00D2217E" w:rsidRDefault="000A7409" w:rsidP="000A7409">
      <w:pPr>
        <w:pStyle w:val="NormalHanging12a"/>
      </w:pPr>
      <w:r w:rsidRPr="00D2217E">
        <w:t>–</w:t>
      </w:r>
      <w:r w:rsidRPr="00D2217E">
        <w:tab/>
        <w:t>der henviser til udkast til Rådets afgørelse (13619/2024),</w:t>
      </w:r>
    </w:p>
    <w:p w14:paraId="13F12D12" w14:textId="77777777" w:rsidR="000A7409" w:rsidRPr="00D2217E" w:rsidRDefault="000A7409" w:rsidP="000A7409">
      <w:pPr>
        <w:pStyle w:val="NormalHanging12a"/>
      </w:pPr>
      <w:r w:rsidRPr="00D2217E">
        <w:t>–</w:t>
      </w:r>
      <w:r w:rsidRPr="00D2217E">
        <w:tab/>
        <w:t>der henviser til udkast til aftale mellem Den Europæiske Union og Den Libanesiske Republik om samarbejde mellem Den Europæiske Unions Agentur for Strafferetligt Samarbejde (</w:t>
      </w:r>
      <w:proofErr w:type="spellStart"/>
      <w:r w:rsidRPr="00D2217E">
        <w:t>Eurojust</w:t>
      </w:r>
      <w:proofErr w:type="spellEnd"/>
      <w:r w:rsidRPr="00D2217E">
        <w:t>) og Den Libanesiske Republiks myndigheder med ansvar for retligt samarbejde i straffesager (13239/2024),</w:t>
      </w:r>
    </w:p>
    <w:p w14:paraId="265AC72D" w14:textId="77777777" w:rsidR="000A7409" w:rsidRPr="00D2217E" w:rsidRDefault="000A7409" w:rsidP="000A7409">
      <w:pPr>
        <w:pStyle w:val="NormalHanging12a"/>
      </w:pPr>
      <w:r w:rsidRPr="00D2217E">
        <w:t>–</w:t>
      </w:r>
      <w:r w:rsidRPr="00D2217E">
        <w:tab/>
        <w:t>der henviser til den anmodning om godkendelse, som Rådet har forelagt, jf. artikel 16, stk. 2, artikel 85, artikel 218, stk. 6, andet afsnit, litra a), nr. v), og artikel 218, stk. 7, i traktaten om Den Europæiske Unions funktionsmåde (C10</w:t>
      </w:r>
      <w:r w:rsidRPr="00D2217E">
        <w:noBreakHyphen/>
        <w:t>0333/2025),</w:t>
      </w:r>
    </w:p>
    <w:p w14:paraId="0397C40F" w14:textId="77777777" w:rsidR="000A7409" w:rsidRPr="00D2217E" w:rsidRDefault="000A7409" w:rsidP="000A7409">
      <w:pPr>
        <w:pStyle w:val="NormalHanging12a"/>
      </w:pPr>
      <w:r w:rsidRPr="00D2217E">
        <w:t>–</w:t>
      </w:r>
      <w:r w:rsidRPr="00D2217E">
        <w:tab/>
        <w:t>der henviser til forretningsordenens artikel 107, stk. 1 og 4, og artikel 117, stk. 7,</w:t>
      </w:r>
    </w:p>
    <w:p w14:paraId="70491FD7" w14:textId="77777777" w:rsidR="000A7409" w:rsidRPr="00D2217E" w:rsidRDefault="000A7409" w:rsidP="000A7409">
      <w:pPr>
        <w:pStyle w:val="NormalHanging12a"/>
      </w:pPr>
      <w:r w:rsidRPr="00D2217E">
        <w:t>–</w:t>
      </w:r>
      <w:r w:rsidRPr="00D2217E">
        <w:tab/>
        <w:t>der henviser til henstilling fra Udvalget om Borgernes Rettigheder og Retlige og Indre Anliggender (A10-0132/2026),</w:t>
      </w:r>
    </w:p>
    <w:p w14:paraId="40577FFE" w14:textId="77777777" w:rsidR="000A7409" w:rsidRPr="00D2217E" w:rsidRDefault="000A7409" w:rsidP="000A7409">
      <w:pPr>
        <w:pStyle w:val="NormalHanging12a"/>
      </w:pPr>
      <w:r w:rsidRPr="00D2217E">
        <w:t>1.</w:t>
      </w:r>
      <w:r w:rsidRPr="00D2217E">
        <w:tab/>
        <w:t>godkender indgåelsen af aftalen;</w:t>
      </w:r>
    </w:p>
    <w:p w14:paraId="73A4B56D" w14:textId="3C6596E0" w:rsidR="00E365E1" w:rsidRPr="00D2217E" w:rsidRDefault="000A7409" w:rsidP="00166A54">
      <w:pPr>
        <w:pStyle w:val="NormalHanging12a"/>
      </w:pPr>
      <w:r w:rsidRPr="00D2217E">
        <w:t>2.</w:t>
      </w:r>
      <w:r w:rsidRPr="00D2217E">
        <w:tab/>
        <w:t>pålægger sin formand at sende Parlamentets holdning til Rådet og Kommissionen samt til medlemsstaternes regeringer og parlamenter og Den Libanesiske Republiks myndigheder.</w:t>
      </w:r>
    </w:p>
    <w:sectPr w:rsidR="00E365E1" w:rsidRPr="00D2217E" w:rsidSect="00D221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99104" w14:textId="77777777" w:rsidR="001D1C58" w:rsidRPr="00D2217E" w:rsidRDefault="001D1C58">
      <w:r w:rsidRPr="00D2217E">
        <w:separator/>
      </w:r>
    </w:p>
  </w:endnote>
  <w:endnote w:type="continuationSeparator" w:id="0">
    <w:p w14:paraId="09AB4E97" w14:textId="77777777" w:rsidR="001D1C58" w:rsidRPr="00D2217E" w:rsidRDefault="001D1C58">
      <w:r w:rsidRPr="00D221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994F" w14:textId="77777777" w:rsidR="00064002" w:rsidRPr="00D221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AAC8" w14:textId="77777777" w:rsidR="00064002" w:rsidRPr="00D221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8454" w14:textId="77777777" w:rsidR="00064002" w:rsidRPr="00D221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CA3FC" w14:textId="77777777" w:rsidR="001D1C58" w:rsidRPr="00D2217E" w:rsidRDefault="001D1C58">
      <w:r w:rsidRPr="00D2217E">
        <w:separator/>
      </w:r>
    </w:p>
  </w:footnote>
  <w:footnote w:type="continuationSeparator" w:id="0">
    <w:p w14:paraId="4E46F111" w14:textId="77777777" w:rsidR="001D1C58" w:rsidRPr="00D2217E" w:rsidRDefault="001D1C58">
      <w:r w:rsidRPr="00D221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D341" w14:textId="77777777" w:rsidR="00064002" w:rsidRPr="00D221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C362" w14:textId="77777777" w:rsidR="00064002" w:rsidRPr="00D221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82E8" w14:textId="77777777" w:rsidR="00064002" w:rsidRPr="00D221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987953">
    <w:abstractNumId w:val="9"/>
  </w:num>
  <w:num w:numId="2" w16cid:durableId="1239946670">
    <w:abstractNumId w:val="9"/>
  </w:num>
  <w:num w:numId="3" w16cid:durableId="526255960">
    <w:abstractNumId w:val="7"/>
  </w:num>
  <w:num w:numId="4" w16cid:durableId="596015188">
    <w:abstractNumId w:val="7"/>
  </w:num>
  <w:num w:numId="5" w16cid:durableId="1325088579">
    <w:abstractNumId w:val="6"/>
  </w:num>
  <w:num w:numId="6" w16cid:durableId="1303997046">
    <w:abstractNumId w:val="6"/>
  </w:num>
  <w:num w:numId="7" w16cid:durableId="1460875129">
    <w:abstractNumId w:val="5"/>
  </w:num>
  <w:num w:numId="8" w16cid:durableId="1219435980">
    <w:abstractNumId w:val="5"/>
  </w:num>
  <w:num w:numId="9" w16cid:durableId="507140786">
    <w:abstractNumId w:val="4"/>
  </w:num>
  <w:num w:numId="10" w16cid:durableId="424693862">
    <w:abstractNumId w:val="4"/>
  </w:num>
  <w:num w:numId="11" w16cid:durableId="1564825951">
    <w:abstractNumId w:val="8"/>
  </w:num>
  <w:num w:numId="12" w16cid:durableId="1294294126">
    <w:abstractNumId w:val="8"/>
  </w:num>
  <w:num w:numId="13" w16cid:durableId="1623925861">
    <w:abstractNumId w:val="3"/>
  </w:num>
  <w:num w:numId="14" w16cid:durableId="1616600835">
    <w:abstractNumId w:val="3"/>
  </w:num>
  <w:num w:numId="15" w16cid:durableId="1937589071">
    <w:abstractNumId w:val="2"/>
  </w:num>
  <w:num w:numId="16" w16cid:durableId="685599819">
    <w:abstractNumId w:val="2"/>
  </w:num>
  <w:num w:numId="17" w16cid:durableId="1525636569">
    <w:abstractNumId w:val="1"/>
  </w:num>
  <w:num w:numId="18" w16cid:durableId="298997569">
    <w:abstractNumId w:val="1"/>
  </w:num>
  <w:num w:numId="19" w16cid:durableId="1733040108">
    <w:abstractNumId w:val="0"/>
  </w:num>
  <w:num w:numId="20" w16cid:durableId="979188794">
    <w:abstractNumId w:val="0"/>
  </w:num>
  <w:num w:numId="21" w16cid:durableId="864975814">
    <w:abstractNumId w:val="9"/>
  </w:num>
  <w:num w:numId="22" w16cid:durableId="1221138652">
    <w:abstractNumId w:val="7"/>
  </w:num>
  <w:num w:numId="23" w16cid:durableId="1508327614">
    <w:abstractNumId w:val="6"/>
  </w:num>
  <w:num w:numId="24" w16cid:durableId="1867718123">
    <w:abstractNumId w:val="5"/>
  </w:num>
  <w:num w:numId="25" w16cid:durableId="660281953">
    <w:abstractNumId w:val="4"/>
  </w:num>
  <w:num w:numId="26" w16cid:durableId="467170114">
    <w:abstractNumId w:val="8"/>
  </w:num>
  <w:num w:numId="27" w16cid:durableId="79449228">
    <w:abstractNumId w:val="3"/>
  </w:num>
  <w:num w:numId="28" w16cid:durableId="438722957">
    <w:abstractNumId w:val="2"/>
  </w:num>
  <w:num w:numId="29" w16cid:durableId="1879128013">
    <w:abstractNumId w:val="1"/>
  </w:num>
  <w:num w:numId="30" w16cid:durableId="20519583">
    <w:abstractNumId w:val="0"/>
  </w:num>
  <w:num w:numId="31" w16cid:durableId="1411150698">
    <w:abstractNumId w:val="9"/>
  </w:num>
  <w:num w:numId="32" w16cid:durableId="1576471530">
    <w:abstractNumId w:val="7"/>
  </w:num>
  <w:num w:numId="33" w16cid:durableId="955674695">
    <w:abstractNumId w:val="6"/>
  </w:num>
  <w:num w:numId="34" w16cid:durableId="2059359889">
    <w:abstractNumId w:val="5"/>
  </w:num>
  <w:num w:numId="35" w16cid:durableId="1065371394">
    <w:abstractNumId w:val="4"/>
  </w:num>
  <w:num w:numId="36" w16cid:durableId="1424953032">
    <w:abstractNumId w:val="8"/>
  </w:num>
  <w:num w:numId="37" w16cid:durableId="603534259">
    <w:abstractNumId w:val="3"/>
  </w:num>
  <w:num w:numId="38" w16cid:durableId="503203839">
    <w:abstractNumId w:val="2"/>
  </w:num>
  <w:num w:numId="39" w16cid:durableId="60060194">
    <w:abstractNumId w:val="1"/>
  </w:num>
  <w:num w:numId="40" w16cid:durableId="457257932">
    <w:abstractNumId w:val="0"/>
  </w:num>
  <w:num w:numId="41" w16cid:durableId="1508447805">
    <w:abstractNumId w:val="10"/>
  </w:num>
  <w:num w:numId="42" w16cid:durableId="563952927">
    <w:abstractNumId w:val="10"/>
  </w:num>
  <w:num w:numId="43" w16cid:durableId="1981498760">
    <w:abstractNumId w:val="10"/>
  </w:num>
  <w:num w:numId="44" w16cid:durableId="1019309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DA"/>
    <w:docVar w:name="dvnumam" w:val="0"/>
    <w:docVar w:name="dvpe" w:val="786.905"/>
    <w:docVar w:name="dvrapporteur" w:val="Ordfører: "/>
    <w:docVar w:name="dvstar" w:val="***"/>
    <w:docVar w:name="dvtitre" w:val="Europa-Parlamentets lovgivningsmæssige beslutning af xx.xx 2026 om udkast til Rådets afgørelse om indgåelse af aftalen mellem Den Europæiske Union og Den Libanesiske Republik om samarbejdet mellem Den Europæiske Unions Agentur for Strafferetligt Samarbejde (Eurojust) og Den Libanesiske Republiks myndigheder med ansvar for retligt samarbejde i straffesager(13619/2024 – C10-0333/2025 – 2024/0155(NLE))"/>
  </w:docVars>
  <w:rsids>
    <w:rsidRoot w:val="001D1C58"/>
    <w:rsid w:val="00002272"/>
    <w:rsid w:val="00064002"/>
    <w:rsid w:val="000677B9"/>
    <w:rsid w:val="000831BA"/>
    <w:rsid w:val="000A42CC"/>
    <w:rsid w:val="000A7409"/>
    <w:rsid w:val="000E7DD9"/>
    <w:rsid w:val="000F773E"/>
    <w:rsid w:val="0010095E"/>
    <w:rsid w:val="00125B37"/>
    <w:rsid w:val="00166A54"/>
    <w:rsid w:val="00187494"/>
    <w:rsid w:val="001D1C58"/>
    <w:rsid w:val="001F32AE"/>
    <w:rsid w:val="002767FF"/>
    <w:rsid w:val="002A6E1C"/>
    <w:rsid w:val="002B18FE"/>
    <w:rsid w:val="002B5493"/>
    <w:rsid w:val="00343214"/>
    <w:rsid w:val="00361C00"/>
    <w:rsid w:val="00395FA1"/>
    <w:rsid w:val="003E15D4"/>
    <w:rsid w:val="004001A0"/>
    <w:rsid w:val="00411CCE"/>
    <w:rsid w:val="0041666E"/>
    <w:rsid w:val="00421060"/>
    <w:rsid w:val="00471C19"/>
    <w:rsid w:val="004867E3"/>
    <w:rsid w:val="00494A28"/>
    <w:rsid w:val="004C0004"/>
    <w:rsid w:val="004C5D52"/>
    <w:rsid w:val="0050519A"/>
    <w:rsid w:val="005072A1"/>
    <w:rsid w:val="00514517"/>
    <w:rsid w:val="00545827"/>
    <w:rsid w:val="00560270"/>
    <w:rsid w:val="005A13D1"/>
    <w:rsid w:val="005C2568"/>
    <w:rsid w:val="005F1B17"/>
    <w:rsid w:val="006037C0"/>
    <w:rsid w:val="0062176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23B2"/>
    <w:rsid w:val="00A43E52"/>
    <w:rsid w:val="00A4678D"/>
    <w:rsid w:val="00A778C7"/>
    <w:rsid w:val="00AB441E"/>
    <w:rsid w:val="00AB6293"/>
    <w:rsid w:val="00AE0928"/>
    <w:rsid w:val="00AE7ACF"/>
    <w:rsid w:val="00AF3B82"/>
    <w:rsid w:val="00B12E95"/>
    <w:rsid w:val="00B22876"/>
    <w:rsid w:val="00B558F0"/>
    <w:rsid w:val="00BD48FE"/>
    <w:rsid w:val="00BD7BD8"/>
    <w:rsid w:val="00BE6ADC"/>
    <w:rsid w:val="00C05BFE"/>
    <w:rsid w:val="00C11306"/>
    <w:rsid w:val="00C23CD4"/>
    <w:rsid w:val="00C56603"/>
    <w:rsid w:val="00C61C0C"/>
    <w:rsid w:val="00C941CB"/>
    <w:rsid w:val="00CC2357"/>
    <w:rsid w:val="00CF071A"/>
    <w:rsid w:val="00D058B8"/>
    <w:rsid w:val="00D2217E"/>
    <w:rsid w:val="00D56C11"/>
    <w:rsid w:val="00D834A0"/>
    <w:rsid w:val="00D872DF"/>
    <w:rsid w:val="00D91E21"/>
    <w:rsid w:val="00DA7FCD"/>
    <w:rsid w:val="00DD4A2D"/>
    <w:rsid w:val="00E03969"/>
    <w:rsid w:val="00E312E4"/>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77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A4926"/>
  <w15:chartTrackingRefBased/>
  <w15:docId w15:val="{F2DE99C5-576B-4869-9248-4C2C9F32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7409"/>
    <w:pPr>
      <w:spacing w:before="480" w:after="240"/>
    </w:pPr>
  </w:style>
  <w:style w:type="paragraph" w:customStyle="1" w:styleId="NormalBold">
    <w:name w:val="NormalBold"/>
    <w:basedOn w:val="Normal"/>
    <w:rsid w:val="000A7409"/>
    <w:rPr>
      <w:b/>
    </w:rPr>
  </w:style>
  <w:style w:type="paragraph" w:customStyle="1" w:styleId="NormalHanging12a">
    <w:name w:val="NormalHanging12a"/>
    <w:basedOn w:val="Normal"/>
    <w:rsid w:val="000A7409"/>
    <w:pPr>
      <w:spacing w:after="240"/>
      <w:ind w:left="567" w:hanging="567"/>
    </w:pPr>
  </w:style>
  <w:style w:type="paragraph" w:styleId="Revision">
    <w:name w:val="Revision"/>
    <w:hidden/>
    <w:uiPriority w:val="99"/>
    <w:semiHidden/>
    <w:rsid w:val="00166A54"/>
    <w:rPr>
      <w:sz w:val="24"/>
      <w:lang w:val="da-DK"/>
    </w:rPr>
  </w:style>
  <w:style w:type="character" w:styleId="CommentReference">
    <w:name w:val="annotation reference"/>
    <w:basedOn w:val="DefaultParagraphFont"/>
    <w:rsid w:val="00E03969"/>
    <w:rPr>
      <w:sz w:val="16"/>
      <w:szCs w:val="16"/>
    </w:rPr>
  </w:style>
  <w:style w:type="paragraph" w:styleId="CommentText">
    <w:name w:val="annotation text"/>
    <w:basedOn w:val="Normal"/>
    <w:link w:val="CommentTextChar"/>
    <w:rsid w:val="00E03969"/>
    <w:rPr>
      <w:sz w:val="20"/>
    </w:rPr>
  </w:style>
  <w:style w:type="character" w:customStyle="1" w:styleId="CommentTextChar">
    <w:name w:val="Comment Text Char"/>
    <w:basedOn w:val="DefaultParagraphFont"/>
    <w:link w:val="CommentText"/>
    <w:rsid w:val="00E03969"/>
    <w:rPr>
      <w:lang w:val="da-DK"/>
    </w:rPr>
  </w:style>
  <w:style w:type="paragraph" w:styleId="CommentSubject">
    <w:name w:val="annotation subject"/>
    <w:basedOn w:val="CommentText"/>
    <w:next w:val="CommentText"/>
    <w:link w:val="CommentSubjectChar"/>
    <w:rsid w:val="00E03969"/>
    <w:rPr>
      <w:b/>
      <w:bCs/>
    </w:rPr>
  </w:style>
  <w:style w:type="character" w:customStyle="1" w:styleId="CommentSubjectChar">
    <w:name w:val="Comment Subject Char"/>
    <w:basedOn w:val="CommentTextChar"/>
    <w:link w:val="CommentSubject"/>
    <w:rsid w:val="00E0396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2026-05-20T10:37:00Z</dcterms:created>
  <dcterms:modified xsi:type="dcterms:W3CDTF">2026-05-20T10:37:00Z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A10-0132/2026</vt:lpwstr>
  </property>
  <property fmtid="{D5CDD505-2E9C-101B-9397-08002B2CF9AE}" pid="4" name="&lt;Type&gt;">
    <vt:lpwstr>RR</vt:lpwstr>
  </property>
</Properties>
</file>