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528" w14:paraId="47EC8980" w14:textId="77777777" w:rsidTr="0010095E">
        <w:trPr>
          <w:trHeight w:hRule="exact" w:val="1418"/>
        </w:trPr>
        <w:tc>
          <w:tcPr>
            <w:tcW w:w="6804" w:type="dxa"/>
            <w:shd w:val="clear" w:color="auto" w:fill="auto"/>
            <w:vAlign w:val="center"/>
          </w:tcPr>
          <w:p w14:paraId="22EADA89" w14:textId="77777777" w:rsidR="00751A4A" w:rsidRPr="00611528" w:rsidRDefault="00C97E50" w:rsidP="0010095E">
            <w:pPr>
              <w:pStyle w:val="EPName"/>
            </w:pPr>
            <w:r w:rsidRPr="00611528">
              <w:t>Ευρωπαϊκό Κοινοβούλιο</w:t>
            </w:r>
          </w:p>
          <w:p w14:paraId="26CE78C9" w14:textId="77777777" w:rsidR="00751A4A" w:rsidRPr="00611528" w:rsidRDefault="005F1B17" w:rsidP="005F1B17">
            <w:pPr>
              <w:pStyle w:val="EPTerm"/>
              <w:rPr>
                <w:rStyle w:val="HideTWBExt"/>
                <w:noProof w:val="0"/>
                <w:vanish w:val="0"/>
                <w:color w:val="auto"/>
              </w:rPr>
            </w:pPr>
            <w:r w:rsidRPr="00611528">
              <w:t>2024</w:t>
            </w:r>
            <w:r w:rsidR="00817416" w:rsidRPr="00611528">
              <w:t>-202</w:t>
            </w:r>
            <w:r w:rsidRPr="00611528">
              <w:t>9</w:t>
            </w:r>
          </w:p>
        </w:tc>
        <w:tc>
          <w:tcPr>
            <w:tcW w:w="2268" w:type="dxa"/>
            <w:shd w:val="clear" w:color="auto" w:fill="auto"/>
          </w:tcPr>
          <w:p w14:paraId="59FC87A4" w14:textId="77777777" w:rsidR="00751A4A" w:rsidRPr="00611528" w:rsidRDefault="00187494" w:rsidP="0010095E">
            <w:pPr>
              <w:pStyle w:val="EPLogo"/>
            </w:pPr>
            <w:r w:rsidRPr="00611528">
              <w:rPr>
                <w:noProof/>
                <w:lang w:eastAsia="ja-JP"/>
              </w:rPr>
              <w:drawing>
                <wp:inline distT="0" distB="0" distL="0" distR="0" wp14:anchorId="08C84DFE" wp14:editId="0764C2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63D50E" w14:textId="77777777" w:rsidR="00D058B8" w:rsidRPr="00611528" w:rsidRDefault="00D058B8" w:rsidP="004C5D52">
      <w:pPr>
        <w:pStyle w:val="LineTop"/>
      </w:pPr>
    </w:p>
    <w:p w14:paraId="08F166F6" w14:textId="77777777" w:rsidR="00680577" w:rsidRPr="00611528" w:rsidRDefault="00C97E50" w:rsidP="00680577">
      <w:pPr>
        <w:pStyle w:val="EPBodyTA1"/>
      </w:pPr>
      <w:r w:rsidRPr="00611528">
        <w:t>ΚΕΙΜΕΝΑ ΠΟΥ ΕΓΚΡΙΘΗΚΑΝ</w:t>
      </w:r>
    </w:p>
    <w:p w14:paraId="30079BEC" w14:textId="77777777" w:rsidR="00D058B8" w:rsidRPr="00611528" w:rsidRDefault="00D058B8" w:rsidP="00D058B8">
      <w:pPr>
        <w:pStyle w:val="LineBottom"/>
      </w:pPr>
    </w:p>
    <w:p w14:paraId="2EF57B30" w14:textId="5D598CB6" w:rsidR="00C97E50" w:rsidRPr="00611528" w:rsidRDefault="00C97E50" w:rsidP="00C97E50">
      <w:pPr>
        <w:pStyle w:val="ATHeading1"/>
      </w:pPr>
      <w:bookmarkStart w:id="0" w:name="TANumber"/>
      <w:r w:rsidRPr="00611528">
        <w:t>P10_TA(2026)0</w:t>
      </w:r>
      <w:r w:rsidR="00611528" w:rsidRPr="00611528">
        <w:t>177</w:t>
      </w:r>
      <w:bookmarkEnd w:id="0"/>
    </w:p>
    <w:p w14:paraId="1A839ABC" w14:textId="1D98CBC3" w:rsidR="00C97E50" w:rsidRPr="00611528" w:rsidRDefault="00350477" w:rsidP="00350477">
      <w:pPr>
        <w:pStyle w:val="ATHeading2"/>
      </w:pPr>
      <w:bookmarkStart w:id="1" w:name="title"/>
      <w:r w:rsidRPr="00611528">
        <w:rPr>
          <w:rFonts w:hint="eastAsia"/>
          <w:bCs/>
        </w:rPr>
        <w:t>Συμφωνία</w:t>
      </w:r>
      <w:r w:rsidRPr="00611528">
        <w:rPr>
          <w:bCs/>
        </w:rPr>
        <w:t xml:space="preserve"> </w:t>
      </w:r>
      <w:r w:rsidRPr="00611528">
        <w:rPr>
          <w:rFonts w:hint="eastAsia"/>
          <w:bCs/>
        </w:rPr>
        <w:t>ΕΕ</w:t>
      </w:r>
      <w:r w:rsidRPr="00611528">
        <w:rPr>
          <w:bCs/>
        </w:rPr>
        <w:t>-</w:t>
      </w:r>
      <w:r w:rsidRPr="00611528">
        <w:rPr>
          <w:rFonts w:hint="eastAsia"/>
          <w:bCs/>
        </w:rPr>
        <w:t>Λιβάνου</w:t>
      </w:r>
      <w:r w:rsidRPr="00611528">
        <w:rPr>
          <w:bCs/>
        </w:rPr>
        <w:t xml:space="preserve"> </w:t>
      </w:r>
      <w:r w:rsidRPr="00611528">
        <w:rPr>
          <w:rFonts w:hint="eastAsia"/>
          <w:bCs/>
        </w:rPr>
        <w:t>σχετικά</w:t>
      </w:r>
      <w:r w:rsidRPr="00611528">
        <w:rPr>
          <w:bCs/>
        </w:rPr>
        <w:t xml:space="preserve"> </w:t>
      </w:r>
      <w:r w:rsidRPr="00611528">
        <w:rPr>
          <w:rFonts w:hint="eastAsia"/>
          <w:bCs/>
        </w:rPr>
        <w:t>με</w:t>
      </w:r>
      <w:r w:rsidRPr="00611528">
        <w:rPr>
          <w:bCs/>
        </w:rPr>
        <w:t xml:space="preserve"> </w:t>
      </w:r>
      <w:r w:rsidRPr="00611528">
        <w:rPr>
          <w:rFonts w:hint="eastAsia"/>
          <w:bCs/>
        </w:rPr>
        <w:t>τη</w:t>
      </w:r>
      <w:r w:rsidRPr="00611528">
        <w:rPr>
          <w:bCs/>
        </w:rPr>
        <w:t xml:space="preserve"> </w:t>
      </w:r>
      <w:r w:rsidRPr="00611528">
        <w:rPr>
          <w:rFonts w:hint="eastAsia"/>
          <w:bCs/>
        </w:rPr>
        <w:t>συνεργασία</w:t>
      </w:r>
      <w:r w:rsidRPr="00611528">
        <w:rPr>
          <w:bCs/>
        </w:rPr>
        <w:t xml:space="preserve"> </w:t>
      </w:r>
      <w:r w:rsidRPr="00611528">
        <w:rPr>
          <w:rFonts w:hint="eastAsia"/>
          <w:bCs/>
        </w:rPr>
        <w:t>μεταξύ</w:t>
      </w:r>
      <w:r w:rsidRPr="00611528">
        <w:rPr>
          <w:bCs/>
        </w:rPr>
        <w:t xml:space="preserve"> </w:t>
      </w:r>
      <w:r w:rsidRPr="00611528">
        <w:rPr>
          <w:rFonts w:hint="eastAsia"/>
          <w:bCs/>
        </w:rPr>
        <w:t>του</w:t>
      </w:r>
      <w:r w:rsidRPr="00611528">
        <w:rPr>
          <w:bCs/>
        </w:rPr>
        <w:t xml:space="preserve"> </w:t>
      </w:r>
      <w:r w:rsidRPr="00611528">
        <w:rPr>
          <w:bCs/>
          <w:lang w:val="en-GB"/>
        </w:rPr>
        <w:t>Eurojust</w:t>
      </w:r>
      <w:r w:rsidRPr="00611528">
        <w:rPr>
          <w:bCs/>
        </w:rPr>
        <w:t xml:space="preserve"> </w:t>
      </w:r>
      <w:r w:rsidRPr="00611528">
        <w:rPr>
          <w:rFonts w:hint="eastAsia"/>
          <w:bCs/>
        </w:rPr>
        <w:t>και</w:t>
      </w:r>
      <w:r w:rsidRPr="00611528">
        <w:rPr>
          <w:bCs/>
        </w:rPr>
        <w:t xml:space="preserve"> </w:t>
      </w:r>
      <w:r w:rsidRPr="00611528">
        <w:rPr>
          <w:rFonts w:hint="eastAsia"/>
          <w:bCs/>
        </w:rPr>
        <w:t>των</w:t>
      </w:r>
      <w:r w:rsidRPr="00611528">
        <w:rPr>
          <w:bCs/>
        </w:rPr>
        <w:t xml:space="preserve"> </w:t>
      </w:r>
      <w:r w:rsidRPr="00611528">
        <w:rPr>
          <w:rFonts w:hint="eastAsia"/>
          <w:bCs/>
        </w:rPr>
        <w:t>αρχών</w:t>
      </w:r>
      <w:r w:rsidRPr="00611528">
        <w:rPr>
          <w:bCs/>
        </w:rPr>
        <w:t xml:space="preserve"> </w:t>
      </w:r>
      <w:r w:rsidRPr="00611528">
        <w:rPr>
          <w:rFonts w:hint="eastAsia"/>
          <w:bCs/>
        </w:rPr>
        <w:t>του</w:t>
      </w:r>
      <w:r w:rsidRPr="00611528">
        <w:rPr>
          <w:bCs/>
        </w:rPr>
        <w:t xml:space="preserve"> </w:t>
      </w:r>
      <w:r w:rsidRPr="00611528">
        <w:rPr>
          <w:rFonts w:hint="eastAsia"/>
          <w:bCs/>
        </w:rPr>
        <w:t>Λιβάνου</w:t>
      </w:r>
      <w:r w:rsidRPr="00611528">
        <w:rPr>
          <w:bCs/>
        </w:rPr>
        <w:t xml:space="preserve"> </w:t>
      </w:r>
      <w:r w:rsidRPr="00611528">
        <w:rPr>
          <w:rFonts w:hint="eastAsia"/>
          <w:bCs/>
        </w:rPr>
        <w:t>που</w:t>
      </w:r>
      <w:r w:rsidRPr="00611528">
        <w:rPr>
          <w:bCs/>
        </w:rPr>
        <w:t xml:space="preserve"> </w:t>
      </w:r>
      <w:r w:rsidRPr="00611528">
        <w:rPr>
          <w:rFonts w:hint="eastAsia"/>
          <w:bCs/>
        </w:rPr>
        <w:t>είναι</w:t>
      </w:r>
      <w:r w:rsidRPr="00611528">
        <w:rPr>
          <w:bCs/>
        </w:rPr>
        <w:t xml:space="preserve"> </w:t>
      </w:r>
      <w:r w:rsidRPr="00611528">
        <w:rPr>
          <w:rFonts w:hint="eastAsia"/>
          <w:bCs/>
        </w:rPr>
        <w:t>αρμόδιες</w:t>
      </w:r>
      <w:r w:rsidRPr="00611528">
        <w:rPr>
          <w:bCs/>
        </w:rPr>
        <w:t xml:space="preserve"> </w:t>
      </w:r>
      <w:r w:rsidRPr="00611528">
        <w:rPr>
          <w:rFonts w:hint="eastAsia"/>
          <w:bCs/>
        </w:rPr>
        <w:t>για</w:t>
      </w:r>
      <w:r w:rsidRPr="00611528">
        <w:rPr>
          <w:bCs/>
        </w:rPr>
        <w:t xml:space="preserve"> </w:t>
      </w:r>
      <w:r w:rsidRPr="00611528">
        <w:rPr>
          <w:rFonts w:hint="eastAsia"/>
          <w:bCs/>
        </w:rPr>
        <w:t>τη</w:t>
      </w:r>
      <w:r w:rsidRPr="00611528">
        <w:rPr>
          <w:bCs/>
        </w:rPr>
        <w:t xml:space="preserve"> </w:t>
      </w:r>
      <w:r w:rsidRPr="00611528">
        <w:rPr>
          <w:rFonts w:hint="eastAsia"/>
          <w:bCs/>
        </w:rPr>
        <w:t>δικαστική</w:t>
      </w:r>
      <w:r w:rsidRPr="00611528">
        <w:rPr>
          <w:bCs/>
        </w:rPr>
        <w:t xml:space="preserve"> </w:t>
      </w:r>
      <w:r w:rsidRPr="00611528">
        <w:rPr>
          <w:rFonts w:hint="eastAsia"/>
          <w:bCs/>
        </w:rPr>
        <w:t>συνεργασία</w:t>
      </w:r>
      <w:r w:rsidRPr="00611528">
        <w:rPr>
          <w:bCs/>
        </w:rPr>
        <w:t xml:space="preserve"> </w:t>
      </w:r>
      <w:r w:rsidRPr="00611528">
        <w:rPr>
          <w:rFonts w:hint="eastAsia"/>
          <w:bCs/>
        </w:rPr>
        <w:t>σε</w:t>
      </w:r>
      <w:r w:rsidRPr="00611528">
        <w:rPr>
          <w:bCs/>
        </w:rPr>
        <w:t xml:space="preserve"> </w:t>
      </w:r>
      <w:r w:rsidRPr="00611528">
        <w:rPr>
          <w:rFonts w:hint="eastAsia"/>
          <w:bCs/>
        </w:rPr>
        <w:t>ποινικές</w:t>
      </w:r>
      <w:r w:rsidRPr="00611528">
        <w:rPr>
          <w:bCs/>
        </w:rPr>
        <w:t xml:space="preserve"> </w:t>
      </w:r>
      <w:r w:rsidRPr="00611528">
        <w:rPr>
          <w:rFonts w:hint="eastAsia"/>
          <w:bCs/>
        </w:rPr>
        <w:t>υποθέσεις</w:t>
      </w:r>
      <w:bookmarkEnd w:id="1"/>
    </w:p>
    <w:p w14:paraId="45D3DDE9" w14:textId="77777777" w:rsidR="00C97E50" w:rsidRPr="00611528" w:rsidRDefault="00C97E50" w:rsidP="00C97E50">
      <w:pPr>
        <w:rPr>
          <w:i/>
          <w:vanish/>
        </w:rPr>
      </w:pPr>
      <w:r w:rsidRPr="00611528">
        <w:rPr>
          <w:i/>
        </w:rPr>
        <w:fldChar w:fldCharType="begin"/>
      </w:r>
      <w:r w:rsidRPr="00611528">
        <w:rPr>
          <w:i/>
        </w:rPr>
        <w:instrText xml:space="preserve"> TC"(</w:instrText>
      </w:r>
      <w:bookmarkStart w:id="2" w:name="DocNumber"/>
      <w:r w:rsidRPr="00611528">
        <w:rPr>
          <w:i/>
        </w:rPr>
        <w:instrText>A10-0132/2026</w:instrText>
      </w:r>
      <w:bookmarkEnd w:id="2"/>
      <w:r w:rsidRPr="00611528">
        <w:rPr>
          <w:i/>
        </w:rPr>
        <w:instrText xml:space="preserve"> - Εισηγητής: Jaroslav Bžoch)"\l3 \n&gt; \* MERGEFORMAT </w:instrText>
      </w:r>
      <w:r w:rsidRPr="00611528">
        <w:rPr>
          <w:i/>
        </w:rPr>
        <w:fldChar w:fldCharType="end"/>
      </w:r>
    </w:p>
    <w:p w14:paraId="6BF515A6" w14:textId="77777777" w:rsidR="00C97E50" w:rsidRPr="00611528" w:rsidRDefault="00C97E50" w:rsidP="00C97E50">
      <w:pPr>
        <w:rPr>
          <w:vanish/>
        </w:rPr>
      </w:pPr>
      <w:bookmarkStart w:id="3" w:name="Commission"/>
      <w:r w:rsidRPr="00611528">
        <w:rPr>
          <w:vanish/>
        </w:rPr>
        <w:t>Επιτροπή Πολιτικών Ελευθεριών, Δικαιοσύνης και Εσωτερικών Υποθέσεων</w:t>
      </w:r>
      <w:bookmarkEnd w:id="3"/>
    </w:p>
    <w:p w14:paraId="344C71A0" w14:textId="77777777" w:rsidR="00C97E50" w:rsidRPr="00611528" w:rsidRDefault="00C97E50" w:rsidP="00C97E50">
      <w:pPr>
        <w:rPr>
          <w:vanish/>
        </w:rPr>
      </w:pPr>
      <w:bookmarkStart w:id="4" w:name="PE"/>
      <w:r w:rsidRPr="00611528">
        <w:rPr>
          <w:vanish/>
        </w:rPr>
        <w:t>PE786.905</w:t>
      </w:r>
      <w:bookmarkEnd w:id="4"/>
    </w:p>
    <w:p w14:paraId="73AFC563" w14:textId="2E586B7E" w:rsidR="00C97E50" w:rsidRPr="00611528" w:rsidRDefault="00C97E50" w:rsidP="00C97E50">
      <w:pPr>
        <w:pStyle w:val="ATHeading3"/>
      </w:pPr>
      <w:bookmarkStart w:id="5" w:name="Sujet"/>
      <w:r w:rsidRPr="00611528">
        <w:t xml:space="preserve">Νομοθετικό ψήφισμα του Ευρωπαϊκού Κοινοβουλίου της </w:t>
      </w:r>
      <w:r w:rsidR="00350477" w:rsidRPr="00611528">
        <w:t xml:space="preserve">20ής Μαΐου </w:t>
      </w:r>
      <w:r w:rsidRPr="00611528">
        <w:t>2026 σχετικά με το σχέδιο απόφασης του Συμβουλίου για τη σύναψη, εξ ονόματος της Ευρωπαϊκής Ένωσης, της συμφωνίας μεταξύ της Ευρωπαϊκής Ένωσης και της Δημοκρατίας του Λιβάνου σχετικά με τη συνεργασία μεταξύ του Οργανισμού της Ευρωπαϊκής Ένωσης για τη Συνεργασία στον Τομέα της Ποινικής Δικαιοσύνης (</w:t>
      </w:r>
      <w:proofErr w:type="spellStart"/>
      <w:r w:rsidRPr="00611528">
        <w:t>Eurojust</w:t>
      </w:r>
      <w:proofErr w:type="spellEnd"/>
      <w:r w:rsidRPr="00611528">
        <w:t>) και των αρχών της Δημοκρατίας του Λιβάνου που είναι αρμόδιες για τη δικαστική συνεργασία σε ποινικές υποθέσεις</w:t>
      </w:r>
      <w:bookmarkEnd w:id="5"/>
      <w:r w:rsidRPr="00611528">
        <w:t xml:space="preserve"> </w:t>
      </w:r>
      <w:bookmarkStart w:id="6" w:name="References"/>
      <w:r w:rsidRPr="00611528">
        <w:t>(13619/2024 – C10-0333/2025 – 2024/0155(NLE))</w:t>
      </w:r>
      <w:bookmarkEnd w:id="6"/>
    </w:p>
    <w:p w14:paraId="177F7D0D" w14:textId="77777777" w:rsidR="00350477" w:rsidRPr="00611528" w:rsidRDefault="00350477" w:rsidP="00B85CAC">
      <w:pPr>
        <w:pStyle w:val="NormalBold"/>
      </w:pPr>
    </w:p>
    <w:p w14:paraId="10A3261C" w14:textId="2726D328" w:rsidR="00B85CAC" w:rsidRPr="00611528" w:rsidRDefault="00B85CAC" w:rsidP="00B85CAC">
      <w:pPr>
        <w:pStyle w:val="NormalBold"/>
      </w:pPr>
      <w:r w:rsidRPr="00611528">
        <w:t>(Έγκριση)</w:t>
      </w:r>
    </w:p>
    <w:p w14:paraId="5DF9B658" w14:textId="77777777" w:rsidR="00B85CAC" w:rsidRPr="00611528" w:rsidRDefault="00B85CAC" w:rsidP="00B85CAC">
      <w:pPr>
        <w:pStyle w:val="EPComma"/>
      </w:pPr>
      <w:r w:rsidRPr="00611528">
        <w:rPr>
          <w:i/>
          <w:iCs/>
        </w:rPr>
        <w:t>Το Ευρωπαϊκό Κοινοβούλιο,</w:t>
      </w:r>
    </w:p>
    <w:p w14:paraId="4FD53452" w14:textId="77777777" w:rsidR="00B85CAC" w:rsidRPr="00611528" w:rsidRDefault="00B85CAC" w:rsidP="00350477">
      <w:pPr>
        <w:pStyle w:val="NormalHanging12a"/>
        <w:widowControl/>
      </w:pPr>
      <w:r w:rsidRPr="00611528">
        <w:t>–</w:t>
      </w:r>
      <w:r w:rsidRPr="00611528">
        <w:tab/>
        <w:t>έχοντας υπόψη το σχέδιο απόφασης του Συμβουλίου (13619/2024),</w:t>
      </w:r>
    </w:p>
    <w:p w14:paraId="41450C46" w14:textId="77777777" w:rsidR="00B85CAC" w:rsidRPr="00611528" w:rsidRDefault="00B85CAC" w:rsidP="00350477">
      <w:pPr>
        <w:pStyle w:val="NormalHanging12a"/>
        <w:widowControl/>
      </w:pPr>
      <w:r w:rsidRPr="00611528">
        <w:t>–</w:t>
      </w:r>
      <w:r w:rsidRPr="00611528">
        <w:tab/>
        <w:t>έχοντας υπόψη το σχέδιο συμφωνίας μεταξύ της Ευρωπαϊκής Ένωσης και της Δημοκρατίας του Λιβάνου σχετικά με τη συνεργασία μεταξύ του Οργανισμού της Ευρωπαϊκής Ένωσης για τη Συνεργασία στον Τομέα της Ποινικής Δικαιοσύνης (</w:t>
      </w:r>
      <w:proofErr w:type="spellStart"/>
      <w:r w:rsidRPr="00611528">
        <w:t>Eurojust</w:t>
      </w:r>
      <w:proofErr w:type="spellEnd"/>
      <w:r w:rsidRPr="00611528">
        <w:t>) και των αρμόδιων αρχών της Δημοκρατίας του Λιβάνου για τη δικαστική συνεργασία σε ποινικές υποθέσεις (13239/2024),</w:t>
      </w:r>
    </w:p>
    <w:p w14:paraId="10F4B525" w14:textId="77777777" w:rsidR="00B85CAC" w:rsidRPr="00611528" w:rsidRDefault="00B85CAC" w:rsidP="00350477">
      <w:pPr>
        <w:pStyle w:val="NormalHanging12a"/>
        <w:widowControl/>
      </w:pPr>
      <w:r w:rsidRPr="00611528">
        <w:t>–</w:t>
      </w:r>
      <w:r w:rsidRPr="00611528">
        <w:tab/>
        <w:t>έχοντας υπόψη την αίτηση έγκρισης που υπέβαλε το Συμβούλιο σύμφωνα με το άρθρο 16 παράγραφος 2, το άρθρο 85, το άρθρο 218 παράγραφος 6 δεύτερο εδάφιο στοιχείο α) σημείο v) και το άρθρο 218 παράγραφος 7 της Συνθήκης για τη λειτουργία της Ευρωπαϊκής Ένωσης (C10</w:t>
      </w:r>
      <w:r w:rsidRPr="00611528">
        <w:noBreakHyphen/>
        <w:t>0333/2025),</w:t>
      </w:r>
    </w:p>
    <w:p w14:paraId="16D60C82" w14:textId="77777777" w:rsidR="00B85CAC" w:rsidRPr="00611528" w:rsidRDefault="00B85CAC" w:rsidP="00350477">
      <w:pPr>
        <w:pStyle w:val="NormalHanging12a"/>
        <w:widowControl/>
      </w:pPr>
      <w:r w:rsidRPr="00611528">
        <w:t>–</w:t>
      </w:r>
      <w:r w:rsidRPr="00611528">
        <w:tab/>
        <w:t>έχοντας υπόψη το άρθρο 107 παράγραφοι 1 και 4, καθώς και το άρθρο 117 παράγραφος 7 του Κανονισμού του,</w:t>
      </w:r>
    </w:p>
    <w:p w14:paraId="2CAA9651" w14:textId="77777777" w:rsidR="00B85CAC" w:rsidRPr="00611528" w:rsidRDefault="00B85CAC" w:rsidP="00350477">
      <w:pPr>
        <w:pStyle w:val="NormalHanging12a"/>
        <w:widowControl/>
      </w:pPr>
      <w:r w:rsidRPr="00611528">
        <w:t>–</w:t>
      </w:r>
      <w:r w:rsidRPr="00611528">
        <w:tab/>
        <w:t>έχοντας υπόψη τη σύσταση της Επιτροπής Πολιτικών Ελευθεριών, Δικαιοσύνης και Εσωτερικών Υποθέσεων (A10-0132/2026),</w:t>
      </w:r>
    </w:p>
    <w:p w14:paraId="27557905" w14:textId="77777777" w:rsidR="00B85CAC" w:rsidRPr="00611528" w:rsidRDefault="00B85CAC" w:rsidP="00350477">
      <w:pPr>
        <w:pStyle w:val="NormalHanging12a"/>
        <w:widowControl/>
      </w:pPr>
      <w:r w:rsidRPr="00611528">
        <w:t>1.</w:t>
      </w:r>
      <w:r w:rsidRPr="00611528">
        <w:tab/>
        <w:t>εγκρίνει τη σύναψη της συμφωνίας·</w:t>
      </w:r>
    </w:p>
    <w:p w14:paraId="42450D8C" w14:textId="1CA413D9" w:rsidR="00E365E1" w:rsidRPr="00611528" w:rsidRDefault="00B85CAC" w:rsidP="00350477">
      <w:pPr>
        <w:pStyle w:val="NormalHanging12a"/>
        <w:widowControl/>
      </w:pPr>
      <w:r w:rsidRPr="00611528">
        <w:lastRenderedPageBreak/>
        <w:t>2.</w:t>
      </w:r>
      <w:r w:rsidRPr="00611528">
        <w:tab/>
        <w:t>αναθέτει στην Πρόεδρό του να διαβιβάσει τη θέση του Κοινοβουλίου στο Συμβούλιο και την Επιτροπή, στις κυβερνήσεις και στα κοινοβούλια των κρατών μελών καθώς και στις αρχές της Δημοκρατίας του Λιβάνου.</w:t>
      </w:r>
    </w:p>
    <w:sectPr w:rsidR="00E365E1" w:rsidRPr="00611528" w:rsidSect="00F43D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FC3D1" w14:textId="77777777" w:rsidR="00C97E50" w:rsidRPr="00F43D4D" w:rsidRDefault="00C97E50">
      <w:r w:rsidRPr="00F43D4D">
        <w:separator/>
      </w:r>
    </w:p>
  </w:endnote>
  <w:endnote w:type="continuationSeparator" w:id="0">
    <w:p w14:paraId="5885FA65" w14:textId="77777777" w:rsidR="00C97E50" w:rsidRPr="00F43D4D" w:rsidRDefault="00C97E50">
      <w:r w:rsidRPr="00F43D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8C2A" w14:textId="77777777" w:rsidR="00064002" w:rsidRPr="00F43D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0CF6" w14:textId="77777777" w:rsidR="00064002" w:rsidRPr="00F43D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4548" w14:textId="77777777" w:rsidR="00064002" w:rsidRPr="00F43D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D48C" w14:textId="77777777" w:rsidR="00C97E50" w:rsidRPr="00F43D4D" w:rsidRDefault="00C97E50">
      <w:r w:rsidRPr="00F43D4D">
        <w:separator/>
      </w:r>
    </w:p>
  </w:footnote>
  <w:footnote w:type="continuationSeparator" w:id="0">
    <w:p w14:paraId="4FA97B13" w14:textId="77777777" w:rsidR="00C97E50" w:rsidRPr="00F43D4D" w:rsidRDefault="00C97E50">
      <w:r w:rsidRPr="00F43D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DC90" w14:textId="77777777" w:rsidR="00064002" w:rsidRPr="00F43D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60F5" w14:textId="77777777" w:rsidR="00064002" w:rsidRPr="00F43D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BEAC" w14:textId="77777777" w:rsidR="00064002" w:rsidRPr="00F43D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3680393">
    <w:abstractNumId w:val="9"/>
  </w:num>
  <w:num w:numId="2" w16cid:durableId="450711362">
    <w:abstractNumId w:val="9"/>
  </w:num>
  <w:num w:numId="3" w16cid:durableId="1624732577">
    <w:abstractNumId w:val="7"/>
  </w:num>
  <w:num w:numId="4" w16cid:durableId="344676260">
    <w:abstractNumId w:val="7"/>
  </w:num>
  <w:num w:numId="5" w16cid:durableId="1911424462">
    <w:abstractNumId w:val="6"/>
  </w:num>
  <w:num w:numId="6" w16cid:durableId="2078432923">
    <w:abstractNumId w:val="6"/>
  </w:num>
  <w:num w:numId="7" w16cid:durableId="76369850">
    <w:abstractNumId w:val="5"/>
  </w:num>
  <w:num w:numId="8" w16cid:durableId="1119841630">
    <w:abstractNumId w:val="5"/>
  </w:num>
  <w:num w:numId="9" w16cid:durableId="1513103324">
    <w:abstractNumId w:val="4"/>
  </w:num>
  <w:num w:numId="10" w16cid:durableId="1682732450">
    <w:abstractNumId w:val="4"/>
  </w:num>
  <w:num w:numId="11" w16cid:durableId="1695418994">
    <w:abstractNumId w:val="8"/>
  </w:num>
  <w:num w:numId="12" w16cid:durableId="595361238">
    <w:abstractNumId w:val="8"/>
  </w:num>
  <w:num w:numId="13" w16cid:durableId="2082605231">
    <w:abstractNumId w:val="3"/>
  </w:num>
  <w:num w:numId="14" w16cid:durableId="140197493">
    <w:abstractNumId w:val="3"/>
  </w:num>
  <w:num w:numId="15" w16cid:durableId="1283075008">
    <w:abstractNumId w:val="2"/>
  </w:num>
  <w:num w:numId="16" w16cid:durableId="1579288669">
    <w:abstractNumId w:val="2"/>
  </w:num>
  <w:num w:numId="17" w16cid:durableId="1872642537">
    <w:abstractNumId w:val="1"/>
  </w:num>
  <w:num w:numId="18" w16cid:durableId="825628064">
    <w:abstractNumId w:val="1"/>
  </w:num>
  <w:num w:numId="19" w16cid:durableId="277949240">
    <w:abstractNumId w:val="0"/>
  </w:num>
  <w:num w:numId="20" w16cid:durableId="1257784859">
    <w:abstractNumId w:val="0"/>
  </w:num>
  <w:num w:numId="21" w16cid:durableId="1189099136">
    <w:abstractNumId w:val="9"/>
  </w:num>
  <w:num w:numId="22" w16cid:durableId="784229172">
    <w:abstractNumId w:val="7"/>
  </w:num>
  <w:num w:numId="23" w16cid:durableId="1031030893">
    <w:abstractNumId w:val="6"/>
  </w:num>
  <w:num w:numId="24" w16cid:durableId="759103940">
    <w:abstractNumId w:val="5"/>
  </w:num>
  <w:num w:numId="25" w16cid:durableId="427771817">
    <w:abstractNumId w:val="4"/>
  </w:num>
  <w:num w:numId="26" w16cid:durableId="2063357531">
    <w:abstractNumId w:val="8"/>
  </w:num>
  <w:num w:numId="27" w16cid:durableId="1390230035">
    <w:abstractNumId w:val="3"/>
  </w:num>
  <w:num w:numId="28" w16cid:durableId="1672442920">
    <w:abstractNumId w:val="2"/>
  </w:num>
  <w:num w:numId="29" w16cid:durableId="460536656">
    <w:abstractNumId w:val="1"/>
  </w:num>
  <w:num w:numId="30" w16cid:durableId="1561473878">
    <w:abstractNumId w:val="0"/>
  </w:num>
  <w:num w:numId="31" w16cid:durableId="424956150">
    <w:abstractNumId w:val="9"/>
  </w:num>
  <w:num w:numId="32" w16cid:durableId="1993632576">
    <w:abstractNumId w:val="7"/>
  </w:num>
  <w:num w:numId="33" w16cid:durableId="922300439">
    <w:abstractNumId w:val="6"/>
  </w:num>
  <w:num w:numId="34" w16cid:durableId="1261913480">
    <w:abstractNumId w:val="5"/>
  </w:num>
  <w:num w:numId="35" w16cid:durableId="51582450">
    <w:abstractNumId w:val="4"/>
  </w:num>
  <w:num w:numId="36" w16cid:durableId="669990576">
    <w:abstractNumId w:val="8"/>
  </w:num>
  <w:num w:numId="37" w16cid:durableId="1579170911">
    <w:abstractNumId w:val="3"/>
  </w:num>
  <w:num w:numId="38" w16cid:durableId="1740252310">
    <w:abstractNumId w:val="2"/>
  </w:num>
  <w:num w:numId="39" w16cid:durableId="571430667">
    <w:abstractNumId w:val="1"/>
  </w:num>
  <w:num w:numId="40" w16cid:durableId="1612317477">
    <w:abstractNumId w:val="0"/>
  </w:num>
  <w:num w:numId="41" w16cid:durableId="1953170690">
    <w:abstractNumId w:val="10"/>
  </w:num>
  <w:num w:numId="42" w16cid:durableId="772287131">
    <w:abstractNumId w:val="10"/>
  </w:num>
  <w:num w:numId="43" w16cid:durableId="1486773669">
    <w:abstractNumId w:val="10"/>
  </w:num>
  <w:num w:numId="44" w16cid:durableId="1577977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EL"/>
    <w:docVar w:name="dvnumam" w:val="0"/>
    <w:docVar w:name="dvpe" w:val="786.905"/>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Ευρωπαϊκής Ένωσης, της συμφωνίας μεταξύ της Ευρωπαϊκής Ένωσης και της Δημοκρατίας του Λιβάνου σχετικά με τη συνεργασία μεταξύ του Οργανισμού της Ευρωπαϊκής Ένωσης για τη Συνεργασία στον Τομέα της Ποινικής Δικαιοσύνης (Eurojust) και των αρχών της Δημοκρατίας του Λιβάνου που είναι αρμόδιες για τη δικαστική συνεργασία σε ποινικές υποθέσεις(13619/2024 – C10-0333/2025 – 2024/0155(NLE))"/>
  </w:docVars>
  <w:rsids>
    <w:rsidRoot w:val="00C97E5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47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52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CAC"/>
    <w:rsid w:val="00BD48FE"/>
    <w:rsid w:val="00BD7BD8"/>
    <w:rsid w:val="00BE6ADC"/>
    <w:rsid w:val="00C05BFE"/>
    <w:rsid w:val="00C23CD4"/>
    <w:rsid w:val="00C61C0C"/>
    <w:rsid w:val="00C941CB"/>
    <w:rsid w:val="00C97E50"/>
    <w:rsid w:val="00CC2357"/>
    <w:rsid w:val="00CF071A"/>
    <w:rsid w:val="00D058B8"/>
    <w:rsid w:val="00D56C11"/>
    <w:rsid w:val="00D834A0"/>
    <w:rsid w:val="00D872DF"/>
    <w:rsid w:val="00D91E21"/>
    <w:rsid w:val="00DA7FCD"/>
    <w:rsid w:val="00DC13BC"/>
    <w:rsid w:val="00E365E1"/>
    <w:rsid w:val="00E820A4"/>
    <w:rsid w:val="00E90A49"/>
    <w:rsid w:val="00EB006A"/>
    <w:rsid w:val="00EB4772"/>
    <w:rsid w:val="00ED169E"/>
    <w:rsid w:val="00ED4235"/>
    <w:rsid w:val="00F04346"/>
    <w:rsid w:val="00F075DC"/>
    <w:rsid w:val="00F149E9"/>
    <w:rsid w:val="00F43D4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A130F"/>
  <w15:chartTrackingRefBased/>
  <w15:docId w15:val="{BD057F49-84CE-475D-A1E0-9DF99CC3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5CAC"/>
    <w:pPr>
      <w:spacing w:before="480" w:after="240"/>
    </w:pPr>
  </w:style>
  <w:style w:type="paragraph" w:customStyle="1" w:styleId="NormalBold">
    <w:name w:val="NormalBold"/>
    <w:basedOn w:val="Normal"/>
    <w:rsid w:val="00B85CAC"/>
    <w:rPr>
      <w:b/>
    </w:rPr>
  </w:style>
  <w:style w:type="paragraph" w:customStyle="1" w:styleId="NormalBold12a">
    <w:name w:val="NormalBold12a"/>
    <w:basedOn w:val="Normal"/>
    <w:rsid w:val="00B85CAC"/>
    <w:pPr>
      <w:spacing w:after="240"/>
    </w:pPr>
    <w:rPr>
      <w:b/>
    </w:rPr>
  </w:style>
  <w:style w:type="paragraph" w:customStyle="1" w:styleId="NormalHanging12a">
    <w:name w:val="NormalHanging12a"/>
    <w:basedOn w:val="Normal"/>
    <w:rsid w:val="00B85CAC"/>
    <w:pPr>
      <w:spacing w:after="240"/>
      <w:ind w:left="567" w:hanging="567"/>
    </w:pPr>
  </w:style>
  <w:style w:type="paragraph" w:styleId="Revision">
    <w:name w:val="Revision"/>
    <w:hidden/>
    <w:uiPriority w:val="99"/>
    <w:semiHidden/>
    <w:rsid w:val="0035047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2026-05-20T10:43:00Z</dcterms:created>
  <dcterms:modified xsi:type="dcterms:W3CDTF">2026-05-20T10:43:00Z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A10-0132/2026</vt:lpwstr>
  </property>
  <property fmtid="{D5CDD505-2E9C-101B-9397-08002B2CF9AE}" pid="4" name="&lt;Type&gt;">
    <vt:lpwstr>RR</vt:lpwstr>
  </property>
</Properties>
</file>