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35DB" w14:paraId="58A2EF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6AE72C" w14:textId="5B14BE46" w:rsidR="00751A4A" w:rsidRPr="006235DB" w:rsidRDefault="0074590E" w:rsidP="0010095E">
            <w:pPr>
              <w:pStyle w:val="EPName"/>
            </w:pPr>
            <w:r w:rsidRPr="006235DB">
              <w:t>Evropský parlament</w:t>
            </w:r>
          </w:p>
          <w:p w14:paraId="0B337C4C" w14:textId="77777777" w:rsidR="00751A4A" w:rsidRPr="006235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35DB">
              <w:t>2024</w:t>
            </w:r>
            <w:r w:rsidR="00817416" w:rsidRPr="006235DB">
              <w:t>-202</w:t>
            </w:r>
            <w:r w:rsidRPr="006235DB">
              <w:t>9</w:t>
            </w:r>
          </w:p>
        </w:tc>
        <w:tc>
          <w:tcPr>
            <w:tcW w:w="2268" w:type="dxa"/>
            <w:shd w:val="clear" w:color="auto" w:fill="auto"/>
          </w:tcPr>
          <w:p w14:paraId="51342602" w14:textId="77777777" w:rsidR="00751A4A" w:rsidRPr="006235DB" w:rsidRDefault="00187494" w:rsidP="0010095E">
            <w:pPr>
              <w:pStyle w:val="EPLogo"/>
            </w:pPr>
            <w:r w:rsidRPr="006235DB">
              <w:rPr>
                <w:noProof/>
                <w:lang w:eastAsia="ja-JP"/>
              </w:rPr>
              <w:drawing>
                <wp:inline distT="0" distB="0" distL="0" distR="0" wp14:anchorId="79F59E18" wp14:editId="5EBEE7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CF78E1" w14:textId="77777777" w:rsidR="00D058B8" w:rsidRPr="006235DB" w:rsidRDefault="00D058B8" w:rsidP="004C5D52">
      <w:pPr>
        <w:pStyle w:val="LineTop"/>
      </w:pPr>
    </w:p>
    <w:p w14:paraId="1B5D52F1" w14:textId="008F0049" w:rsidR="00680577" w:rsidRPr="006235DB" w:rsidRDefault="0074590E" w:rsidP="00680577">
      <w:pPr>
        <w:pStyle w:val="EPBodyTA1"/>
      </w:pPr>
      <w:r w:rsidRPr="006235DB">
        <w:t>PŘIJATÉ TEXTY</w:t>
      </w:r>
    </w:p>
    <w:p w14:paraId="66439D1F" w14:textId="77777777" w:rsidR="00D058B8" w:rsidRPr="006235DB" w:rsidRDefault="00D058B8" w:rsidP="00D058B8">
      <w:pPr>
        <w:pStyle w:val="LineBottom"/>
      </w:pPr>
    </w:p>
    <w:p w14:paraId="70B1A8AA" w14:textId="249E37C9" w:rsidR="0074590E" w:rsidRPr="00A434CA" w:rsidRDefault="0074590E" w:rsidP="0074590E">
      <w:pPr>
        <w:pStyle w:val="ATHeading1"/>
      </w:pPr>
      <w:bookmarkStart w:id="0" w:name="TANumber"/>
      <w:r w:rsidRPr="00A434CA">
        <w:t>P10_TA(2026)0</w:t>
      </w:r>
      <w:r w:rsidR="0041647F">
        <w:t>181</w:t>
      </w:r>
      <w:bookmarkEnd w:id="0"/>
    </w:p>
    <w:p w14:paraId="7830999A" w14:textId="77777777" w:rsidR="0074590E" w:rsidRPr="00A434CA" w:rsidRDefault="0074590E" w:rsidP="0074590E">
      <w:pPr>
        <w:pStyle w:val="ATHeading2"/>
      </w:pPr>
      <w:bookmarkStart w:id="1" w:name="title"/>
      <w:r w:rsidRPr="00A434CA">
        <w:t>Dopad provádění směrnice 2014/89/EU o územním plánování námořních prostor na rybolov ve vybraných rybolovných oblastech a mořských pánvích</w:t>
      </w:r>
      <w:bookmarkEnd w:id="1"/>
    </w:p>
    <w:p w14:paraId="36240652" w14:textId="77777777" w:rsidR="0074590E" w:rsidRPr="006235DB" w:rsidRDefault="0074590E" w:rsidP="0074590E">
      <w:pPr>
        <w:rPr>
          <w:i/>
          <w:vanish/>
        </w:rPr>
      </w:pPr>
      <w:r w:rsidRPr="006235DB">
        <w:rPr>
          <w:i/>
        </w:rPr>
        <w:fldChar w:fldCharType="begin"/>
      </w:r>
      <w:r w:rsidRPr="006235DB">
        <w:rPr>
          <w:i/>
        </w:rPr>
        <w:instrText xml:space="preserve"> TC"(</w:instrText>
      </w:r>
      <w:bookmarkStart w:id="2" w:name="DocNumber"/>
      <w:r w:rsidRPr="006235DB">
        <w:rPr>
          <w:i/>
        </w:rPr>
        <w:instrText>A10-0120/2026</w:instrText>
      </w:r>
      <w:bookmarkEnd w:id="2"/>
      <w:r w:rsidRPr="006235DB">
        <w:rPr>
          <w:i/>
        </w:rPr>
        <w:instrText xml:space="preserve"> - Zpravodajka: Stéphanie Yon-Courtin)"\l3 \n&gt; \* MERGEFORMAT </w:instrText>
      </w:r>
      <w:r w:rsidRPr="006235DB">
        <w:rPr>
          <w:i/>
        </w:rPr>
        <w:fldChar w:fldCharType="end"/>
      </w:r>
    </w:p>
    <w:p w14:paraId="1CFCFA4A" w14:textId="77777777" w:rsidR="0074590E" w:rsidRPr="006235DB" w:rsidRDefault="0074590E" w:rsidP="0074590E">
      <w:pPr>
        <w:rPr>
          <w:vanish/>
        </w:rPr>
      </w:pPr>
      <w:bookmarkStart w:id="3" w:name="Commission"/>
      <w:r w:rsidRPr="006235DB">
        <w:rPr>
          <w:vanish/>
        </w:rPr>
        <w:t>Výbor pro rybolov</w:t>
      </w:r>
      <w:bookmarkEnd w:id="3"/>
    </w:p>
    <w:p w14:paraId="482F7D11" w14:textId="77777777" w:rsidR="0074590E" w:rsidRPr="006235DB" w:rsidRDefault="0074590E" w:rsidP="0074590E">
      <w:pPr>
        <w:rPr>
          <w:vanish/>
        </w:rPr>
      </w:pPr>
      <w:bookmarkStart w:id="4" w:name="PE"/>
      <w:r w:rsidRPr="006235DB">
        <w:rPr>
          <w:vanish/>
        </w:rPr>
        <w:t>PE781.431</w:t>
      </w:r>
      <w:bookmarkEnd w:id="4"/>
    </w:p>
    <w:p w14:paraId="4D79D944" w14:textId="1C49D781" w:rsidR="0074590E" w:rsidRPr="00A434CA" w:rsidRDefault="0074590E" w:rsidP="0074590E">
      <w:pPr>
        <w:pStyle w:val="ATHeading3"/>
      </w:pPr>
      <w:bookmarkStart w:id="5" w:name="Sujet"/>
      <w:r w:rsidRPr="00A434CA">
        <w:t xml:space="preserve">Usnesení Evropského parlamentu ze dne 20. května 2026 o dopadu provádění směrnice 2014/89/EU o územním plánování námořních prostor na rybolov ve vybraných rybolovných oblastech a mořských pánvích </w:t>
      </w:r>
      <w:bookmarkStart w:id="6" w:name="References"/>
      <w:bookmarkEnd w:id="5"/>
      <w:r w:rsidRPr="00A434CA">
        <w:t>(2024/2126(INI))</w:t>
      </w:r>
      <w:bookmarkEnd w:id="6"/>
    </w:p>
    <w:p w14:paraId="28008F90" w14:textId="77777777" w:rsidR="00144BFF" w:rsidRPr="006235DB" w:rsidRDefault="00144BFF" w:rsidP="00144BFF">
      <w:pPr>
        <w:pStyle w:val="EPComma"/>
        <w:rPr>
          <w:i/>
          <w:iCs/>
        </w:rPr>
      </w:pPr>
      <w:bookmarkStart w:id="7" w:name="TextBodyBegin"/>
      <w:bookmarkEnd w:id="7"/>
      <w:r w:rsidRPr="006235DB">
        <w:rPr>
          <w:i/>
        </w:rPr>
        <w:t>Evropský parlament,</w:t>
      </w:r>
    </w:p>
    <w:p w14:paraId="3890547D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t>–</w:t>
      </w:r>
      <w:r w:rsidRPr="006235DB">
        <w:tab/>
        <w:t>s ohledem na směrnici Evropsk</w:t>
      </w:r>
      <w:r w:rsidRPr="006235DB">
        <w:rPr>
          <w:szCs w:val="24"/>
        </w:rPr>
        <w:t>ého parlamentu a Rady 2014/89/EU ze dne 23. července 2014, kterou se stanoví rámec pro územní plánování námořních prostor</w:t>
      </w:r>
      <w:r w:rsidRPr="006235DB">
        <w:rPr>
          <w:rStyle w:val="FootnoteReference"/>
          <w:szCs w:val="24"/>
        </w:rPr>
        <w:footnoteReference w:id="1"/>
      </w:r>
      <w:r w:rsidRPr="006235DB">
        <w:rPr>
          <w:szCs w:val="24"/>
        </w:rPr>
        <w:t xml:space="preserve"> (směrnice o územním plánování námořních prostor),</w:t>
      </w:r>
    </w:p>
    <w:p w14:paraId="14061CB3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směrnici Evropského parlamentu a Rady 2008/56/ES ze dne 17. června 2008, kterou se stanoví rámec pro činnost Společenství v oblasti mořské environmentální politiky (rámcová směrnice o strategii pro mořské prostředí)</w:t>
      </w:r>
      <w:r w:rsidRPr="006235DB">
        <w:rPr>
          <w:rStyle w:val="FootnoteReference"/>
          <w:szCs w:val="24"/>
        </w:rPr>
        <w:footnoteReference w:id="2"/>
      </w:r>
      <w:r w:rsidRPr="006235DB">
        <w:rPr>
          <w:szCs w:val="24"/>
        </w:rPr>
        <w:t>,</w:t>
      </w:r>
    </w:p>
    <w:p w14:paraId="4987B7F9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nařízení Evropského parlamentu a Rady (EU) č. 1380/2013 ze dne 11. prosince 2013 o společné rybářské politice, o změně nařízení Rady (ES) č. 1954/2003 a (ES) č. 1224/2009 a o zrušení nařízení Rady (ES) č. 2371/2002 a (ES) č. 639/2004 a rozhodnutí Rady 2004/585/ES</w:t>
      </w:r>
      <w:r w:rsidRPr="006235DB">
        <w:rPr>
          <w:rStyle w:val="FootnoteReference"/>
          <w:szCs w:val="24"/>
        </w:rPr>
        <w:footnoteReference w:id="3"/>
      </w:r>
      <w:r w:rsidRPr="006235DB">
        <w:rPr>
          <w:szCs w:val="24"/>
        </w:rPr>
        <w:t xml:space="preserve"> (nařízení o společné rybářské politice),</w:t>
      </w:r>
    </w:p>
    <w:p w14:paraId="76A9A717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nařízení Evropského parlamentu a Rady (EU) 2021/1139 ze dne 7. července 2021, kterým se zřizuje Evropský námořní, rybářský a akvakulturní fond a mění nařízení (EU) 2017/1004</w:t>
      </w:r>
      <w:r w:rsidRPr="006235DB">
        <w:rPr>
          <w:rStyle w:val="FootnoteReference"/>
          <w:szCs w:val="24"/>
        </w:rPr>
        <w:footnoteReference w:id="4"/>
      </w:r>
      <w:r w:rsidRPr="006235DB">
        <w:rPr>
          <w:szCs w:val="24"/>
        </w:rPr>
        <w:t>,</w:t>
      </w:r>
    </w:p>
    <w:p w14:paraId="657C232D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směrnici Rady 92/43/EHS ze dne 21. května 1992 o ochraně přírodních stanovišť, volně žijících živočichů a planě rostoucích rostlin</w:t>
      </w:r>
      <w:r w:rsidRPr="006235DB">
        <w:rPr>
          <w:rStyle w:val="FootnoteReference"/>
          <w:szCs w:val="24"/>
        </w:rPr>
        <w:footnoteReference w:id="5"/>
      </w:r>
      <w:r w:rsidRPr="006235DB">
        <w:rPr>
          <w:szCs w:val="24"/>
        </w:rPr>
        <w:t xml:space="preserve"> (směrnice o ochraně </w:t>
      </w:r>
      <w:r w:rsidRPr="006235DB">
        <w:rPr>
          <w:szCs w:val="24"/>
        </w:rPr>
        <w:lastRenderedPageBreak/>
        <w:t>přírodních stanovišť),</w:t>
      </w:r>
    </w:p>
    <w:p w14:paraId="665E5F12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směrnici Evropského parlamentu a Rady 2009/147/ES ze dne 30. listopadu 2009 o ochraně volně žijících ptáků</w:t>
      </w:r>
      <w:r w:rsidRPr="006235DB">
        <w:rPr>
          <w:rStyle w:val="FootnoteReference"/>
          <w:szCs w:val="24"/>
        </w:rPr>
        <w:footnoteReference w:id="6"/>
      </w:r>
      <w:r w:rsidRPr="006235DB">
        <w:rPr>
          <w:szCs w:val="24"/>
        </w:rPr>
        <w:t xml:space="preserve"> (směrnice o ochraně ptáků),</w:t>
      </w:r>
    </w:p>
    <w:p w14:paraId="4D721AB1" w14:textId="0338806E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zprávu Komise ze dne 3. května 2022 o pokroku dosaženém při provádění směrnice 2014/89/EU, kterou se stanoví rámec pro územní plánování námořních prostor (COM(2022)0185),</w:t>
      </w:r>
    </w:p>
    <w:p w14:paraId="2D76DA62" w14:textId="3707B293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právní předpisy EU o kvalitě vody a kontrole znečištění (rámcová směrnice o vodě</w:t>
      </w:r>
      <w:r w:rsidRPr="006235DB">
        <w:rPr>
          <w:rStyle w:val="FootnoteReference"/>
          <w:szCs w:val="24"/>
        </w:rPr>
        <w:footnoteReference w:id="7"/>
      </w:r>
      <w:r w:rsidRPr="006235DB">
        <w:rPr>
          <w:szCs w:val="24"/>
        </w:rPr>
        <w:t>, směrnice 2008/105/ES</w:t>
      </w:r>
      <w:r w:rsidRPr="006235DB">
        <w:rPr>
          <w:rStyle w:val="FootnoteReference"/>
          <w:szCs w:val="24"/>
        </w:rPr>
        <w:footnoteReference w:id="8"/>
      </w:r>
      <w:r w:rsidRPr="006235DB">
        <w:rPr>
          <w:szCs w:val="24"/>
        </w:rPr>
        <w:t>, směrnice (EU) 2024/3019</w:t>
      </w:r>
      <w:r w:rsidRPr="006235DB">
        <w:rPr>
          <w:rStyle w:val="FootnoteReference"/>
          <w:szCs w:val="24"/>
        </w:rPr>
        <w:footnoteReference w:id="9"/>
      </w:r>
      <w:r w:rsidRPr="006235DB">
        <w:rPr>
          <w:szCs w:val="24"/>
        </w:rPr>
        <w:t>, směrnice Rady 91/676/EHS</w:t>
      </w:r>
      <w:r w:rsidRPr="006235DB">
        <w:rPr>
          <w:rStyle w:val="FootnoteReference"/>
          <w:szCs w:val="24"/>
        </w:rPr>
        <w:footnoteReference w:id="10"/>
      </w:r>
      <w:r w:rsidRPr="006235DB">
        <w:rPr>
          <w:szCs w:val="24"/>
        </w:rPr>
        <w:t>, směrnice 2005/35/ES</w:t>
      </w:r>
      <w:r w:rsidRPr="006235DB">
        <w:rPr>
          <w:rStyle w:val="FootnoteReference"/>
          <w:szCs w:val="24"/>
        </w:rPr>
        <w:footnoteReference w:id="11"/>
      </w:r>
      <w:r w:rsidRPr="006235DB">
        <w:rPr>
          <w:szCs w:val="24"/>
        </w:rPr>
        <w:t xml:space="preserve"> a nařízení (ES) č. 1907/2006</w:t>
      </w:r>
      <w:r w:rsidRPr="006235DB">
        <w:rPr>
          <w:rStyle w:val="FootnoteReference"/>
          <w:szCs w:val="24"/>
        </w:rPr>
        <w:footnoteReference w:id="12"/>
      </w:r>
      <w:r w:rsidRPr="006235DB">
        <w:rPr>
          <w:szCs w:val="24"/>
        </w:rPr>
        <w:t>),</w:t>
      </w:r>
    </w:p>
    <w:p w14:paraId="43A4B286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sdělení Komise ze dne 20. května 2020 nazvané „Strategie EU v oblasti biologické rozmanitosti do roku 2030 – Navrácení přírody do našeho života“ (COM(2020)0380) a na usnesení Parlamentu ze dne 9. června 2021 na toto téma</w:t>
      </w:r>
      <w:r w:rsidRPr="006235DB">
        <w:rPr>
          <w:rStyle w:val="FootnoteReference"/>
          <w:szCs w:val="24"/>
        </w:rPr>
        <w:footnoteReference w:id="13"/>
      </w:r>
      <w:r w:rsidRPr="006235DB">
        <w:rPr>
          <w:szCs w:val="24"/>
        </w:rPr>
        <w:t>,</w:t>
      </w:r>
    </w:p>
    <w:p w14:paraId="20619F1D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kodex chování pro odpovědný rybolov Organizace OSN pro výživu a zemědělství (FAO) z roku 1995, a zejména na článek 10 tohoto kodexu,</w:t>
      </w:r>
    </w:p>
    <w:p w14:paraId="1C7EE4AE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dobrovolné pokyny pro zajištění udržitelného drobného rybolovu v kontextu potravinového zabezpečení a vymýcení chudoby, které vydala organizace FAO,</w:t>
      </w:r>
    </w:p>
    <w:p w14:paraId="66C95EC0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 xml:space="preserve">s ohledem na sdělení Komise ze dne 5. června 2025 nazvané „Evropský pakt pro </w:t>
      </w:r>
      <w:r w:rsidRPr="006235DB">
        <w:rPr>
          <w:szCs w:val="24"/>
        </w:rPr>
        <w:lastRenderedPageBreak/>
        <w:t>oceány“ (COM(2025)0281),</w:t>
      </w:r>
    </w:p>
    <w:p w14:paraId="5644D3E6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své usnesení ze dne 7. července 2021 o dopadu mořských větrných parků a ostatních systémů výroby energie z obnovitelných zdrojů na odvětví rybolovu</w:t>
      </w:r>
      <w:r w:rsidRPr="006235DB">
        <w:rPr>
          <w:rStyle w:val="FootnoteReference"/>
          <w:szCs w:val="24"/>
        </w:rPr>
        <w:footnoteReference w:id="14"/>
      </w:r>
      <w:r w:rsidRPr="006235DB">
        <w:rPr>
          <w:szCs w:val="24"/>
        </w:rPr>
        <w:t>,</w:t>
      </w:r>
    </w:p>
    <w:p w14:paraId="29820AD4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své usnesení ze dne 6. října 2022 nazvané „Impulz pro oceán: posílení správy oceánů a biologické rozmanitosti“</w:t>
      </w:r>
      <w:r w:rsidRPr="006235DB">
        <w:rPr>
          <w:rStyle w:val="FootnoteReference"/>
          <w:szCs w:val="24"/>
        </w:rPr>
        <w:footnoteReference w:id="15"/>
      </w:r>
      <w:r w:rsidRPr="006235DB">
        <w:rPr>
          <w:szCs w:val="24"/>
        </w:rPr>
        <w:t>,</w:t>
      </w:r>
    </w:p>
    <w:p w14:paraId="7CE62C8C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své usnesení ze dne 9. května 2023 o společném řízení rybolovu v EU a příspěvku odvětví rybolovu k provádění opatření v oblasti řízení</w:t>
      </w:r>
      <w:r w:rsidRPr="006235DB">
        <w:rPr>
          <w:rStyle w:val="FootnoteReference"/>
          <w:szCs w:val="24"/>
        </w:rPr>
        <w:footnoteReference w:id="16"/>
      </w:r>
      <w:r w:rsidRPr="006235DB">
        <w:rPr>
          <w:szCs w:val="24"/>
        </w:rPr>
        <w:t>,</w:t>
      </w:r>
    </w:p>
    <w:p w14:paraId="2547E648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své usnesení ze dne 18. ledna 2024 o stavu provádění společné rybářské politiky a budoucích perspektivách</w:t>
      </w:r>
      <w:r w:rsidRPr="006235DB">
        <w:rPr>
          <w:rStyle w:val="FootnoteReference"/>
          <w:szCs w:val="24"/>
        </w:rPr>
        <w:footnoteReference w:id="17"/>
      </w:r>
      <w:r w:rsidRPr="006235DB">
        <w:rPr>
          <w:szCs w:val="24"/>
        </w:rPr>
        <w:t>,</w:t>
      </w:r>
    </w:p>
    <w:p w14:paraId="525A0F87" w14:textId="3D5A8EB0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 xml:space="preserve">s ohledem na sdělení Komise ze dne 12. května 2021 </w:t>
      </w:r>
      <w:r w:rsidR="006235DB">
        <w:rPr>
          <w:szCs w:val="24"/>
        </w:rPr>
        <w:t>nazvané</w:t>
      </w:r>
      <w:r w:rsidRPr="006235DB">
        <w:rPr>
          <w:szCs w:val="24"/>
        </w:rPr>
        <w:t xml:space="preserve"> „Strategické zásady pro udržitelnější a konkurenceschopnější akvakulturu v EU na období 2021–2030“ (COM(2021)0236),</w:t>
      </w:r>
    </w:p>
    <w:p w14:paraId="641290CC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pracovní dokument útvarů Komise (SWD(2025)0003) připojený k dokumentu nazvanému „Zpráva Komise Radě a Evropskému parlamentu o posouzení programů opatření členských států aktualizovaných podle článku 17 rámcové směrnice o strategii pro mořské prostředí (2008/56/ES) ze strany Komise“,</w:t>
      </w:r>
    </w:p>
    <w:p w14:paraId="3749CB62" w14:textId="0C36B7B2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zvláštní zprávu Evropského účetního dvora 25/2023 nazvanou „Politika EU v oblasti akvakultury – Stagnující produkce a nejasné výsledky navzdory navýšení finančních prostředků EU“,</w:t>
      </w:r>
    </w:p>
    <w:p w14:paraId="250C504F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publikaci typu „Briefing“ s názvem „Rybolov v územním plánování námořních prostor“, který zveřejnilo generální ředitelství pro parlamentní výzkumné služby v říjnu 2025,</w:t>
      </w:r>
    </w:p>
    <w:p w14:paraId="6471BB24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studii nazvanou „Provádění směrnice o územním plánování námořních prostor: dopad na rybolov ve vybraných rybolovných oblastech a mořských pánvích“, kterou zveřejnilo generální ředitelství pro parlamentní výzkumné služby v prosinci 2025,</w:t>
      </w:r>
    </w:p>
    <w:p w14:paraId="7A25491D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celosvětový rámec pro biologickou rozmanitost z Kchun-mingu a Montrealu z roku 2022,</w:t>
      </w:r>
    </w:p>
    <w:p w14:paraId="0372D31A" w14:textId="5620D53F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zprávu Mezivládního panelu pro změnu klimatu (IPCC) ze září 2019 s názvem „Zvláštní zpráva o oceánech a kryosféře v měnícím se klimatu“,</w:t>
      </w:r>
    </w:p>
    <w:p w14:paraId="67193FC5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t>–</w:t>
      </w:r>
      <w:r w:rsidRPr="006235DB">
        <w:rPr>
          <w:szCs w:val="24"/>
        </w:rPr>
        <w:tab/>
        <w:t>s ohledem na článek 55 jednacího řádu a na čl. 1 odst. 1 písm. e) a přílohu 3 rozhodnutí Konference předsedů ze dne 12. prosince 2002 o postupu udělování svolení k vypracování zpráv z vlastního podnětu,</w:t>
      </w:r>
    </w:p>
    <w:p w14:paraId="4EB052AA" w14:textId="77777777" w:rsidR="00144BFF" w:rsidRPr="006235DB" w:rsidRDefault="00144BFF" w:rsidP="006235DB">
      <w:pPr>
        <w:pStyle w:val="NormalHanging12a"/>
        <w:rPr>
          <w:szCs w:val="24"/>
        </w:rPr>
      </w:pPr>
      <w:r w:rsidRPr="006235DB">
        <w:rPr>
          <w:szCs w:val="24"/>
        </w:rPr>
        <w:lastRenderedPageBreak/>
        <w:t>–</w:t>
      </w:r>
      <w:r w:rsidRPr="006235DB">
        <w:rPr>
          <w:szCs w:val="24"/>
        </w:rPr>
        <w:tab/>
        <w:t>s ohledem na zprávu Výboru pro rybolov (A10-0120/2026),</w:t>
      </w:r>
    </w:p>
    <w:p w14:paraId="5D60256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A.</w:t>
      </w:r>
      <w:r w:rsidRPr="006235DB">
        <w:rPr>
          <w:szCs w:val="24"/>
        </w:rPr>
        <w:tab/>
        <w:t>vzhledem k tomu, že zvýšená konkurence v přístupu do námořního prostoru z různých činností a odvětví, jako je rybolov, akvakultura, námořní doprava, lodní doprava, energie z obnovitelných zdrojů na moři, ochrana přírody, zachování mořského kulturního dědictví, pobřežní cestovní ruch, rekreační činnosti, operace těžby a likvidace sedimentů z mořského dna prostřednictvím bagrování, využívání podmořských kabelů a potrubí nebo obrana, vede ke zvýšenému kumulativnímu tlaku na mořské ekosystémy a ke zhoršení konfliktu ohledně využívání námořního prostoru, který je umocněn institucionální a administrativní roztříštěností;</w:t>
      </w:r>
    </w:p>
    <w:p w14:paraId="7AE7C3A1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B.</w:t>
      </w:r>
      <w:r w:rsidRPr="006235DB">
        <w:rPr>
          <w:szCs w:val="24"/>
        </w:rPr>
        <w:tab/>
        <w:t>vzhledem k tomu, že rybolov a akvakultura jsou strategickými odvětvími pro bezpečnost a suverenitu EU, zejména pokud jde o potravinové zabezpečení a námořní suverenitu, a přispívají ke konkurenceschopnosti a odolnosti pobřežních komunit; vzhledem k tomu, že produkty rybolovu EU jsou zdravými místními potravinami, často pocházejícími z místních zdrojů, a nabízejí jeden z nejlepších profilů, pokud jde o nízké emise skleníkových plynů na jednotku jedlých živočišných bílkovin; vzhledem k tomu, že strategická hodnota těchto odvětví by proto měla být v územním plánování námořních prostor náležitě uznána;</w:t>
      </w:r>
    </w:p>
    <w:p w14:paraId="10AC85FD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C.</w:t>
      </w:r>
      <w:r w:rsidRPr="006235DB">
        <w:rPr>
          <w:szCs w:val="24"/>
        </w:rPr>
        <w:tab/>
        <w:t>vzhledem k tomu, že v roce 2022 se soběstačnost EU v oblasti mořských plodů snížila na 37,5 % a přibližně 80 % mořských plodů spotřebovaných v EU bylo dovezeno, což vytváří strukturální závislost na vnějších zdrojích a oslabuje potravinovou soběstačnost EU; vzhledem k tomu, že rybářské loďstvo EU zároveň zaznamenalo v posledním desetiletí výrazné snížení a je nyní o více než 13 % menší než v roce 2014; vzhledem k tomu, že tento pokles spolu s rostoucí konkurencí v oblasti využívání námořního prostoru ohrožuje hospodářskou životaschopnost odvětví rybolovu, generační obměnu a schopnost loďstva přispívat k potravinovému zabezpečení EU; vzhledem k tomu, že zajištění dostatečného, vyváženého a předvídatelného přístupu k námořnímu prostoru má proto zásadní význam pro rozvoj konkurenceschopného rybolovu EU, jak se uvádí v Evropském paktu pro oceány;</w:t>
      </w:r>
    </w:p>
    <w:p w14:paraId="2F2D4C40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D.</w:t>
      </w:r>
      <w:r w:rsidRPr="006235DB">
        <w:rPr>
          <w:szCs w:val="24"/>
        </w:rPr>
        <w:tab/>
        <w:t>vzhledem k tomu, že měnící se geopolitický kontext a rostoucí napětí by mohly vést k většímu vojenskému využívání námořního prostoru; vzhledem k tomu, že územní plánování námořních prostor musí zohledňovat činnosti a operace související s obranou a bezpečností, jako je dohled nad výlučnými ekonomickými zónami, ochrana námořního obchodu, společná vojenská cvičení, boj proti nedovolenému obchodování, odminování, boj proti pirátství a letecký a satelitní dohled, a jejich interakce s hospodářskými činnostmi souvisejícími s mořem a mořským prostředím;</w:t>
      </w:r>
    </w:p>
    <w:p w14:paraId="7764D49E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E.</w:t>
      </w:r>
      <w:r w:rsidRPr="006235DB">
        <w:rPr>
          <w:szCs w:val="24"/>
        </w:rPr>
        <w:tab/>
        <w:t>vzhledem k tomu, že Evropský účetní dvůr ve své zvláštní zprávě 22/2023 nazvané „Strategie EU pro obnovitelnou energii na moři“ poukázal na riziko ztráty pracovních míst v odvětví rybolovu; vzhledem k tomu, že ve zprávě bylo poukázáno na nedostatečné vyčíslení klíčových hospodářských dopadů rozvoje energie z obnovitelných zdrojů na moři na rybolov a uvedla, že potenciální negativní důsledky rozvoje energie z obnovitelných zdrojů na moři na odvětví rybolovu by měly být lépe identifikovány a řešeny; vzhledem k tomu, že rovněž konstatovala, že zlepšení rybí populace ve větším měřítku je nejisté, ale bylo zaznamenáno určité zvýšení hustoty ryb v oblastech energie z obnovitelných zdrojů na moři, což naznačuje potenciální přínosy pro rybáře a rybolov;</w:t>
      </w:r>
    </w:p>
    <w:p w14:paraId="43DEB22D" w14:textId="3D097B9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lastRenderedPageBreak/>
        <w:t>F.</w:t>
      </w:r>
      <w:r w:rsidRPr="006235DB">
        <w:rPr>
          <w:szCs w:val="24"/>
        </w:rPr>
        <w:tab/>
        <w:t>vzhledem k tomu, že EU si stanovila právně závazný cíl zavést do roku 2030 účinná opatření na obnovu podle jednotlivých oblastí alespoň ve 20</w:t>
      </w:r>
      <w:r w:rsidR="00871445" w:rsidRPr="0076431A">
        <w:t> </w:t>
      </w:r>
      <w:r w:rsidRPr="006235DB">
        <w:rPr>
          <w:szCs w:val="24"/>
        </w:rPr>
        <w:t>% svých mořských oblastí;</w:t>
      </w:r>
    </w:p>
    <w:p w14:paraId="598A8E2E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G.</w:t>
      </w:r>
      <w:r w:rsidRPr="006235DB">
        <w:rPr>
          <w:szCs w:val="24"/>
        </w:rPr>
        <w:tab/>
        <w:t>vzhledem k tomu, že se EU zavázala chránit do roku 2030 alespoň 30 % své mořské oblasti;</w:t>
      </w:r>
    </w:p>
    <w:p w14:paraId="6B18ABC5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H.</w:t>
      </w:r>
      <w:r w:rsidRPr="006235DB">
        <w:rPr>
          <w:szCs w:val="24"/>
        </w:rPr>
        <w:tab/>
        <w:t>vzhledem k tomu, že směrnice MSP o územním plánování námořních prostor vytváří společný rámec pro členské státy pro organizaci způsobů využívání jejich mořských vod a jejím cílem je podpořit udržitelný rozvoj a udržitelný růst modré ekonomiky a omezit konflikty mezi odvětvími, aniž by zaváděl nové povinnosti pro jednotlivá odvětví; vzhledem k tomu, že směrnice má tendenci podporovat rozšiřování kapitálově náročných a prostorově výlučných hospodářských činností, což by mohlo marginalizovat tradiční, mobilní a kolektivní využívání moře, zejména rybolov;</w:t>
      </w:r>
    </w:p>
    <w:p w14:paraId="2C829B2E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I.</w:t>
      </w:r>
      <w:r w:rsidRPr="006235DB">
        <w:rPr>
          <w:szCs w:val="24"/>
        </w:rPr>
        <w:tab/>
        <w:t>vzhledem k tomu, že EU poskytla rámec pro územní plánování námořních prostor, včetně mechanismů přeshraniční spolupráce; vzhledem k tomu, že pobřežní členské státy jsou odpovědné za přijímání plánů podle tohoto rámce, včetně navrhování a určování formátu a obsahu těchto plánů v souladu se svou správní tradicí, a za rozdělování námořního prostoru pro různé činnosti a využití;</w:t>
      </w:r>
    </w:p>
    <w:p w14:paraId="2987FBDE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J.</w:t>
      </w:r>
      <w:r w:rsidRPr="006235DB">
        <w:rPr>
          <w:szCs w:val="24"/>
        </w:rPr>
        <w:tab/>
        <w:t>vzhledem k tomu, že směrnice o územním plánování námořních prostor přispívá k ochraně životního prostředí podporou udržitelného využívání námořního prostoru a mořských zdrojů a stanoví, že členské státy musí uplatňovat ekosystémový přístup; vzhledem k tomu, že se snaží zajistit účinnou rovnováhu mezi environmentálními, sociálními a hospodářskými cíli, aniž by systematicky podřizovala tradiční činnosti jiným;</w:t>
      </w:r>
    </w:p>
    <w:p w14:paraId="60D64A6A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K.</w:t>
      </w:r>
      <w:r w:rsidRPr="006235DB">
        <w:rPr>
          <w:szCs w:val="24"/>
        </w:rPr>
        <w:tab/>
        <w:t>vzhledem k tomu, že směrnice o územním plánování námořních prostor úzce souvisí s prováděním dalších právních předpisů EU, jako je rámcová směrnice o strategii pro mořské prostředí, nařízení o společné rybářské politice, směrnice o ochraně přírodních stanovišť a směrnice o ochraně ptáků, rámcová směrnice o vodě; vzhledem k tomu, že je rovněž spojena s právně nezávaznými politickými závazky, jako je celosvětový rámec pro biologickou rozmanitost z Kchun-mingu a Montrealu;</w:t>
      </w:r>
    </w:p>
    <w:p w14:paraId="2D48B781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L.</w:t>
      </w:r>
      <w:r w:rsidRPr="006235DB">
        <w:rPr>
          <w:szCs w:val="24"/>
        </w:rPr>
        <w:tab/>
        <w:t>vzhledem k tomu, že po přijetí směrnice o územním plánování námořních prostor bylo 22 členských států, které mají pobřeží, povinno do roku 2016 jmenovat příslušné orgány a do 31. března 2021 přijmout vnitrostátní územní plány námořních prostor pro své mořské vody; vzhledem k tomu, že osm členských států tuto lhůtu nedodrželo;</w:t>
      </w:r>
    </w:p>
    <w:p w14:paraId="7ED45E9E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M.</w:t>
      </w:r>
      <w:r w:rsidRPr="006235DB">
        <w:rPr>
          <w:szCs w:val="24"/>
        </w:rPr>
        <w:tab/>
        <w:t>vzhledem k tomu, že 20 ze 22 členských států, které mají pobřeží, územní plány námořních prostor již přijalo a mnohé z nich je nyní revidují;</w:t>
      </w:r>
    </w:p>
    <w:p w14:paraId="343EC690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N.</w:t>
      </w:r>
      <w:r w:rsidRPr="006235DB">
        <w:rPr>
          <w:szCs w:val="24"/>
        </w:rPr>
        <w:tab/>
        <w:t>vzhledem k tomu, že při vypracovávání územních plánů námořních prostor musí členské státy zohlednit environmentální, hospodářské, sociální a bezpečnostní aspekty, interakce mezi pevninou a mořem a přeshraniční spolupráci a musí zajistit včasné, trvalé a účinné zapojení všech příslušných zúčastněných stran, včetně rybářů a sběračů měkkýšů a korýšů a organizací, které je zastupují, a komunit v nejvzdálenějších regionech, a to prostřednictvím přístupu zdola nahoru a v průběhu celého rozhodovacího procesu, přičemž je třeba zajistit, aby toto zapojení bylo vhodné, smysluplné a neomezovalo se pouze na poradní úlohu;</w:t>
      </w:r>
    </w:p>
    <w:p w14:paraId="67546331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lastRenderedPageBreak/>
        <w:t>O.</w:t>
      </w:r>
      <w:r w:rsidRPr="006235DB">
        <w:rPr>
          <w:szCs w:val="24"/>
        </w:rPr>
        <w:tab/>
        <w:t>vzhledem k tomu, že úroveň provádění směrnice o územním plánování námořních prostor se v jednotlivých členských státech značně liší, a to v důsledku rozdílů ve správních a řídicích strukturách, které sahají od místních systémů až po systémy více centralizované; vzhledem k tomu, že účinky územního plánování námořních prostor se značně liší v závislosti na dotčených mořských oblastech a územích, přičemž některé pobřežní regiony čelí vyšší koncentraci prostorových omezení a konkurenčního využití, což prohlubuje územní nerovnováhu v rámci EU;</w:t>
      </w:r>
    </w:p>
    <w:p w14:paraId="2B6E49AF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P.</w:t>
      </w:r>
      <w:r w:rsidRPr="006235DB">
        <w:rPr>
          <w:szCs w:val="24"/>
        </w:rPr>
        <w:tab/>
        <w:t>vzhledem k tomu, že členské státy musí koordinovat své plány s ostatními příslušnými členskými státy a spolupracovat s orgány v zemích mimo EU v dotčené mořské oblasti; vzhledem k tomu, že s ohledem na rozdíly mezi různými mořskými oblastmi nebo podoblastmi a pobřežními zónami není univerzální přístup považován za vhodný pro takovou spolupráci;</w:t>
      </w:r>
    </w:p>
    <w:p w14:paraId="410D9438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Q.</w:t>
      </w:r>
      <w:r w:rsidRPr="006235DB">
        <w:rPr>
          <w:szCs w:val="24"/>
        </w:rPr>
        <w:tab/>
        <w:t>vzhledem k tomu, že územní plány námořních prostor se značně liší svou povahou a obsahem, neboť směrnice o územním plánování námořních prostor nestanoví podrobná závazná kritéria pro plány a poskytuje členským státům značnou flexibilitu, pokud jde o provádění a podrobnou koncepci plánů;</w:t>
      </w:r>
    </w:p>
    <w:p w14:paraId="40FBF36C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R.</w:t>
      </w:r>
      <w:r w:rsidRPr="006235DB">
        <w:rPr>
          <w:szCs w:val="24"/>
        </w:rPr>
        <w:tab/>
        <w:t>vzhledem k tomu, že v oblastech s vysokou koncentrací činností a omezeným námořním prostorem, jako je Lamanšský průliv, Baltské moře a Středozemní moře, je územní plánování námořních prostor naprostou nutností;</w:t>
      </w:r>
    </w:p>
    <w:p w14:paraId="19307A51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S.</w:t>
      </w:r>
      <w:r w:rsidRPr="006235DB">
        <w:rPr>
          <w:szCs w:val="24"/>
        </w:rPr>
        <w:tab/>
        <w:t>vzhledem k tomu, že územní plánování námořních prostor přispívá k územní soudržnosti EU v souladu s článkem 174 Smlouvy o fungování Evropské unie; vzhledem k tomu, že rybolov a akvakultura nejsou pouze hospodářskými činnostmi, ale hrají zásadní sociální úlohu při zajišťování živobytí, zachování zaměstnanosti a zachování sociální a kulturní struktury pobřežních a ostrovních komunit, zejména v okrajových a nejvzdálenějších regionech;</w:t>
      </w:r>
    </w:p>
    <w:p w14:paraId="73D14692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T.</w:t>
      </w:r>
      <w:r w:rsidRPr="006235DB">
        <w:rPr>
          <w:szCs w:val="24"/>
        </w:rPr>
        <w:tab/>
      </w:r>
      <w:bookmarkStart w:id="8" w:name="_Hlk227157449"/>
      <w:r w:rsidRPr="006235DB">
        <w:rPr>
          <w:szCs w:val="24"/>
        </w:rPr>
        <w:t>vzhledem k tomu, že odvětví rybolovu a akvakultury čelí několika výzvám, jako je tlak vyplývající ze zhoršujícího se stavu mořských ekosystémů a nerovnoměrného zavádění opatření na ochranu moří a tlak ze strany nově vznikajících odvětví modré ekonomiky, jako je obnovitelná energie na moři;</w:t>
      </w:r>
      <w:bookmarkEnd w:id="8"/>
    </w:p>
    <w:p w14:paraId="7BD1BF9E" w14:textId="77777777" w:rsidR="00F055F6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U.</w:t>
      </w:r>
      <w:r w:rsidRPr="006235DB">
        <w:rPr>
          <w:szCs w:val="24"/>
        </w:rPr>
        <w:tab/>
        <w:t>vzhledem k tomu, že dobře spravované a účinně chráněné sítě ekologicky propojených chráněných mořských oblastí jsou základním nástrojem pro zachování biologické rozmanitosti moří a mohou přispět k dlouhodobým přínosům prostřednictvím obnovy populací, přelévání do sousedních oblastí a odolnosti pobřežních ekonomik, ale jejich účinnost a společenská přijatelnost závisí na tom, jak jsou koncipovány, řízeny a koordinovány s udržitelnými rybolovnými činnostmi, zejména prostřednictvím diferencovaných přístupů založených na vědeckých údajích a účasti všech zúčastněných stran, včetně rybářů a pobřežních komunit;</w:t>
      </w:r>
    </w:p>
    <w:p w14:paraId="3E8D4461" w14:textId="7B32DD23" w:rsidR="00144BFF" w:rsidRPr="006235DB" w:rsidRDefault="00F055F6" w:rsidP="00A434CA">
      <w:pPr>
        <w:pStyle w:val="NormalHanging12a"/>
        <w:rPr>
          <w:szCs w:val="24"/>
        </w:rPr>
      </w:pPr>
      <w:r>
        <w:rPr>
          <w:szCs w:val="24"/>
        </w:rPr>
        <w:t>V.</w:t>
      </w:r>
      <w:r w:rsidR="00144BFF" w:rsidRPr="006235DB">
        <w:rPr>
          <w:szCs w:val="24"/>
        </w:rPr>
        <w:tab/>
        <w:t>vzhledem k tomu, že energie z obnovitelných zdrojů na moři bude udržitelná pouze tehdy, nebude-li mít negativní dopad na životní prostředí a hospodářskou, sociální a územní soudržnost, zejména v regionech závislých na rybolovu;</w:t>
      </w:r>
    </w:p>
    <w:p w14:paraId="4C850219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W.</w:t>
      </w:r>
      <w:r w:rsidRPr="006235DB">
        <w:rPr>
          <w:szCs w:val="24"/>
        </w:rPr>
        <w:tab/>
        <w:t>vzhledem k tomu, že rozhodnutí o vnitrostátní skladbě zdrojů energie a technologiích zůstává v pravomoci členského státu;</w:t>
      </w:r>
    </w:p>
    <w:p w14:paraId="25AE5027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lastRenderedPageBreak/>
        <w:t>X.</w:t>
      </w:r>
      <w:r w:rsidRPr="006235DB">
        <w:rPr>
          <w:szCs w:val="24"/>
        </w:rPr>
        <w:tab/>
        <w:t>vzhledem k tomu, že rostoucí úbytek rybolovných oblastí vede k přesunu rybolovných činností, zvýšenému tlaku na rybolov a konkurenci mezi loďstvy a k zániku některých segmentů, v </w:t>
      </w:r>
      <w:proofErr w:type="gramStart"/>
      <w:r w:rsidRPr="006235DB">
        <w:rPr>
          <w:szCs w:val="24"/>
        </w:rPr>
        <w:t>rámci</w:t>
      </w:r>
      <w:proofErr w:type="gramEnd"/>
      <w:r w:rsidRPr="006235DB">
        <w:rPr>
          <w:szCs w:val="24"/>
        </w:rPr>
        <w:t xml:space="preserve"> nichž nemohou přesunout své činnosti, zejména v segmentu drobného rybolovu, mezi něž patří pěší rybáři včetně sběračů měkkýšů a korýšů; vzhledem k tomu, že to má rovněž dopad na sociální soudržnost, zaměstnanost a předávání námořních tradic;</w:t>
      </w:r>
    </w:p>
    <w:p w14:paraId="28D29638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Y.</w:t>
      </w:r>
      <w:r w:rsidRPr="006235DB">
        <w:rPr>
          <w:szCs w:val="24"/>
        </w:rPr>
        <w:tab/>
        <w:t>vzhledem k tomu, že v souladu se společnou rybářskou politikou jsou členské státy oprávněny omezit přístup k rybolovu v pásmu 12 námořních mil od svého pobřeží a v případě nejvzdálenějších regionů v pásmu 100 námořních mil pro rybářská plavidla, která tradičně loví v těchto vodách z přístavů na přilehlém pobřeží;</w:t>
      </w:r>
    </w:p>
    <w:p w14:paraId="0543D4B9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Z.</w:t>
      </w:r>
      <w:r w:rsidRPr="006235DB">
        <w:rPr>
          <w:szCs w:val="24"/>
        </w:rPr>
        <w:tab/>
        <w:t>vzhledem k tomu, že na námořní a pobřežní oblasti dopadají důsledky změny klimatu a znečištění moře a zejména pocházející z chemických znečišťujících látek a odpadků v moři nebo na pevnině, které mají vliv i na činnosti související s mořem, na mořskou biologickou rozmanitost a rybolovné zdroje;</w:t>
      </w:r>
    </w:p>
    <w:p w14:paraId="57D51B9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AA.</w:t>
      </w:r>
      <w:r w:rsidRPr="006235DB">
        <w:rPr>
          <w:szCs w:val="24"/>
        </w:rPr>
        <w:tab/>
        <w:t>vzhledem k tomu, že vystoupení Spojeného království z EU a důsledky brexitu zásadně změnily prostorovou, hospodářskou a rybářskou rovnováhu v několika mořských oblastech, zejména v Lamanšském průlivu, Severním moři a západních vodách, což vedlo ke zvýšené koncentraci rybolovných činností EU v omezenějších mořských oblastech;</w:t>
      </w:r>
    </w:p>
    <w:p w14:paraId="1942D45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AB.</w:t>
      </w:r>
      <w:r w:rsidRPr="006235DB">
        <w:rPr>
          <w:szCs w:val="24"/>
        </w:rPr>
        <w:tab/>
        <w:t>vzhledem k tomu, že pracovníci v námořních profesích, jako jsou rybáři, mohou čelit určitým rizikům nebo nebezpečím spojeným s bezpečností plavidel nebo vystavením určitým druhům nedovoleného obchodu na námořních trasách, jako je obchodování s drogami;</w:t>
      </w:r>
    </w:p>
    <w:p w14:paraId="0F8D7469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AC.</w:t>
      </w:r>
      <w:r w:rsidRPr="006235DB">
        <w:rPr>
          <w:szCs w:val="24"/>
        </w:rPr>
        <w:tab/>
        <w:t>vzhledem k tomu, že pracovníci v odvětví rybolovu a akvakultury by měli požívat bezpečných, spravedlivých a důstojných pracovních podmínek a odpovídající sociální ochrany; vzhledem k tomu, že rozhodnutí týkající se územního plánování námořních prostor mohou mít přímý dopad na bezpečnost, příjmy a pracovní podmínky těchto odborníků;</w:t>
      </w:r>
    </w:p>
    <w:p w14:paraId="5D848DFC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AD.</w:t>
      </w:r>
      <w:r w:rsidRPr="006235DB">
        <w:rPr>
          <w:szCs w:val="24"/>
        </w:rPr>
        <w:tab/>
        <w:t>vzhledem k tomu, že mnoho územních plánů námořních prostor zahrnuje pouze námořní prostory a nezahrnuje interakce mezi pevninou a mořem a zejména dopady znečištění z pevniny na mořské ekosystémy;</w:t>
      </w:r>
    </w:p>
    <w:p w14:paraId="7D90934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AE.</w:t>
      </w:r>
      <w:r w:rsidRPr="006235DB">
        <w:rPr>
          <w:szCs w:val="24"/>
        </w:rPr>
        <w:tab/>
        <w:t xml:space="preserve">vzhledem k tomu, že provádění ekosystémového přístupu je nedostatečné nebo zcela chybí, neboť mnoha členským státům se nedaří uplatňovat jej v praxi a sladit požadavky směrnice o územním plánování námořních prostor s požadavky jiných právních předpisů, jako je nařízení o společné rybářské politice </w:t>
      </w:r>
      <w:proofErr w:type="gramStart"/>
      <w:r w:rsidRPr="006235DB">
        <w:rPr>
          <w:szCs w:val="24"/>
        </w:rPr>
        <w:t>a nebo</w:t>
      </w:r>
      <w:proofErr w:type="gramEnd"/>
      <w:r w:rsidRPr="006235DB">
        <w:rPr>
          <w:szCs w:val="24"/>
        </w:rPr>
        <w:t xml:space="preserve"> rámcová směrnice o strategii pro mořské prostředí;</w:t>
      </w:r>
    </w:p>
    <w:p w14:paraId="67FF4066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AF.</w:t>
      </w:r>
      <w:r w:rsidRPr="006235DB">
        <w:rPr>
          <w:szCs w:val="24"/>
        </w:rPr>
        <w:tab/>
        <w:t>vzhledem k tomu, že členské státy dosud nedosáhly cíle „dobrého stavu prostředí“ evropských moří do roku 2020, jak požaduje rámcová směrnice o strategii pro mořské prostředí;</w:t>
      </w:r>
    </w:p>
    <w:p w14:paraId="465680CA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AG.</w:t>
      </w:r>
      <w:r w:rsidRPr="006235DB">
        <w:rPr>
          <w:szCs w:val="24"/>
        </w:rPr>
        <w:tab/>
        <w:t xml:space="preserve">vzhledem k tomu, že shromažďování, transparentnost, přístupnost, harmonizace a přiměřeně rychlé zpracování údajů jsou klíčem k určení toho, jak jsou rybolov a akvakultura zahrnuty do územního plánování námořních prostor; vzhledem k tomu, že </w:t>
      </w:r>
      <w:r w:rsidRPr="006235DB">
        <w:rPr>
          <w:szCs w:val="24"/>
        </w:rPr>
        <w:lastRenderedPageBreak/>
        <w:t>chybí komplexní údaje o výlučných ekonomických zónách a že je obtížné integrovat údaje z různých odvětví a získávat údaje od vnitrostátních orgánů; vzhledem k tomu, že by mohlo být zlepšeno přidělování finančních prostředků na tyto druhy činností v oblasti shromažďování údajů;</w:t>
      </w:r>
    </w:p>
    <w:p w14:paraId="78454E0C" w14:textId="77777777" w:rsidR="00144BFF" w:rsidRPr="006235DB" w:rsidRDefault="00144BFF" w:rsidP="006235DB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6235DB">
        <w:rPr>
          <w:b/>
          <w:i/>
          <w:szCs w:val="24"/>
        </w:rPr>
        <w:t>Provádění směrnice o územním plánování námořních prostor a její dopad na rybolov a akvakulturu</w:t>
      </w:r>
    </w:p>
    <w:p w14:paraId="15D012FB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1.</w:t>
      </w:r>
      <w:r w:rsidRPr="006235DB">
        <w:rPr>
          <w:szCs w:val="24"/>
        </w:rPr>
        <w:tab/>
        <w:t>zdůrazňuje skutečnost, že směrnice o územním plánování námořních prostor sice poskytuje relevantní meziodvětvový rámec pro spolupráci, ale členské státy jej provádějí nerovnoměrně;</w:t>
      </w:r>
    </w:p>
    <w:p w14:paraId="6A74DAF5" w14:textId="77777777" w:rsidR="00144BFF" w:rsidRPr="006235DB" w:rsidRDefault="00144BFF" w:rsidP="00A434CA">
      <w:pPr>
        <w:pStyle w:val="NormalHanging12a"/>
        <w:tabs>
          <w:tab w:val="left" w:pos="709"/>
        </w:tabs>
        <w:rPr>
          <w:szCs w:val="24"/>
        </w:rPr>
      </w:pPr>
      <w:r w:rsidRPr="006235DB">
        <w:rPr>
          <w:szCs w:val="24"/>
        </w:rPr>
        <w:t>2.</w:t>
      </w:r>
      <w:r w:rsidRPr="006235DB">
        <w:rPr>
          <w:szCs w:val="24"/>
        </w:rPr>
        <w:tab/>
        <w:t>vítá skutečnost, že některé členské státy v provádění směrnice o územním plánování námořních prostor pokročily a mají integrované vnitrostátní strategie, specializované orgány a akční plány pro mořské pánve;</w:t>
      </w:r>
    </w:p>
    <w:p w14:paraId="2000D68D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3.</w:t>
      </w:r>
      <w:r w:rsidRPr="006235DB">
        <w:rPr>
          <w:szCs w:val="24"/>
        </w:rPr>
        <w:tab/>
        <w:t>konstatuje, že územní plány námořních prostor jsou v některých členských státech právně závazné a v jiných jsou právně nezávazné a mají více poradní charakter; zdůrazňuje, že provádění v členských státech často brání institucionální segmentace, roztříštěná správa a nedostatečné právní mechanismy nebo nedostatečné finanční a lidské zdroje vyčleněné na tyto mechanismy a přístup k nim, zejména prostřednictvím místních akčních skupin Evropského námořního, rybářského a akvakulturního fondu pro rybolov a akvakulturu;</w:t>
      </w:r>
    </w:p>
    <w:p w14:paraId="67C5C9B6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4.</w:t>
      </w:r>
      <w:r w:rsidRPr="006235DB">
        <w:rPr>
          <w:szCs w:val="24"/>
        </w:rPr>
        <w:tab/>
        <w:t>zdůrazňuje skutečnost, že územní plánování mořských oblastí by mělo zahrnovat identifikaci problémů a příležitostí, shromažďování údajů o plánování, rozhodování a provádění a že v rámci tohoto plánování by měla být zvláštní pozornost věnována rybolovu a akvakultuře;</w:t>
      </w:r>
    </w:p>
    <w:p w14:paraId="65958B16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5.</w:t>
      </w:r>
      <w:r w:rsidRPr="006235DB">
        <w:rPr>
          <w:szCs w:val="24"/>
        </w:rPr>
        <w:tab/>
        <w:t>zdůrazňuje, že provádění a účinnost územního plánování námořních prostor se v jednotlivých mořských oblastech EU značně liší, přičemž některé regiony, jako například Baltské moře nebo Severní moře, jsou územními plány námořních prostor pokryty z velké části, zatímco jiné, jako například Středozemní moře, jsou plány pokryty podstatně méně;</w:t>
      </w:r>
    </w:p>
    <w:p w14:paraId="3505B35E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6.</w:t>
      </w:r>
      <w:r w:rsidRPr="006235DB">
        <w:rPr>
          <w:szCs w:val="24"/>
        </w:rPr>
        <w:tab/>
        <w:t>vítá Iniciativu pro přímořskou oblast Severního moře, která sdružuje členské státy a země mimo EU s cílem dosáhnout většího souladu a koordinace územních plánů námořních prostor;</w:t>
      </w:r>
    </w:p>
    <w:p w14:paraId="36BEF7F6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7.</w:t>
      </w:r>
      <w:r w:rsidRPr="006235DB">
        <w:rPr>
          <w:szCs w:val="24"/>
        </w:rPr>
        <w:tab/>
        <w:t>zdůrazňuje skutečnost, že přeshraniční iniciativy jsou stále omezené a chybí účinná koordinace, což brání úsilí o řešení společných problémů v propojených mořských oblastech; vyjadřuje politování nad obtížemi při spolupráci na územním plánování námořních prostor mezi členskými státy a zeměmi mimo EU, zejména sousedními pobřežními státy;</w:t>
      </w:r>
    </w:p>
    <w:p w14:paraId="573B77E6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8.</w:t>
      </w:r>
      <w:r w:rsidRPr="006235DB">
        <w:rPr>
          <w:szCs w:val="24"/>
        </w:rPr>
        <w:tab/>
        <w:t xml:space="preserve">zdůrazňuje dopady brexitu na námořní plánování, zejména na rozvoj chráněných mořských oblastí a obnovitelné energie na moři, ale také na další činnosti, jako je hustá námořní doprava a pobřežní cestovní ruch; zdůrazňuje skutečnost, že tyto změny vedly k vyloučení rybářského loďstva EU z mnoha rybolovných oblastí v britských vodách a ke změně intenzity rybolovu a vysokému tlaku na rybolov v oblastech Severního moře a Lamanšského průlivu na úkor rybolovu EU; vyzývá k tomu, aby územní plánování </w:t>
      </w:r>
      <w:r w:rsidRPr="006235DB">
        <w:rPr>
          <w:szCs w:val="24"/>
        </w:rPr>
        <w:lastRenderedPageBreak/>
        <w:t>námořních prostor v těchto oblastech tyto prvky systematicky začleňovalo;</w:t>
      </w:r>
    </w:p>
    <w:p w14:paraId="1F73A319" w14:textId="77777777" w:rsidR="00144BFF" w:rsidRPr="006235DB" w:rsidRDefault="00144BFF" w:rsidP="00A434CA">
      <w:pPr>
        <w:pStyle w:val="NormalHanging12a"/>
        <w:tabs>
          <w:tab w:val="left" w:pos="709"/>
          <w:tab w:val="left" w:pos="1276"/>
        </w:tabs>
        <w:rPr>
          <w:szCs w:val="24"/>
        </w:rPr>
      </w:pPr>
      <w:r w:rsidRPr="006235DB">
        <w:rPr>
          <w:szCs w:val="24"/>
        </w:rPr>
        <w:t>9.</w:t>
      </w:r>
      <w:r w:rsidRPr="006235DB">
        <w:rPr>
          <w:szCs w:val="24"/>
        </w:rPr>
        <w:tab/>
        <w:t>zdůrazňuje, že je zapotřebí koordinace mezi členskými státy a Spojeným královstvím s cílem dosáhnout účinného a spravedlivého řízení přímořské oblasti, a omezit tak četné konflikty při využívání, a to s přihlédnutím k hospodářskému, sociálnímu a environmentálnímu rozměru každé činnosti; v této souvislosti připomíná povinnost přeshraniční spolupráce vyplývající z Úmluvy Organizace spojených národů o mořském právu, zejména z článků 7 a 8; vyzývá zejména ke skutečným konzultacím se Spojeným královstvím a Normanskými ostrovy o opatřeních pro řízení chráněných mořských oblastí, která zohlední socioekonomické důsledky pro rybáře EU;</w:t>
      </w:r>
    </w:p>
    <w:p w14:paraId="3244C92E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10.</w:t>
      </w:r>
      <w:r w:rsidRPr="006235DB">
        <w:rPr>
          <w:szCs w:val="24"/>
        </w:rPr>
        <w:tab/>
        <w:t>zdůrazňuje, že oblast Středozemního moře je obzvláště zasažena šířením energetických plošin na moři a další infrastruktury tohoto druhu, což výrazně snižuje množství prostoru, který je pro rybolov k dispozici, omezuje přístup k tradičním lovištím a přispívá k roztříštěnosti námořního prostoru; konstatuje, že zatímco členské státy jsou odpovědné za určování využití infrastruktury v těchto oblastech, jejich rozhodnutí mají přímý dopad na využívání tradičních rybolovných oblastí, a proto je třeba je soudržně začlenit do procesů územního plánování námořních prostor; konstatuje, že rozvoj námořního cestovního ruchu má rovněž dopad na rybolovné činnosti v mořské oblasti;</w:t>
      </w:r>
    </w:p>
    <w:p w14:paraId="13AFCF04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11.</w:t>
      </w:r>
      <w:r w:rsidRPr="006235DB">
        <w:rPr>
          <w:szCs w:val="24"/>
        </w:rPr>
        <w:tab/>
        <w:t>zdůrazňuje specifické vlastnosti Jaderského moře jako polouzavřené a vysoce citlivé mořské oblasti, která je vystavena kumulativním tlakům ze strany rybolovu, akvakultury, námořní dopravy, cestovního ruchu a rozvoje pobřeží; zdůrazňuje, že tyto tlaky vyžadují posílený přístup k územnímu plánování námořních prostor v přímořských oblastech a přeshraniční přístup; vyzývá Komisi a dotčené členské státy, aby ve spolupráci se sousedními pobřežními zeměmi mimo EU posílily mechanismy koordinace, sdílení údajů a společné správy v Jaderském moři; zdůrazňuje význam drobného a pobřežního rybolovu pro mořskou oblast a význam jejich začlenění do územního plánování námořních prostor s cílem zachovat jejich hospodářskou životaschopnost a kulturní dědictví;</w:t>
      </w:r>
    </w:p>
    <w:p w14:paraId="191E4B2A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12.</w:t>
      </w:r>
      <w:r w:rsidRPr="006235DB">
        <w:rPr>
          <w:szCs w:val="24"/>
        </w:rPr>
        <w:tab/>
        <w:t>zdůrazňuje, že Baltské moře se vyznačuje řadou jedinečných rysů, včetně jeho statusu polouzavřené mořské oblasti, vysoké koncentrace různých druhů hospodářské činnosti, včetně rybolovu, námořní dopravy a rozšíření energie z obnovitelných mořských zdrojů, a zranitelnosti jeho ekosystému; v této souvislosti vyzývá k přístupu k územnímu plánování námořních prostor, který by byl udržitelný a přizpůsobený těmto regionálním podmínkám; oceňuje probíhající práci společné pracovní skupiny HELCOM-VASAB pro územní plánování námořních prostor, která poskytuje pevný základ pro koordinaci na úrovni přímořských oblastí v Baltském moři;</w:t>
      </w:r>
    </w:p>
    <w:p w14:paraId="4DCB8864" w14:textId="77777777" w:rsidR="00144BFF" w:rsidRPr="006235DB" w:rsidRDefault="00144BFF" w:rsidP="00A434CA">
      <w:pPr>
        <w:tabs>
          <w:tab w:val="left" w:pos="709"/>
        </w:tabs>
        <w:spacing w:after="240"/>
        <w:ind w:left="567" w:hanging="567"/>
        <w:rPr>
          <w:szCs w:val="24"/>
        </w:rPr>
      </w:pPr>
      <w:r w:rsidRPr="006235DB">
        <w:rPr>
          <w:szCs w:val="24"/>
        </w:rPr>
        <w:t>13.</w:t>
      </w:r>
      <w:r w:rsidRPr="006235DB">
        <w:rPr>
          <w:szCs w:val="24"/>
        </w:rPr>
        <w:tab/>
        <w:t>zdůrazňuje, že mořské oblasti nejvzdálenějších regionů musí být rovněž zahrnuty do provádění směrnice o územním plánování námořních prostor, přičemž je třeba plně zohlednit jejich specifické rysy, a to i v interakci se zeměmi mimo EU;</w:t>
      </w:r>
    </w:p>
    <w:p w14:paraId="6723DE0A" w14:textId="77777777" w:rsidR="00144BFF" w:rsidRPr="006235DB" w:rsidRDefault="00144BFF" w:rsidP="00A434CA">
      <w:pPr>
        <w:spacing w:after="240"/>
        <w:ind w:left="567" w:hanging="567"/>
        <w:rPr>
          <w:b/>
          <w:bCs/>
          <w:i/>
          <w:iCs/>
          <w:szCs w:val="24"/>
        </w:rPr>
      </w:pPr>
      <w:r w:rsidRPr="006235DB">
        <w:rPr>
          <w:b/>
          <w:i/>
          <w:szCs w:val="24"/>
        </w:rPr>
        <w:t>Přínosy územního plánování námořních prostor pro rybolov a akvakulturu</w:t>
      </w:r>
    </w:p>
    <w:p w14:paraId="2C4C4C1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bookmarkStart w:id="9" w:name="_Hlk227158072"/>
      <w:r w:rsidRPr="006235DB">
        <w:rPr>
          <w:szCs w:val="24"/>
        </w:rPr>
        <w:t>14.</w:t>
      </w:r>
      <w:r w:rsidRPr="006235DB">
        <w:rPr>
          <w:szCs w:val="24"/>
        </w:rPr>
        <w:tab/>
        <w:t xml:space="preserve">vyjadřuje politování nad skutečností, že současný právní rámec územního plánování námořních prostor nepřinesl očekávané přínosy pro rybolov uspokojivým způsobem; konstatuje, že plánování námořních prostor nepřispělo podstatně ke zlepšení předvídatelnosti a stability rybolovných činností; zdůrazňuje, že v územním plánování námořních prostor chybí minimální cíle a měřitelné environmentální, sociální </w:t>
      </w:r>
      <w:r w:rsidRPr="006235DB">
        <w:rPr>
          <w:szCs w:val="24"/>
        </w:rPr>
        <w:lastRenderedPageBreak/>
        <w:t>a hospodářské ukazatele pro rybolov, zejména pro malé hospodářské subjekty; zdůrazňuje potřebu soudržného a účinného provádění námořní politiky EU;</w:t>
      </w:r>
    </w:p>
    <w:p w14:paraId="1DC3D3AD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15.</w:t>
      </w:r>
      <w:r w:rsidRPr="006235DB">
        <w:rPr>
          <w:szCs w:val="24"/>
        </w:rPr>
        <w:tab/>
        <w:t>zdůrazňuje, že pro účely provádění rámce územního plánování námořních prostor je důležité provést komplexní socioekonomickou analýzu, která zahrne názory malých podniků a pobřežních komunit; připomíná význam rybolovu a akvakultury pro potravinovou soběstačnost a zachování souvisejícího know-how pro EU a uznává, že je ve veřejném zájmu, aby byl jejich význam v územním plánování námořních prostor více zohledněn;</w:t>
      </w:r>
    </w:p>
    <w:p w14:paraId="14E4503F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16.</w:t>
      </w:r>
      <w:r w:rsidRPr="006235DB">
        <w:rPr>
          <w:szCs w:val="24"/>
        </w:rPr>
        <w:tab/>
        <w:t xml:space="preserve">zdůrazňuje, že územní plánování námořních prostor musí lépe integrovat rybolov a akvakulturu a aktivně řešit územní problémy ovlivňující rybolov, včetně kumulativních účinků energie na moři, chráněných mořských oblastí, námořních a obranných zón, a zabránit postupné marginalizaci rybolovných činností; zdůrazňuje, že větrné elektrárny na moři by měly </w:t>
      </w:r>
      <w:proofErr w:type="gramStart"/>
      <w:r w:rsidRPr="006235DB">
        <w:rPr>
          <w:szCs w:val="24"/>
        </w:rPr>
        <w:t>být</w:t>
      </w:r>
      <w:proofErr w:type="gramEnd"/>
      <w:r w:rsidRPr="006235DB">
        <w:rPr>
          <w:szCs w:val="24"/>
        </w:rPr>
        <w:t xml:space="preserve"> pokud možno umístěny v oblastech, které jsou méně vhodné pro rybolov, aby se minimalizovaly negativní dopady na rybolovné činnosti;</w:t>
      </w:r>
    </w:p>
    <w:p w14:paraId="634094E7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17.</w:t>
      </w:r>
      <w:r w:rsidRPr="006235DB">
        <w:rPr>
          <w:szCs w:val="24"/>
        </w:rPr>
        <w:tab/>
        <w:t>zdůrazňuje zásadní úlohu drobného rybolovu, například v rámci místní zaměstnanosti, sociální soudržnosti a zachování tradičních dovedností; žádá, aby územní plánování námořních prostor tento segment plně zohlednilo, zejména pokud jde o přístup do prostoru, blízkost lovišť a bezpečnost činností;</w:t>
      </w:r>
    </w:p>
    <w:p w14:paraId="0F690360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18.</w:t>
      </w:r>
      <w:r w:rsidRPr="006235DB">
        <w:rPr>
          <w:szCs w:val="24"/>
        </w:rPr>
        <w:tab/>
        <w:t>konstatuje, že větrné elektrárny na moři mohou mít dopad na rybolov tím, že změní prostorové rozložení a množství komerčně lovených mořských druhů a uloží omezení přístupu z bezpečnostních důvodů nebo omezení metod rybolovu; konstatuje, že ačkoli byly pozorovány některé potenciální přínosy pro rybáře, jsou relevantní pouze tehdy, jsou-li rybáři prakticky a reálně schopni v těchto oblastech působit;</w:t>
      </w:r>
    </w:p>
    <w:bookmarkEnd w:id="9"/>
    <w:p w14:paraId="56332F20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19.</w:t>
      </w:r>
      <w:r w:rsidRPr="006235DB">
        <w:rPr>
          <w:szCs w:val="24"/>
        </w:rPr>
        <w:tab/>
        <w:t>zdůrazňuje, že právní rámec územního plánování námořních prostor sice přináší akvakultuře jisté výhody, ale je třeba zlepšit vymezení námořního prostoru, další uznání úlohy akvakultury v tomto rámci, přeshraniční soudržnost, právní jistotu a harmonogram a dopad postupů udělování licencí; zdůrazňuje zejména potřebu lepšího začlenění akvakultury do územního plánování námořních prostor a zvážení dalších opatření, jako je rozvoj případné společné politiky v oblasti akvakultury, s cílem účinněji zohlednit toto klíčové odvětví pro potravinové zabezpečení EU;</w:t>
      </w:r>
    </w:p>
    <w:p w14:paraId="1A66A23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20.</w:t>
      </w:r>
      <w:r w:rsidRPr="006235DB">
        <w:rPr>
          <w:szCs w:val="24"/>
        </w:rPr>
        <w:tab/>
        <w:t>zdůrazňuje, že cíl minimalizovat konflikty mezi různými odvětvími a uživateli moře nebyl</w:t>
      </w:r>
      <w:r w:rsidRPr="006235DB">
        <w:rPr>
          <w:b/>
          <w:bCs/>
          <w:szCs w:val="24"/>
          <w:u w:val="single"/>
        </w:rPr>
        <w:t xml:space="preserve"> </w:t>
      </w:r>
      <w:r w:rsidRPr="006235DB">
        <w:rPr>
          <w:szCs w:val="24"/>
        </w:rPr>
        <w:t>ze své podstaty naplněn, zejména pokud jde o rybolov a akvakulturu, včetně chovu měkkýšů a korýšů a nově vznikajících odvětví, jako je chov mořských řas, kde došlo ke zmenšení jejich prostoru, což ovlivnilo jejich konkurenceschopnost a možnosti rozvoje jejich činností;</w:t>
      </w:r>
    </w:p>
    <w:p w14:paraId="4FBF5AF0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21.</w:t>
      </w:r>
      <w:r w:rsidRPr="006235DB">
        <w:rPr>
          <w:szCs w:val="24"/>
        </w:rPr>
        <w:tab/>
        <w:t>zdůrazňuje, že povaha konfliktů o využívání námořního prostoru se liší v závislosti na druhu rybolovných a akvakulturních činností a že tyto činnosti mohou o námořní prostor vzájemně soupeřit; vyzdvihuje, že hlavními konflikty, které ovlivňují rybolov, jsou úbytek rybolovných oblastí v důsledku vyloučení námořních zón, omezení přístupu, soupeření o přístup, územní roztříštěnost a zhoršující se stav několika mořských ekosystémů, zatímco hlavními konflikty, které ovlivňují akvakulturu, jsou překrývání zón, problémy týkající se životního prostředí jako je znečistění ovzduší a eutrofizace a konkurence v oblasti odlovu;</w:t>
      </w:r>
    </w:p>
    <w:p w14:paraId="44FAE42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bookmarkStart w:id="10" w:name="_Hlk226557253"/>
      <w:r w:rsidRPr="006235DB">
        <w:rPr>
          <w:szCs w:val="24"/>
        </w:rPr>
        <w:lastRenderedPageBreak/>
        <w:t>22.</w:t>
      </w:r>
      <w:r w:rsidRPr="006235DB">
        <w:rPr>
          <w:szCs w:val="24"/>
        </w:rPr>
        <w:tab/>
        <w:t>připomíná, že rybolov a akvakultura jsou závislé na zeměpisné poloze mořských zdrojů a zdravém stavu mořských ekosystémů a že jsou silně propojeny s hodnotovým řetězcem mořských plodů a zaměstnaností v pobřežních regionech, a proto nejsou vhodné pro přemísťování;</w:t>
      </w:r>
    </w:p>
    <w:bookmarkEnd w:id="10"/>
    <w:p w14:paraId="2A015D3F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23.</w:t>
      </w:r>
      <w:r w:rsidRPr="006235DB">
        <w:rPr>
          <w:szCs w:val="24"/>
        </w:rPr>
        <w:tab/>
        <w:t>zdůrazňuje, že rybolov nemá prospěch z prioritních nebo vyhrazených oblastí a často musí působit v nepřidělených námořních prostorech a je stále více vytlačován jinými činnostmi; konstatuje, že ačkoli je akvakultura, včetně pěstování mořských řas, v zásadě vhodnější pro vyhrazené oblasti, přístupy jednotlivých členských států se značně liší a postupy udělování licencí jsou často zatěžující;</w:t>
      </w:r>
    </w:p>
    <w:p w14:paraId="1CF3868B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24.</w:t>
      </w:r>
      <w:r w:rsidRPr="006235DB">
        <w:rPr>
          <w:szCs w:val="24"/>
        </w:rPr>
        <w:tab/>
        <w:t>zdůrazňuje skutečnost, že ačkoli některé členské státy zřídily zóny pro více způsobů využití, uplatňují především přístup na základě projektů; zdůrazňuje, že u některých činností je velmi obtížné uplatnit přístup založený na více způsobech využití, zejména při propojení rybolovu, ochrany biologické rozmanitosti a energie z obnovitelných zdrojů na moři; upozorňuje, že přístup založený na více způsobech využití rovněž vyvolává obavy o pojištění a bezpečnost rybářů a pracovníků v akvakultuře; zdůrazňuje, že ačkoli by víceúčelové zóny mohly mít potenciál pro řešení kumulativních dopadů lidských činností, je zapotřebí dalšího výzkumu k posouzení jejich proveditelnosti a dopadu; poukazuje na to, že vymezení těchto zón by mělo být založeno na posouzení hospodářského, sociálního a environmentálního dopadu různých činností v nich prováděných, které je třeba provádět s řádným zapojením subjektů ze všech příslušných odvětví a dalších příslušných zúčastněných stran v průběhu celého procesu;</w:t>
      </w:r>
    </w:p>
    <w:p w14:paraId="457D470E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25.</w:t>
      </w:r>
      <w:r w:rsidRPr="006235DB">
        <w:rPr>
          <w:szCs w:val="24"/>
        </w:rPr>
        <w:tab/>
        <w:t>vítá úspěšné příklady společného umístění činností, jako je pevná nebo plovoucí infrastruktura pro větrnou energii na moři, kterou lze využít také k rozvoji akvakultury, chovu měkkýšů a korýšů pěstování řas, k ochraně přírodních stanovišť pro mořské živočichy a rostliny nebo k regeneračním a rybolovným činnostem, jako jsou pasivní rybolov a rybolov s malým dopadem; v této souvislosti zdůrazňuje, že je třeba zvýšit výměnu osvědčených postupů a zintenzivnit výzkum, zejména pokud jde o ekologický dopad a hospodářský potenciál;</w:t>
      </w:r>
    </w:p>
    <w:p w14:paraId="2E7A1173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26.</w:t>
      </w:r>
      <w:r w:rsidRPr="006235DB">
        <w:rPr>
          <w:szCs w:val="24"/>
        </w:rPr>
        <w:tab/>
        <w:t>naléhavě vyzývá členské státy, aby při stanovování skladby zdrojů energie zohlednily dopad energie vyráběné z obnovitelných zdrojů na moři na mořské ekosystémy a rybolov;</w:t>
      </w:r>
    </w:p>
    <w:p w14:paraId="1BFC3FC6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bookmarkStart w:id="11" w:name="_Hlk227158246"/>
      <w:r w:rsidRPr="006235DB">
        <w:rPr>
          <w:szCs w:val="24"/>
        </w:rPr>
        <w:t>27.</w:t>
      </w:r>
      <w:r w:rsidRPr="006235DB">
        <w:rPr>
          <w:szCs w:val="24"/>
        </w:rPr>
        <w:tab/>
        <w:t>zdůrazňuje, že při provádění územního plánování námořních prostor se i nadále projevuje nedostatečná koordinace mezi pevninou a mořem, což je patrné zejména při provádění opatření na ochranu biologické rozmanitosti, kdy nejsou zohledňovány dopady znečištění z pevniny na mořské ekosystémy;</w:t>
      </w:r>
      <w:bookmarkEnd w:id="11"/>
    </w:p>
    <w:p w14:paraId="7781C91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28.</w:t>
      </w:r>
      <w:r w:rsidRPr="006235DB">
        <w:rPr>
          <w:szCs w:val="24"/>
        </w:rPr>
        <w:tab/>
        <w:t>poukazuje na význam rybářské a přístavní infrastruktury a souvisejících zařízení a na potřebu zajistit soudržnost územního plánování námořních prostor ve vztahu k investicím do této infrastruktury v souladu se strategií EU pro přístavy, přičemž je třeba zohlednit závislost všech námořních činností na účinné koordinaci mezi pevninou a mořem;</w:t>
      </w:r>
    </w:p>
    <w:p w14:paraId="6EF44BD1" w14:textId="77777777" w:rsidR="00144BFF" w:rsidRPr="006235DB" w:rsidRDefault="00144BFF" w:rsidP="00A434CA">
      <w:pPr>
        <w:pStyle w:val="NormalHanging12a"/>
        <w:rPr>
          <w:b/>
          <w:bCs/>
          <w:i/>
          <w:iCs/>
          <w:szCs w:val="24"/>
        </w:rPr>
      </w:pPr>
      <w:r w:rsidRPr="006235DB">
        <w:rPr>
          <w:b/>
          <w:i/>
          <w:szCs w:val="24"/>
        </w:rPr>
        <w:t>Zapojení zúčastněných stran a sběr dat</w:t>
      </w:r>
    </w:p>
    <w:p w14:paraId="2D0D7A93" w14:textId="77777777" w:rsidR="00144BFF" w:rsidRPr="006235DB" w:rsidRDefault="00144BFF" w:rsidP="00A434C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29.</w:t>
      </w:r>
      <w:r w:rsidRPr="006235DB">
        <w:rPr>
          <w:szCs w:val="24"/>
        </w:rPr>
        <w:tab/>
        <w:t xml:space="preserve">zdůrazňuje, že zapojení zúčastněných stran a pobřežních komunit do procesu územního plánování námořních prostor se zvýšilo, zůstává však omezené; vyjadřuje politování </w:t>
      </w:r>
      <w:r w:rsidRPr="006235DB">
        <w:rPr>
          <w:szCs w:val="24"/>
        </w:rPr>
        <w:lastRenderedPageBreak/>
        <w:t>nad tím, že toto zapojení často nezahrnuje včasný a formální kontakt a konzultace, což nabízí jen omezenou možnost skutečného ovlivnění plánovacích rozhodnutí; vítá v tomto ohledu iniciativu Komise, která se rozhodla uspořádat dialog o provádění územního plánování námořních prostor;</w:t>
      </w:r>
    </w:p>
    <w:p w14:paraId="792437BC" w14:textId="77777777" w:rsidR="00144BFF" w:rsidRPr="006235DB" w:rsidRDefault="00144BFF" w:rsidP="00A434C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30.</w:t>
      </w:r>
      <w:r w:rsidRPr="006235DB">
        <w:rPr>
          <w:szCs w:val="24"/>
        </w:rPr>
        <w:tab/>
        <w:t>poukazuje na dobré příklady zapojení zúčastněných stran v některých členských státech, jako jsou vnitrostátní konzultace a participativní procesy; vyjadřuje však politování nad tím, že chybí ustanovení o zapojení zúčastněných stran, která by byla pro členské státy závazná; poznamenává, že příslušné zúčastněné strany, jako jsou rybáři, odborníci v oblasti akvakultury, zájmové skupiny a dotčené osoby z řad veřejnosti, nejsou v důsledku toho zapojeny do konzultací a rozhodovacích procesů, zejména pokud jde o umístění projektů v oblasti energie z obnovitelných zdrojů na moři;</w:t>
      </w:r>
    </w:p>
    <w:p w14:paraId="7D7B1B6F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31.</w:t>
      </w:r>
      <w:r w:rsidRPr="006235DB">
        <w:rPr>
          <w:szCs w:val="24"/>
        </w:rPr>
        <w:tab/>
        <w:t>zdůrazňuje, že rybolov a akvakultura jsou často zastíněny jinými, mocnějšími nebo hospodářsky významnějšími odvětvími, jako je například energie na moři; bere na vědomí zprávy o strukturální nerovnováze sil mezi námořními odvětvími; vyjadřuje politování nad tím, že některá odvětví a subjekty často obcházejí konzultační procesy na úkor méně organizovaných subjektů, jako jsou drobní rybáři, mezi něž patří pěší rybáři včetně sběračů měkkýšů; vyzývá ke komplexním, přístupným a inkluzivním konzultačním procesům se všemi zúčastněnými stranami a k vytvoření nápravných mechanismů správy, včetně transparentních pokynů zaměřených na zajištění vyváženého a transparentního rozhodování, zmírnění potenciálu konfliktů a vytvoření rovných podmínek pro rybolov a další odvětví;</w:t>
      </w:r>
    </w:p>
    <w:p w14:paraId="76D86024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32.</w:t>
      </w:r>
      <w:r w:rsidRPr="006235DB">
        <w:rPr>
          <w:szCs w:val="24"/>
        </w:rPr>
        <w:tab/>
        <w:t>vyjadřuje politování nad absencí harmonizovaných a srovnatelných dat o stavu oceánů a moří, rybolovných zdrojích a dopadu změny klimatu a také nad absencí odpovídajících sociálních a ekonomických dat, včetně hodnocení dopadu územního plánování námořních prostor na pobřežní komunity; poukazuje na nedostatečnou harmonizaci systémů sběru dat v členských státech;</w:t>
      </w:r>
    </w:p>
    <w:p w14:paraId="65ED37CB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33.</w:t>
      </w:r>
      <w:r w:rsidRPr="006235DB">
        <w:rPr>
          <w:szCs w:val="24"/>
        </w:rPr>
        <w:tab/>
        <w:t>zdůrazňuje, že nesoulad v datech, například nekompatibilní geoprostorové podklady, a časový nesoulad, například odlišné cykly revizí územních plánů námořních prostor, brání provádění soudržného územního plánování námořních prostor a ekosystémového přístupu; připomíná, že nástroje modelování, mapování a prostorové analýzy mohou sloužit jako pomůcka při rozhodování, avšak nemohou nahradit demokratickou diskusi nebo politický kompromis;</w:t>
      </w:r>
    </w:p>
    <w:p w14:paraId="187E85F6" w14:textId="77777777" w:rsidR="00144BFF" w:rsidRPr="006235DB" w:rsidRDefault="00144BFF" w:rsidP="00A434CA">
      <w:pPr>
        <w:pStyle w:val="NormalHanging12a"/>
        <w:rPr>
          <w:b/>
          <w:bCs/>
          <w:i/>
          <w:iCs/>
          <w:szCs w:val="24"/>
        </w:rPr>
      </w:pPr>
      <w:r w:rsidRPr="006235DB">
        <w:rPr>
          <w:b/>
          <w:i/>
          <w:szCs w:val="24"/>
        </w:rPr>
        <w:t>Doporučení</w:t>
      </w:r>
    </w:p>
    <w:p w14:paraId="48E5DB66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34.</w:t>
      </w:r>
      <w:r w:rsidRPr="006235DB">
        <w:rPr>
          <w:szCs w:val="24"/>
        </w:rPr>
        <w:tab/>
        <w:t>zdůrazňuje, že je zapotřebí komplexnější přístup a lepší koordinace mezi příslušnými právními předpisy EU, zejména mezi směrnicí o územním plánování námořních prostor, nařízením o společné rybářské politice a rámcovou směrnicí o strategii pro mořské prostředí, aby bylo zajištěno důsledné a účinné provádění územního plánování námořních prostor, včetně ekosystémového přístupu, které by přispělo k dosažení dobrého stavu prostředí; zdůrazňuje rovněž, že územní plánování námořních prostor musí plně respektovat společnou rybářskou politiku jako výlučný legislativní rámec EU pro řízení rybolovu, a proto by nemělo být využíváno k nepřímému zavádění opatření pro řízení rybolovu, zejména pokud je neslučitelné s ambicí posílit úlohu rybolovných činností v územním plánování námořních prostor;</w:t>
      </w:r>
    </w:p>
    <w:p w14:paraId="351EB84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35.</w:t>
      </w:r>
      <w:r w:rsidRPr="006235DB">
        <w:rPr>
          <w:szCs w:val="24"/>
        </w:rPr>
        <w:tab/>
        <w:t xml:space="preserve">je přesvědčen, že územní plány námořních prostor by měly lépe odrážet územní, </w:t>
      </w:r>
      <w:r w:rsidRPr="006235DB">
        <w:rPr>
          <w:szCs w:val="24"/>
        </w:rPr>
        <w:lastRenderedPageBreak/>
        <w:t>environmentální a socioekonomické potřeby spolu se specifickými charakteristikami jednotlivých mořských pánví, včetně přilehlých výlučných ekonomických zón; zdůrazňuje, že členské státy by měly posílit koordinaci mezi orgány územního plánování a námořními orgány při navrhování a provádění územních plánů námořních prostor a při začleňování posouzení dopadu činností na pevnině na pobřežní vody do těchto plánů; domnívá se, že členské státy by měly zohlednit regionální specifika, včetně charakteristik ostrovních a nejvzdálenějších regionů, a měly by respektovat správní zvyklosti v každém členském státě;</w:t>
      </w:r>
    </w:p>
    <w:p w14:paraId="0480736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36.</w:t>
      </w:r>
      <w:r w:rsidRPr="006235DB">
        <w:rPr>
          <w:szCs w:val="24"/>
        </w:rPr>
        <w:tab/>
        <w:t>zdůrazňuje, že je třeba, aby členské státy při navrhování a provádění územních plánů námořních prostor posílily koordinaci mezi členskými státy i v jejich rámci, zejména mezi celostátními a regionálními orgány, a také meziodvětvovou koordinaci mezi orgány odpovědnými mimo jiné za politiky v oblasti životního prostředí, rybolovu, energetiky a dopravy, s cílem zajistit soudržný, ekosystémový a integrovaný přístup;</w:t>
      </w:r>
    </w:p>
    <w:p w14:paraId="3283EFC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bookmarkStart w:id="12" w:name="_Hlk227159518"/>
      <w:r w:rsidRPr="006235DB">
        <w:rPr>
          <w:szCs w:val="24"/>
        </w:rPr>
        <w:t>37.</w:t>
      </w:r>
      <w:r w:rsidRPr="006235DB">
        <w:rPr>
          <w:szCs w:val="24"/>
        </w:rPr>
        <w:tab/>
        <w:t xml:space="preserve">vyzývá k tomu, aby se při územním plánování námořních prostor uplatňoval přístup zdola nahoru, který bude vyvážený a založený na více způsobech využití, a zamezilo se tak nepříznivým dopadům na mořské zdroje a biologickou rozmanitost, a tedy i na rybolov a akvakulturu, a aby se zajistilo, že tyto činnosti nebudou z námořního prostoru vyloučeny; domnívá se, že rozvoj některých činností souvisejících s modrou ekonomikou nesmí být na úkor udržitelné a odolné produkce mořských plodů, potravinové soběstačnosti a zachování mořské biologické rozmanitosti; v této souvislosti se domnívá, že strategický význam potravinového zabezpečení by měl být lépe zakotven v nadcházející revizi směrnice o územním plánování námořních prostor; </w:t>
      </w:r>
      <w:bookmarkStart w:id="13" w:name="_Hlk226568048"/>
      <w:r w:rsidRPr="006235DB">
        <w:rPr>
          <w:szCs w:val="24"/>
        </w:rPr>
        <w:t xml:space="preserve">vyzývá proto k tomu, aby rybolov a akvakultura byly uznány za strategická odvětví významného veřejného zájmu, která zásadním způsobem přispívají k potravinové soběstačnosti a potravinovému zabezpečení EU </w:t>
      </w:r>
      <w:bookmarkEnd w:id="13"/>
      <w:r w:rsidRPr="006235DB">
        <w:rPr>
          <w:szCs w:val="24"/>
        </w:rPr>
        <w:t>a ke strategické autonomii a zaměstnanosti v pobřežních oblastech, a aby jim byla v územním plánování námořních prostor přednostně věnována pozornost, zejména v případě segmentů, které nelze přemístit;</w:t>
      </w:r>
    </w:p>
    <w:p w14:paraId="18D1E52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38.</w:t>
      </w:r>
      <w:r w:rsidRPr="006235DB">
        <w:rPr>
          <w:szCs w:val="24"/>
        </w:rPr>
        <w:tab/>
        <w:t>vyzývá k tomu, aby se ve vztahu k víceúčelovým zónám uplatňoval přístup založený na důkazech, a uznává, že koexistence rybolovu a energie na moři zůstává v praxi omezená a neměla by být využívána k ospravedlnění vyloučení rybolovu z námořního prostoru; zdůrazňuje, že víceúčelový přístup by měl být uplatňován na základě technických a vědeckých kritérií a vycházet z toho, jak rybolov a akvakultura skutečně fungují; zdůrazňuje, že vymezení víceúčelových zón by mělo být založeno na kumulativním posouzení dopadů různých činností, které jsou v nich prováděny, a na důkladné analýze splavnosti a bezpečnosti; vyzývá k tomu, aby byla do tohoto procesu přímo a řádně zapojena všechna příslušná odvětví;</w:t>
      </w:r>
    </w:p>
    <w:p w14:paraId="77B3B01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39.</w:t>
      </w:r>
      <w:r w:rsidRPr="006235DB">
        <w:rPr>
          <w:szCs w:val="24"/>
        </w:rPr>
        <w:tab/>
        <w:t>domnívá se, že při územním plánování námořních prostor je nutné uplatňovat dynamický a adaptivní přístup, který zohlední změny v mořském prostředí a mořských zdrojích a bude využívat pravidelně aktualizované vědecké a socioekonomické údaje a ukazatele, zejména při vytváření oblastí, které by mohly vyloučit rybolovné činnosti, jako jsou větrné elektrárny na moři, a při určování některých chráněných mořských oblastí; zdůrazňuje, že proces plánování by měl odrážet dynamickou povahu rybolovu, kdy se loďstva často pohybují v závislosti na sezónní dostupnosti a pohybu populací a některé druhy lovných zařízení, které vyžadují značný prostor pro svůj provoz;</w:t>
      </w:r>
    </w:p>
    <w:p w14:paraId="363A883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40.</w:t>
      </w:r>
      <w:r w:rsidRPr="006235DB">
        <w:rPr>
          <w:szCs w:val="24"/>
        </w:rPr>
        <w:tab/>
        <w:t xml:space="preserve">vyzývá k zavedení inkluzivních mechanismů správy, které zajistí přímé a strukturované </w:t>
      </w:r>
      <w:r w:rsidRPr="006235DB">
        <w:rPr>
          <w:szCs w:val="24"/>
        </w:rPr>
        <w:lastRenderedPageBreak/>
        <w:t>zapojení příslušných zúčastněných stran, jako jsou rybáři, včetně drobných rybářů, a případně regionální organizace pro řízení rybolovu, do procesů rozhodování, monitorování a přezkumu plánů;</w:t>
      </w:r>
    </w:p>
    <w:bookmarkEnd w:id="12"/>
    <w:p w14:paraId="47D56BA5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41.</w:t>
      </w:r>
      <w:r w:rsidRPr="006235DB">
        <w:rPr>
          <w:szCs w:val="24"/>
        </w:rPr>
        <w:tab/>
        <w:t>zdůrazňuje, že je nezbytné, aby byl v rámci územního plánování námořních prostor rybolov více podporován a systematicky zohledňován; podporuje zavedení jasného územního členění zón a vytvoření prioritních zón pro rybolov, přičemž je třeba přihlížet k pohybu a vývoji rybolovných zdrojů, zohledňovat tradiční rybolovné a akvakulturní oblasti a potřebu zachování a ochrany životního prostředí a zlepšení stavu rybích populací; zdůrazňuje, že vymezení zón by mělo být přizpůsobeno různým segmentům loďstva i přímořským oblastem a mělo by být založeno na důkladných vědeckých a socioekonomických posouzeních a ukazatelích, aby se odvětví rybolovu dostalo větší viditelnosti a předvídatelnosti; vyzývá k povinnému posuzování kumulativních socioekonomických dopadů přesunu rybolovných činností, včetně dopadů na konkurenceschopnost loďstva EU, jeho ziskovost, bezpečnost na moři a generační obměnu;</w:t>
      </w:r>
    </w:p>
    <w:p w14:paraId="560841C7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42.</w:t>
      </w:r>
      <w:r w:rsidRPr="006235DB">
        <w:rPr>
          <w:szCs w:val="24"/>
        </w:rPr>
        <w:tab/>
        <w:t>zdůrazňuje, že je zejména třeba zvýšit počet vyhrazených oblastí určených pro drobný pobřežní rybolov s malým dopadem v pásmu 12 námořních mil a podpořených režimy společného řízení;</w:t>
      </w:r>
    </w:p>
    <w:p w14:paraId="737E246A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43.</w:t>
      </w:r>
      <w:r w:rsidRPr="006235DB">
        <w:rPr>
          <w:szCs w:val="24"/>
        </w:rPr>
        <w:tab/>
        <w:t>zdůrazňuje, že je třeba posílit výzkum v oblasti mapování a modelování rybolovných oblastí a rybolovných zdrojů; domnívá se, že při vymezování prioritních oblastí pro rybolov a plánování rybolovných činností je nezbytné uplatňovat dynamický přístup, aby bylo možné se přizpůsobovat změnám a migraci rybích populací, které mají dopad na oblasti jejich tradičního výskytu;</w:t>
      </w:r>
    </w:p>
    <w:p w14:paraId="69D8E9F7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44.</w:t>
      </w:r>
      <w:r w:rsidRPr="006235DB">
        <w:rPr>
          <w:szCs w:val="24"/>
        </w:rPr>
        <w:tab/>
        <w:t>vyzývá Komisi, aby navrhla mechanismus kompenzačních opatření nebo systémů pojištění pro odvětví rybolovu pro případ, že rybolovná činnost bude muset ustoupit alternativním způsobům využití moře, včetně finančních kompenzačních opatření, a aby upřednostňovala nová slučitelná využití a podporu pro přepracování rybolovných tras nebo technologické investice;</w:t>
      </w:r>
    </w:p>
    <w:p w14:paraId="7B0879B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45.</w:t>
      </w:r>
      <w:r w:rsidRPr="006235DB">
        <w:rPr>
          <w:szCs w:val="24"/>
        </w:rPr>
        <w:tab/>
        <w:t>upozorňuje na potenciální negativní důsledky dalekosáhlých omezení mořských činností, jako je rybolov, pro pobřežní komunity, v neposlední řadě v ostrovních a nejvzdálenějších regionech; vyzývá k tomu, aby se při vypracovávání, provádění i přezkumu územních plánů námořních prostor vždy provádělo posouzení sociálního a územního dopadu se zaměřením zejména na zaměstnanost, pracovní podmínky, bezpečnost rybářů a udržitelnost pobřežních komunit a aby byla omezení a opatření v oblasti rybolovu posuzována z hlediska biologické a socioekonomické účinnosti;</w:t>
      </w:r>
    </w:p>
    <w:p w14:paraId="7F3DE641" w14:textId="696DA59B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46.</w:t>
      </w:r>
      <w:r w:rsidRPr="006235DB">
        <w:rPr>
          <w:szCs w:val="24"/>
        </w:rPr>
        <w:tab/>
        <w:t>vyzývá Komisi a členské státy, aby považovaly rybolov z</w:t>
      </w:r>
      <w:r w:rsidR="00871445">
        <w:rPr>
          <w:szCs w:val="24"/>
        </w:rPr>
        <w:t>a</w:t>
      </w:r>
      <w:r w:rsidRPr="006235DB">
        <w:rPr>
          <w:szCs w:val="24"/>
        </w:rPr>
        <w:t xml:space="preserve"> jedno ze strategických a prioritních odvětví využívajících námořní prostor, které má zásadní význam pro potravinovou soběstačnost a potravinové zabezpečení EU, zaměstnanost v pobřežních oblastech a strategickou autonomii, a aby tento status výslovně zohlednily v územních plánech námořních prostor a v nadcházející revizi směrnice o územním plánování námořních prostor;</w:t>
      </w:r>
    </w:p>
    <w:p w14:paraId="04B75124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47.</w:t>
      </w:r>
      <w:r w:rsidRPr="006235DB">
        <w:rPr>
          <w:szCs w:val="24"/>
        </w:rPr>
        <w:tab/>
        <w:t>vyzývá v této souvislosti k diferencovanému přístupu k řízení drobného rybolovu, který zahrnuje přednostní přístup v pásmu 12 námořních mil pro drobný rybolov, činnosti s malým dopadem a projekty ochrany přírody;</w:t>
      </w:r>
    </w:p>
    <w:p w14:paraId="07B07992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lastRenderedPageBreak/>
        <w:t>48.</w:t>
      </w:r>
      <w:r w:rsidRPr="006235DB">
        <w:rPr>
          <w:szCs w:val="24"/>
        </w:rPr>
        <w:tab/>
        <w:t>vyzývá Komisi a členské státy, aby dále začleňovaly akvakulturu a chov měkkýšů a korýšů a také lov bez plavidla včetně sběru měkkýšů do územního plánování námořních prostor a aby uznaly ekosystémové služby, které poskytuje nízkotrofická a nízkouhlíková akvakultura; vyzývá Komisi, aby pro usnadnění této integrace zvážila další opatření, jako je vytvoření případné společné politiky akvakultury; vyzývá k tomu, aby byly v rámci územního plánování námořních prostor určeny zvláštní námořní prostory pro zóny udržitelného rozvoje akvakultury, jako je nízkouhlíková a nízkotrofická akvakultura; vyzývá k usnadnění postupů udělování licencí a ke snížení regulačních překážek rozvoje těchto činností; zdůrazňuje, že postupy udělování licencí musí být urychleny a podpořeny jasnými environmentálními požadavky, aby se zajistily co největší socioekonomické přínosy; vyzývá k poskytování pobídek na podporu udržitelného rozvoje akvakultury, zejména nízkotrofické akvakultury, včetně diverzifikace na nekrmné druhy, jako je pěstování mořských řas;</w:t>
      </w:r>
    </w:p>
    <w:p w14:paraId="18347EF4" w14:textId="77777777" w:rsidR="00144BFF" w:rsidRPr="006235DB" w:rsidRDefault="00144BFF" w:rsidP="00A434C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49.</w:t>
      </w:r>
      <w:r w:rsidRPr="006235DB">
        <w:rPr>
          <w:szCs w:val="24"/>
        </w:rPr>
        <w:tab/>
        <w:t>vyzdvihuje, že je zapotřebí transparentní řízení územního plánování se zapojením mnoha zúčastněných stran; vyzývá členské státy, aby zajistily včasné, systematické, smysluplné a trvalé zapojení příslušných zúčastněných stran, včetně poradních sborů a rybářů, chovatelů v oblasti akvakultury a chovatelů měkkýšů a korýšů, do všech fází procesů spojených s územním plánováním námořních prostor, včetně navrhování, provádění, konečných výsledků a přezkumu, a aby poskytovaly transparentní zpětnou vazbu o tom, jak jsou příspěvky zúčastněných stran využívány při rozhodování; vyzývá ke spravedlivému zacházení se všemi zúčastněnými stranami a pobřežními a ostrovními komunitami bez ohledu na jejich finanční, správní nebo organizační prostředky, a to prostřednictvím transparentních konzultačních formátů;</w:t>
      </w:r>
    </w:p>
    <w:p w14:paraId="30F710DC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50.</w:t>
      </w:r>
      <w:r w:rsidRPr="006235DB">
        <w:rPr>
          <w:szCs w:val="24"/>
        </w:rPr>
        <w:tab/>
        <w:t>domnívá se, že modelem řízení a rozhodování v územním plánování námořních prostor by mělo být společné řízení; zdůrazňuje přínosy tohoto modelu, který umožňuje přímé zapojení zúčastněných stran, lepší řízení rybolovných zdrojů, sdílení osvědčených postupů a přístup přizpůsobený místní realitě, zejména pokud vychází ze stávajících a osvědčených struktur a z praktických znalostí místních rybářských komunit a dalších struktur, jako jsou regionální organizace pro řízení rybolovu; zdůrazňuje, že společné řízení může rovněž pomoci podpořit generační obměnu v tomto odvětví a posílit hospodářskou odolnost malých a pobřežních loďstev;</w:t>
      </w:r>
    </w:p>
    <w:p w14:paraId="1166DE97" w14:textId="77777777" w:rsidR="00144BFF" w:rsidRPr="006235DB" w:rsidRDefault="00144BFF" w:rsidP="00A434C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51.</w:t>
      </w:r>
      <w:r w:rsidRPr="006235DB">
        <w:rPr>
          <w:szCs w:val="24"/>
        </w:rPr>
        <w:tab/>
        <w:t>zdůrazňuje přínosy struktur zdola nahoru pro provádění územního plánování námořních prostor na místní úrovni, jako jsou komunitně vedený místní rozvoj a místní akční skupiny, místní a regionální orgány, organizace rybářů a sběračů, ženské organizace v odvětví rybolovu a další organizace na místní a regionální úrovni;</w:t>
      </w:r>
    </w:p>
    <w:p w14:paraId="32761070" w14:textId="77777777" w:rsidR="00144BFF" w:rsidRPr="006235DB" w:rsidRDefault="00144BFF" w:rsidP="00A434C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52.</w:t>
      </w:r>
      <w:r w:rsidRPr="006235DB">
        <w:rPr>
          <w:szCs w:val="24"/>
        </w:rPr>
        <w:tab/>
        <w:t>vyzývá Komisi a členské státy, aby podporovaly budování kapacit zúčastněných stran, zejména drobných rybářů, mezi něž patří pěší rybáři včetně sběračů měkkýšů, a jejich organizací a pobřežních a ostrovních komunit, a to i v nejvzdálenějších regionech, aby byly lépe připraveny účastnit se aktivně a účinně veřejných konzultací a rozhodovacích procesů týkajících se územního plánování námořních prostor; v této souvislosti zdůrazňuje, že je důležité podporovat generační obměnu, a vyzývá členské státy, aby zajistily, že rozhodnutí o územním plánování nebudou vytvářet další překážky pro mladé lidi začínající s rybolovem;</w:t>
      </w:r>
    </w:p>
    <w:p w14:paraId="76615A66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53.</w:t>
      </w:r>
      <w:r w:rsidRPr="006235DB">
        <w:rPr>
          <w:szCs w:val="24"/>
        </w:rPr>
        <w:tab/>
        <w:t xml:space="preserve">zdůrazňuje, že vymezení oblastí určených pro energii z obnovitelných zdrojů na moři nebo pro ochranu mořských ekosystémů musí zohledňovat dopad na rybolov a akvakulturu, včetně historických a tradičních rybolovných oblastí; trvá na tom, že </w:t>
      </w:r>
      <w:r w:rsidRPr="006235DB">
        <w:rPr>
          <w:szCs w:val="24"/>
        </w:rPr>
        <w:lastRenderedPageBreak/>
        <w:t>před vymezením zón je třeba systematicky provádět posouzení kumulativních environmentálních a socioekonomických dopadů a zajistit, aby dotčení pracovníci, zejména rybáři, byli v případě projektů větrných elektráren na moři předem informováni a před přijetím rozhodnutí s nimi byly projekty povinně konzultovány; v této souvislosti požaduje, aby bylo v souvislosti s pobřežními větrnými elektrárnami provedeno posouzení dopadů na stav rybolovných zdrojů a vyčíslení hlavních sociálních a ekonomických dopadů na rybolov;</w:t>
      </w:r>
    </w:p>
    <w:p w14:paraId="0FD5E05C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54.</w:t>
      </w:r>
      <w:r w:rsidRPr="006235DB">
        <w:rPr>
          <w:szCs w:val="24"/>
        </w:rPr>
        <w:tab/>
        <w:t xml:space="preserve">zdůrazňuje, že opatření na ochranu mořských ekosystémů musí být založena na spolehlivých vědeckých a socioekonomických posouzeních a musí být přizpůsobena potřebám ochrany každé oblasti; zdůrazňuje, že zřízení a správa různých kategorií chráněných mořských oblastí, je-li to slučitelné s cíli ochrany, a nejlepší dostupné vědecké poradenství by měly umožnit koexistenci s udržitelnými rybolovnými činnostmi, a to i prostřednictvím vhodných diferencovaných řídicích opatření a zamezení automatickému vyloučení; zdůrazňuje rovněž potenciál „dalších účinných opatření zaměřených na ochranu jednotlivých území“; </w:t>
      </w:r>
    </w:p>
    <w:p w14:paraId="5AD60EF2" w14:textId="77777777" w:rsidR="00144BFF" w:rsidRPr="006235DB" w:rsidRDefault="00144BFF" w:rsidP="00A434CA">
      <w:pPr>
        <w:pStyle w:val="NormalHanging12a"/>
        <w:rPr>
          <w:szCs w:val="24"/>
        </w:rPr>
      </w:pPr>
      <w:bookmarkStart w:id="14" w:name="_Hlk226557942"/>
      <w:r w:rsidRPr="006235DB">
        <w:rPr>
          <w:szCs w:val="24"/>
        </w:rPr>
        <w:t>55.</w:t>
      </w:r>
      <w:r w:rsidRPr="006235DB">
        <w:rPr>
          <w:szCs w:val="24"/>
        </w:rPr>
        <w:tab/>
        <w:t xml:space="preserve">vyzývá Komisi a členské státy, aby při posuzování potenciálu společného využívání námořních zón, včetně chráněných mořských oblastí nebo energie z obnovitelných zdrojů na moři, postupovaly systematicky a vědecky a aby se snažily nepohlížet na různé námořní zóny jako na oblasti, které se vzájemně vylučují; zdůrazňuje, že aktivní zapojení všech zúčastněných stran, a zejména rybářů, do navrhování, správy a hodnocení chráněných mořských oblastí přispívá k větší environmentální účinnosti, většímu přijetí ochranných opatření a lepšímu začlenění těchto oblastí do územního plánování námořních prostor; </w:t>
      </w:r>
      <w:bookmarkEnd w:id="14"/>
      <w:r w:rsidRPr="006235DB">
        <w:rPr>
          <w:szCs w:val="24"/>
        </w:rPr>
        <w:t>zdůrazňuje, že je třeba více zohledňovat změnu klimatu a měnící se oblasti výskytu rybích populací, aby byl zajištěn flexibilní přístup k vymezování zón, který odráží dynamickou povahu rybolovu;</w:t>
      </w:r>
    </w:p>
    <w:p w14:paraId="61083B18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56.</w:t>
      </w:r>
      <w:r w:rsidRPr="006235DB">
        <w:rPr>
          <w:szCs w:val="24"/>
        </w:rPr>
        <w:tab/>
        <w:t>vyzývá Komisi, aby podpořila přeshraniční přístup k územnímu plánování námořních prostor založený na mořských oblastech, a to podporou stávajících iniciativ, jako je Iniciativa pro širší oblast Severního moře; vyzývá Komisi a členské státy, aby se spolu se sousedními pobřežními státy zapojily do společných regionálních platforem pro řízení, a to po vzoru Komise na ochranu baltského mořského prostředí (známé také jako Helsinská komise nebo HELCOM), a to i s cílem určit společné rybářské koridory;</w:t>
      </w:r>
    </w:p>
    <w:p w14:paraId="2C6E35B2" w14:textId="77777777" w:rsidR="00144BFF" w:rsidRPr="006235DB" w:rsidRDefault="00144BFF" w:rsidP="00A434CA">
      <w:pPr>
        <w:pStyle w:val="NormalHanging12a"/>
        <w:rPr>
          <w:szCs w:val="24"/>
        </w:rPr>
      </w:pPr>
      <w:bookmarkStart w:id="15" w:name="_Hlk226559390"/>
      <w:r w:rsidRPr="006235DB">
        <w:rPr>
          <w:szCs w:val="24"/>
        </w:rPr>
        <w:t>57.</w:t>
      </w:r>
      <w:r w:rsidRPr="006235DB">
        <w:rPr>
          <w:szCs w:val="24"/>
        </w:rPr>
        <w:tab/>
        <w:t xml:space="preserve">vyzývá členské státy, aby své vnitrostátní plány doplnily plány zaměřenými více na mořské oblasti a aby v případě potřeby vypracovaly makroregionální strategie plánování, včetně společných územních plánů námořních prostor; </w:t>
      </w:r>
      <w:bookmarkEnd w:id="15"/>
      <w:r w:rsidRPr="006235DB">
        <w:rPr>
          <w:szCs w:val="24"/>
        </w:rPr>
        <w:t>naléhavě vyzývá členské státy a země mimo EU, zejména sousední pobřežní státy, aby prohloubily svou spolupráci v oblasti územního plánování námořních prostor, zejména v mořských oblastech přiléhajících ke Spojenému království a ve Středozemním a Baltském moři; podporuje důraznější přístup k územnímu plánování námořních prostor založený na mořských oblastech, který zajistí, aby byl rybolov plně začleněn do rámců přeshraničního plánování a nebyl znevýhodňován roztříštěnými vnitrostátními rozhodnutími;</w:t>
      </w:r>
    </w:p>
    <w:p w14:paraId="1B0EBA3E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58.</w:t>
      </w:r>
      <w:r w:rsidRPr="006235DB">
        <w:rPr>
          <w:szCs w:val="24"/>
        </w:rPr>
        <w:tab/>
        <w:t xml:space="preserve">vyzývá k posílení spolupráce v oblasti územního plánování námořních prostor mezi EU, jejími členskými státy a třetími zeměmi; zdůrazňuje potřebu lepší koordinace mezi pobřežními státy v Lamanšském průlivu, což se týká zejména regionů v Lamanšském průlivu, kde je třeba zlepšit spolupráci se Spojeným královstvím a Normanskými ostrovy, zejména pokud jde o vymezení chráněných mořských oblastí; domnívá se, že </w:t>
      </w:r>
      <w:r w:rsidRPr="006235DB">
        <w:rPr>
          <w:szCs w:val="24"/>
        </w:rPr>
        <w:lastRenderedPageBreak/>
        <w:t>spolupráce v tomto ohledu musí zahrnovat povinné a transparentní postupy konzultací se zúčastněnými stranami; vyzývá EU, Spojené království a další příslušné strany, aby vypracovaly regionální plán řízení pro Lamanšský průliv a Severní moře s cílem zajistit udržitelné využívání zdrojů a víceleté řízení rybolovu;</w:t>
      </w:r>
    </w:p>
    <w:p w14:paraId="1D49378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59.</w:t>
      </w:r>
      <w:r w:rsidRPr="006235DB">
        <w:rPr>
          <w:szCs w:val="24"/>
        </w:rPr>
        <w:tab/>
        <w:t>zdůrazňuje, že tato spolupráce se zeměmi mimo EU musí zajistit rovné podmínky a zabránit přesunu intenzity rybolovu na úkor loďstev a rybářských komunit EU; vyzývá proto Komisi, aby ve snaze prosazovat podobné normy v oblasti životního prostředí, řízení a sociální normy uplatňovala strukturovaný přístup k dialogu a spolupráci se sousedními pobřežními zeměmi a aby byla připravena přijmout veškerá nezbytná opatření na ochranu zájmů EU;</w:t>
      </w:r>
    </w:p>
    <w:p w14:paraId="5D152DB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60.</w:t>
      </w:r>
      <w:r w:rsidRPr="006235DB">
        <w:rPr>
          <w:szCs w:val="24"/>
        </w:rPr>
        <w:tab/>
        <w:t>vyzývá k tomu, aby byla do územního plánování námořních prostor začleněna opatření ke zmírnění změny klimatu a přizpůsobení se této změně a další příslušná environmentální opatření, aby bylo možné řešit problémy ovlivňující rybolov a akvakulturu, jako je eroze pobřeží, zvyšování teploty vody, invazivní druhy, okyselování oceánů, znečištění z pozemních i mořských zdrojů a kumulativní dopady; zdůrazňuje, že tato řešení musí být přiměřená, přizpůsobená místním podmínkám a předem posouzená z hlediska nákladové efektivnosti, přičemž je třeba se vyhnout univerzálním přístupům, které nezohledňují skutečné podmínky v každé mořské oblasti; zdůrazňuje, že klíčovou úlohu při monitorování, včasném odhalování a ochraně mohou hrát rybáři, pokud jsou řádně zapojeni, vyškoleni a podporováni;</w:t>
      </w:r>
    </w:p>
    <w:p w14:paraId="2B09788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61.</w:t>
      </w:r>
      <w:r w:rsidRPr="006235DB">
        <w:rPr>
          <w:szCs w:val="24"/>
        </w:rPr>
        <w:tab/>
        <w:t>upozorňuje na to, že eroze pobřeží a ústup pobřeží má zejména v oblastech, kde jsou zaváděny a rozvíjeny činnosti v oblasti akvakultury, velký dopad na pobřeží; vyzývá v této souvislosti k vypracování plánu EU pro odolnost pobřeží, který by zahrnoval integrované řízení pobřežních zón, zmírňování změny klimatu a přizpůsobování se této změně, interakce mezi pevninou a mořem, znečištění moří a pevniny, opatření pro přizpůsobení pobřeží a cílenou podporu akvakultury; domnívá se, že členské státy hrají v tomto ohledu důležitou úlohu a že tyto dopady musí být zohledněny v jejich územních plánech námořních prostor;</w:t>
      </w:r>
    </w:p>
    <w:p w14:paraId="0D493257" w14:textId="77777777" w:rsidR="00144BFF" w:rsidRPr="006235DB" w:rsidRDefault="00144BFF" w:rsidP="00A434CA">
      <w:pPr>
        <w:pStyle w:val="NormalHanging12a"/>
        <w:rPr>
          <w:szCs w:val="24"/>
        </w:rPr>
      </w:pPr>
      <w:r w:rsidRPr="006235DB">
        <w:rPr>
          <w:szCs w:val="24"/>
        </w:rPr>
        <w:t>62.</w:t>
      </w:r>
      <w:r w:rsidRPr="006235DB">
        <w:rPr>
          <w:szCs w:val="24"/>
        </w:rPr>
        <w:tab/>
        <w:t>je hluboce znepokojen reformou různých strukturálních fondů, kterou navrhuje Komise, a novým víceletým finančním rámcem, které výrazně sníží zdroje přidělené na rybolov, a tím ohrozí zlepšení v provádění směrnice o územním plánování námořních prostor;</w:t>
      </w:r>
    </w:p>
    <w:p w14:paraId="4C1CF68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63.</w:t>
      </w:r>
      <w:r w:rsidRPr="006235DB">
        <w:rPr>
          <w:szCs w:val="24"/>
        </w:rPr>
        <w:tab/>
        <w:t>zdůrazňuje, že je třeba vyčlenit značné prostředky na shromažďování dat a vědecký výzkum, jakož i na zlepšení sdílení dat a koordinace mezi členskými státy; věří, že standardizovanější a harmonizovanější data a metodiky pomohou upevnit místo rybolovu a akvakultury v územním plánování námořních prostor; v této souvislosti zdůrazňuje, že je třeba vypracovat a aktualizovat vědecká data o dopadu změny klimatu na mořské vodní zdroje, zejména pokud jde o změny v zeměpisných oblastech, kde se rybí populace vyskytují nebo kde dochází k jejich tření, nebo o přesun rybích populací;</w:t>
      </w:r>
    </w:p>
    <w:p w14:paraId="7D74B2D6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64.</w:t>
      </w:r>
      <w:r w:rsidRPr="006235DB">
        <w:rPr>
          <w:szCs w:val="24"/>
        </w:rPr>
        <w:tab/>
        <w:t>vyzývá k lepšímu a harmonizovanému shromažďování údajů a systematickému mapování rybolovných činností, které jsou předpokladem pro spravedlivé územní plánování námořních prostor založené na důkazech; vyzývá Komisi a členské státy, aby využívaly nejlepší dostupné a aktualizované údaje a informace;</w:t>
      </w:r>
    </w:p>
    <w:p w14:paraId="1F73B80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65.</w:t>
      </w:r>
      <w:r w:rsidRPr="006235DB">
        <w:rPr>
          <w:szCs w:val="24"/>
        </w:rPr>
        <w:tab/>
        <w:t xml:space="preserve">domnívá se, že připravovaná Iniciativa EU pro pozorování oceánů („Ocean Eye“) by měla posílit a harmonizovat shromažďování údajů o mořích, a přispět tak ke zlepšení </w:t>
      </w:r>
      <w:r w:rsidRPr="006235DB">
        <w:rPr>
          <w:szCs w:val="24"/>
        </w:rPr>
        <w:lastRenderedPageBreak/>
        <w:t>územního plánování námořních prostor; dále vyzývá k využití potenciálu platformy Evropské digitální dvojče oceánu, které by mělo přispět k lepšímu pochopení a předvídání dopadů změny klimatu na stav moří a mořských zdrojů a k vypracování vhodných strategií námořního plánování;</w:t>
      </w:r>
    </w:p>
    <w:p w14:paraId="478F2866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66.</w:t>
      </w:r>
      <w:r w:rsidRPr="006235DB">
        <w:rPr>
          <w:szCs w:val="24"/>
        </w:rPr>
        <w:tab/>
        <w:t>zdůrazňuje, že je třeba propojit územní plánování námořních prostor s Evropským námořním, rybářským a akvakulturním fondem a programem Horizont Evropa, a to i v rámci budoucího víceletého finančního rámce, aby se podpořil výzkum a inovace, a to i v oblastech konkrétně určených pro udržitelné a inovativní využití; domnívá se, že Komise a členské státy by měly podporovat, aby se při územním plánování námořních prostor využívaly digitální technologie, jako jsou evropské nástroje umělé inteligence;</w:t>
      </w:r>
    </w:p>
    <w:p w14:paraId="57BB57DF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67.</w:t>
      </w:r>
      <w:r w:rsidRPr="006235DB">
        <w:rPr>
          <w:szCs w:val="24"/>
        </w:rPr>
        <w:tab/>
        <w:t>vyzývá Komisi, aby provádění směrnice o územním plánování námořních prostor důkladně monitorovala; domnívá se, že příští hodnotící zpráva směrnice o územním plánování námořních prostor by se měla zaměřit na územní důsledky pro rybolov a akvakulturu, zapojení zúčastněných stran a přeshraniční spolupráci a poskytnout doporučení, jak by směrnice o územním plánování námořních prostor mohla přinést lepší výsledky z hlediska environmentální, sociální a hospodářské udržitelnosti; domnívá se, že územní plánování námořních prostor by mělo být posuzováno z hlediska územní rovnosti, chápané jako spravedlivé rozdělení přínosů a omezení mezi zúčastněné strany, území a generace, a nikoli pouze z hlediska jeho hospodářské nebo administrativní účinnosti;</w:t>
      </w:r>
    </w:p>
    <w:p w14:paraId="77E16C43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68.</w:t>
      </w:r>
      <w:r w:rsidRPr="006235DB">
        <w:rPr>
          <w:szCs w:val="24"/>
        </w:rPr>
        <w:tab/>
        <w:t>vyzývá Komisi, aby konsolidovala evropskou platformu pro územní plánování námořních prostor tím, že poskytne příklady projektů územního plánování námořních prostor, mapovacích nástrojů a osvědčených postupů; naléhavě vyzývá členské státy, aby tuto platformu více využívaly při vypracovávání svých územních plánů námořních prostor, a usnadnily tak přijímání transparentních politických rozhodnutí, aniž by byly vyloučeny skutečné konzultace při řešení konfliktů při využívání a střetů zájmů;</w:t>
      </w:r>
    </w:p>
    <w:p w14:paraId="7F70EBC2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69.</w:t>
      </w:r>
      <w:r w:rsidRPr="006235DB">
        <w:rPr>
          <w:szCs w:val="24"/>
        </w:rPr>
        <w:tab/>
        <w:t>podporuje revizi směrnice o územním plánování námořních prostor jako součást „aktu o oceánech“, jehož předložení se očekává koncem roku 2026; poznamenává, že směrnice o územním plánování námořních prostor je revidována souběžně s rámcovou směrnicí o strategii pro mořské prostředí; domnívá se, že tato revize by měla vytvořit soudržný rámec pro zlepšení koordinace mezi stávajícími právními předpisy a regulačním rámcem, a to zjednodušením překrývajících se předpisů, sladěním cílů, zjednodušením stávajících cílů a zavedením minimálních cílů, jichž je třeba dosáhnout v rámci námořních územních plánů, zlepšením soudržnosti mezi územním plánováním námořních a pevninských prostor a zavedením nástrojů sdíleného řízení; domnívá se, že při této revizi by mělo být zejména stanoveno, že ustanovení o zapojení zúčastněných stran, zejména rybářů a pobřežních komunit, jsou právně závazná, což by přispělo k harmonizovanějšímu uplatňováním všemi členskými státy; domnívá se, že navrhovaný akt by měl vytvořit synergii mezi různými předpisy a odvětvími v rámci skutečně ucelené koordinace politiky, aniž by ukládal nové povinnosti pro jednotlivá odvětví; dále se domnívá, že je třeba zavést minimální normy pro zajištění prostoru pro rybolov a akvakulturu, které přispějí ke strategické autonomii v oblasti potravinové soběstačnosti a k udržitelnosti a konkurenceschopnosti modré ekonomiky;</w:t>
      </w:r>
    </w:p>
    <w:p w14:paraId="7A4B91A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70.</w:t>
      </w:r>
      <w:r w:rsidRPr="006235DB">
        <w:rPr>
          <w:szCs w:val="24"/>
        </w:rPr>
        <w:tab/>
        <w:t xml:space="preserve">domnívá se, že revize směrnice o územním plánování námořních prostor by měla rovněž posílit přeshraniční přístup založený na více způsobech využití, aby se zmírnily kumulativní dopady a zlepšilo zapojení zúčastněných stran; domnívá se, že je rovněž </w:t>
      </w:r>
      <w:r w:rsidRPr="006235DB">
        <w:rPr>
          <w:szCs w:val="24"/>
        </w:rPr>
        <w:lastRenderedPageBreak/>
        <w:t>důležité využít revizi ke snížení roztříštěnosti a nejistoty pro rybářské loďstvo EU;</w:t>
      </w:r>
    </w:p>
    <w:p w14:paraId="0A30288B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71.</w:t>
      </w:r>
      <w:r w:rsidRPr="006235DB">
        <w:rPr>
          <w:szCs w:val="24"/>
        </w:rPr>
        <w:tab/>
        <w:t>domnívá se, že akt o oceánech by měl zahrnovat všechna území EU a zohledňovat jejich specifické rysy, zejména v případě nejvzdálenějších a ostrovních regionů; zdůrazňuje, že je důležité zapojit do přípravy nadcházejícího návrhu parlamentní Výbor pro rybolov, zejména pokud jde o potravinovou soběstačnost, strategickou úlohu rybolovu a akvakultury a účinné provádění společné rybářské politiky;</w:t>
      </w:r>
    </w:p>
    <w:p w14:paraId="54434654" w14:textId="77777777" w:rsidR="00144BFF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72.</w:t>
      </w:r>
      <w:r w:rsidRPr="006235DB">
        <w:rPr>
          <w:szCs w:val="24"/>
        </w:rPr>
        <w:tab/>
        <w:t>domnívá se, že nadcházející přezkum směrnice o územním plánování námořních prostor by měl být úzce spojen s prováděním Paktu pro oceány, s poskytováním dostatečných finančních zdrojů, zejména v příštím víceletém finančním rámci, a s konkrétními opatřeními, aby se zajistilo její účinné provádění a zabránilo se negativním dopadům na členské státy a zúčastněné strany; zdůrazňuje, že tyto zdroje musí být dostatečné, předvídatelné a snadno dostupné a že jejich využívání musí upřednostňovat opatření s hmatatelným dopadem;</w:t>
      </w:r>
    </w:p>
    <w:p w14:paraId="4910485E" w14:textId="77777777" w:rsidR="00144BFF" w:rsidRPr="006235DB" w:rsidRDefault="00144BFF" w:rsidP="006235DB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szCs w:val="24"/>
        </w:rPr>
        <w:t>73.</w:t>
      </w:r>
      <w:r w:rsidRPr="006235DB">
        <w:rPr>
          <w:szCs w:val="24"/>
        </w:rPr>
        <w:tab/>
        <w:t>vyzývá Komisi, aby plně začlenila územní plánování námořních prostor do rozvoje své Vize pro rybolov a akvakulturu do roku 2040 a aby tyto iniciativy propojila s výsledky hodnocení společné rybářské politiky;</w:t>
      </w:r>
    </w:p>
    <w:p w14:paraId="236FBC70" w14:textId="109CE204" w:rsidR="006235DB" w:rsidRPr="006235DB" w:rsidRDefault="006235DB" w:rsidP="00A434CA">
      <w:pPr>
        <w:pStyle w:val="NormalHanging12a"/>
        <w:widowControl/>
        <w:jc w:val="center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rFonts w:eastAsiaTheme="minorHAnsi"/>
          <w:kern w:val="2"/>
          <w:szCs w:val="24"/>
          <w14:ligatures w14:val="standardContextual"/>
        </w:rPr>
        <w:t>°</w:t>
      </w:r>
    </w:p>
    <w:p w14:paraId="66EF6C21" w14:textId="0A140A87" w:rsidR="006235DB" w:rsidRPr="006235DB" w:rsidRDefault="006235DB" w:rsidP="00A434CA">
      <w:pPr>
        <w:pStyle w:val="NormalHanging12a"/>
        <w:widowControl/>
        <w:jc w:val="center"/>
        <w:rPr>
          <w:rFonts w:eastAsiaTheme="minorHAnsi"/>
          <w:kern w:val="2"/>
          <w:szCs w:val="24"/>
          <w14:ligatures w14:val="standardContextual"/>
        </w:rPr>
      </w:pPr>
      <w:r w:rsidRPr="006235DB">
        <w:rPr>
          <w:rFonts w:eastAsiaTheme="minorHAnsi"/>
          <w:kern w:val="2"/>
          <w:szCs w:val="24"/>
          <w14:ligatures w14:val="standardContextual"/>
        </w:rPr>
        <w:t>°     °</w:t>
      </w:r>
    </w:p>
    <w:p w14:paraId="7DEF29FE" w14:textId="74A5C856" w:rsidR="00E365E1" w:rsidRPr="006235DB" w:rsidRDefault="00144BFF" w:rsidP="00A434CA">
      <w:pPr>
        <w:spacing w:after="240"/>
        <w:ind w:left="567" w:hanging="567"/>
        <w:rPr>
          <w:szCs w:val="24"/>
        </w:rPr>
      </w:pPr>
      <w:r w:rsidRPr="006235DB">
        <w:rPr>
          <w:szCs w:val="24"/>
        </w:rPr>
        <w:t>74.</w:t>
      </w:r>
      <w:r w:rsidRPr="006235DB">
        <w:rPr>
          <w:szCs w:val="24"/>
        </w:rPr>
        <w:tab/>
        <w:t>pověřuje svou předsedkyni, aby předala toto usnesení Radě, Komisi, jakož i vládám a parlamentům členských států.</w:t>
      </w:r>
    </w:p>
    <w:sectPr w:rsidR="00E365E1" w:rsidRPr="006235DB" w:rsidSect="007643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4C0A0" w14:textId="77777777" w:rsidR="0074590E" w:rsidRPr="0076431A" w:rsidRDefault="0074590E">
      <w:r w:rsidRPr="0076431A">
        <w:separator/>
      </w:r>
    </w:p>
  </w:endnote>
  <w:endnote w:type="continuationSeparator" w:id="0">
    <w:p w14:paraId="5A9D29C7" w14:textId="77777777" w:rsidR="0074590E" w:rsidRPr="0076431A" w:rsidRDefault="0074590E">
      <w:r w:rsidRPr="007643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547C" w14:textId="77777777" w:rsidR="00064002" w:rsidRPr="007643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047B" w14:textId="77777777" w:rsidR="00064002" w:rsidRPr="007643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1473" w14:textId="77777777" w:rsidR="00064002" w:rsidRPr="007643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69B7" w14:textId="77777777" w:rsidR="0074590E" w:rsidRPr="0076431A" w:rsidRDefault="0074590E">
      <w:r w:rsidRPr="0076431A">
        <w:separator/>
      </w:r>
    </w:p>
  </w:footnote>
  <w:footnote w:type="continuationSeparator" w:id="0">
    <w:p w14:paraId="501C93EC" w14:textId="77777777" w:rsidR="0074590E" w:rsidRPr="0076431A" w:rsidRDefault="0074590E">
      <w:r w:rsidRPr="0076431A">
        <w:continuationSeparator/>
      </w:r>
    </w:p>
  </w:footnote>
  <w:footnote w:id="1">
    <w:p w14:paraId="0570BFF8" w14:textId="35C52A2F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L 257, 28.8.2014, s. 135, ELI: </w:t>
      </w:r>
      <w:hyperlink r:id="rId1" w:history="1">
        <w:r w:rsidRPr="0076431A">
          <w:rPr>
            <w:rStyle w:val="Hyperlink"/>
            <w:sz w:val="24"/>
            <w:lang w:val="cs-CZ"/>
          </w:rPr>
          <w:t>http://data.europa.eu/eli/dir/2014/89/oj</w:t>
        </w:r>
      </w:hyperlink>
      <w:r w:rsidRPr="0076431A">
        <w:rPr>
          <w:sz w:val="24"/>
          <w:lang w:val="cs-CZ"/>
        </w:rPr>
        <w:t>.</w:t>
      </w:r>
    </w:p>
  </w:footnote>
  <w:footnote w:id="2">
    <w:p w14:paraId="51814510" w14:textId="00994D23" w:rsidR="00144BFF" w:rsidRPr="0076431A" w:rsidRDefault="00144BFF" w:rsidP="0076431A">
      <w:pPr>
        <w:ind w:left="567" w:hanging="567"/>
      </w:pPr>
      <w:r w:rsidRPr="0076431A">
        <w:rPr>
          <w:rStyle w:val="FootnoteReference"/>
        </w:rPr>
        <w:footnoteRef/>
      </w:r>
      <w:r w:rsidR="0076431A" w:rsidRPr="0076431A">
        <w:t xml:space="preserve"> </w:t>
      </w:r>
      <w:r w:rsidR="0076431A" w:rsidRPr="0076431A">
        <w:tab/>
      </w:r>
      <w:r w:rsidRPr="0076431A">
        <w:t xml:space="preserve">Úř. věst. L 164, 25.6.2008, s. 19, ELI: </w:t>
      </w:r>
      <w:hyperlink r:id="rId2" w:history="1">
        <w:r w:rsidRPr="0076431A">
          <w:rPr>
            <w:rStyle w:val="Hyperlink"/>
          </w:rPr>
          <w:t>http://data.europa.eu/eli/dir/2008/56/oj</w:t>
        </w:r>
      </w:hyperlink>
      <w:r w:rsidRPr="0076431A">
        <w:t>.</w:t>
      </w:r>
    </w:p>
  </w:footnote>
  <w:footnote w:id="3">
    <w:p w14:paraId="67436AF3" w14:textId="318DE190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L 354, 28.12.2013, s. 22, ELI: </w:t>
      </w:r>
      <w:hyperlink r:id="rId3" w:history="1">
        <w:r w:rsidRPr="0076431A">
          <w:rPr>
            <w:rStyle w:val="Hyperlink"/>
            <w:sz w:val="24"/>
            <w:lang w:val="cs-CZ"/>
          </w:rPr>
          <w:t>http://data.europa.eu/eli/reg/2013/1380/oj</w:t>
        </w:r>
      </w:hyperlink>
      <w:r w:rsidRPr="0076431A">
        <w:rPr>
          <w:sz w:val="24"/>
          <w:lang w:val="cs-CZ"/>
        </w:rPr>
        <w:t>.</w:t>
      </w:r>
    </w:p>
  </w:footnote>
  <w:footnote w:id="4">
    <w:p w14:paraId="206ADAF3" w14:textId="1A27905F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L 247, 13.7.2021, s. 1, ELI: </w:t>
      </w:r>
      <w:hyperlink r:id="rId4" w:history="1">
        <w:r w:rsidRPr="0076431A">
          <w:rPr>
            <w:rStyle w:val="Hyperlink"/>
            <w:sz w:val="24"/>
            <w:lang w:val="cs-CZ"/>
          </w:rPr>
          <w:t>http://data.europa.eu/eli/reg/2021/1139/oj</w:t>
        </w:r>
      </w:hyperlink>
      <w:r w:rsidRPr="0076431A">
        <w:rPr>
          <w:sz w:val="24"/>
          <w:lang w:val="cs-CZ"/>
        </w:rPr>
        <w:t>.</w:t>
      </w:r>
    </w:p>
  </w:footnote>
  <w:footnote w:id="5">
    <w:p w14:paraId="3E5E5A9E" w14:textId="246F10A5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L 206, 22.7.1992, s. 7, ELI: </w:t>
      </w:r>
      <w:hyperlink r:id="rId5" w:history="1">
        <w:r w:rsidRPr="0076431A">
          <w:rPr>
            <w:rStyle w:val="Hyperlink"/>
            <w:sz w:val="24"/>
            <w:lang w:val="cs-CZ"/>
          </w:rPr>
          <w:t>http://data.europa.eu/eli/dir/1992/43/oj</w:t>
        </w:r>
      </w:hyperlink>
      <w:r w:rsidRPr="0076431A">
        <w:rPr>
          <w:sz w:val="24"/>
          <w:lang w:val="cs-CZ"/>
        </w:rPr>
        <w:t>.</w:t>
      </w:r>
    </w:p>
  </w:footnote>
  <w:footnote w:id="6">
    <w:p w14:paraId="44C73E08" w14:textId="13791A6C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 věst. L 20, 26.1.2010, s. 7, ELI: </w:t>
      </w:r>
      <w:hyperlink r:id="rId6" w:history="1">
        <w:r w:rsidRPr="0076431A">
          <w:rPr>
            <w:rStyle w:val="Hyperlink"/>
            <w:sz w:val="24"/>
            <w:lang w:val="cs-CZ"/>
          </w:rPr>
          <w:t>http://data.europa.eu/eli/dir/2009/147/oj</w:t>
        </w:r>
      </w:hyperlink>
      <w:r w:rsidRPr="0076431A">
        <w:rPr>
          <w:sz w:val="24"/>
          <w:lang w:val="cs-CZ"/>
        </w:rPr>
        <w:t xml:space="preserve">. </w:t>
      </w:r>
    </w:p>
  </w:footnote>
  <w:footnote w:id="7">
    <w:p w14:paraId="2AA3A28F" w14:textId="557CA72B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Směrnice Evropského parlamentu a Rady 2000/60/ES ze dne 23. října 2000, kterou se stanoví rámec pro činnost Společenství v oblasti vodní politiky (Úř. věst. L 327, 22.12.2000, s. 1, ELI: </w:t>
      </w:r>
      <w:hyperlink r:id="rId7" w:history="1">
        <w:r w:rsidRPr="0076431A">
          <w:rPr>
            <w:rStyle w:val="Hyperlink"/>
            <w:sz w:val="24"/>
            <w:lang w:val="cs-CZ"/>
          </w:rPr>
          <w:t>http://data.europa.eu/eli/dir/2000/60/oj</w:t>
        </w:r>
      </w:hyperlink>
      <w:r w:rsidRPr="0076431A">
        <w:rPr>
          <w:sz w:val="24"/>
          <w:lang w:val="cs-CZ"/>
        </w:rPr>
        <w:t xml:space="preserve">). </w:t>
      </w:r>
    </w:p>
  </w:footnote>
  <w:footnote w:id="8">
    <w:p w14:paraId="629FFFC5" w14:textId="0FF68151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Směrnice Evropského parlamentu a Rady 2008/105/ES ze dne 16. prosince 2008 o normách environmentální kvality v oblasti vodní politiky, změně a následném zrušení směrnic Rady 82/176/EHS, 83/513/EHS, 84/156/EHS, 84/491/EHS a 86/280/EHS a změně směrnice Evropského parlamentu a Rady 2000/60/ES (Úř. věst. L 348, 24.12.2008, s. 84, ELI: </w:t>
      </w:r>
      <w:hyperlink r:id="rId8" w:history="1">
        <w:r w:rsidRPr="0076431A">
          <w:rPr>
            <w:rStyle w:val="Hyperlink"/>
            <w:sz w:val="24"/>
            <w:lang w:val="cs-CZ"/>
          </w:rPr>
          <w:t>http://data.europa.eu/eli/dir/2008/105/oj</w:t>
        </w:r>
      </w:hyperlink>
      <w:r w:rsidRPr="0076431A">
        <w:rPr>
          <w:sz w:val="24"/>
          <w:lang w:val="cs-CZ"/>
        </w:rPr>
        <w:t xml:space="preserve">). </w:t>
      </w:r>
    </w:p>
  </w:footnote>
  <w:footnote w:id="9">
    <w:p w14:paraId="2F240EC5" w14:textId="7373501E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>Směrnice Evropského parlamentu a Rady (EU) 2024/3019 ze dne 27. listopadu 2024 o čištění městských odpadních vod (Úř. v</w:t>
      </w:r>
      <w:r w:rsidR="00FA55D0">
        <w:rPr>
          <w:sz w:val="24"/>
          <w:lang w:val="cs-CZ"/>
        </w:rPr>
        <w:t>ě</w:t>
      </w:r>
      <w:r w:rsidRPr="0076431A">
        <w:rPr>
          <w:sz w:val="24"/>
          <w:lang w:val="cs-CZ"/>
        </w:rPr>
        <w:t xml:space="preserve">st. L, 2024/3019, 12.12.2024, ELI: </w:t>
      </w:r>
      <w:hyperlink r:id="rId9" w:history="1">
        <w:r w:rsidRPr="0076431A">
          <w:rPr>
            <w:rStyle w:val="Hyperlink"/>
            <w:sz w:val="24"/>
            <w:lang w:val="cs-CZ"/>
          </w:rPr>
          <w:t>http://data.europa.eu/eli/dir/2024/3019/oj</w:t>
        </w:r>
      </w:hyperlink>
      <w:r w:rsidRPr="0076431A">
        <w:rPr>
          <w:sz w:val="24"/>
          <w:lang w:val="cs-CZ"/>
        </w:rPr>
        <w:t xml:space="preserve">). </w:t>
      </w:r>
    </w:p>
  </w:footnote>
  <w:footnote w:id="10">
    <w:p w14:paraId="15576C1E" w14:textId="280098D8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Směrnice Rady 91/676/EHS ze dne 12. prosince 1991 o ochraně vod před znečištěním dusičnany ze zemědělských zdrojů (Úř. věst. L 375, 31.12.1991, s. 1, ELI: </w:t>
      </w:r>
      <w:hyperlink r:id="rId10" w:history="1">
        <w:r w:rsidRPr="0076431A">
          <w:rPr>
            <w:rStyle w:val="Hyperlink"/>
            <w:sz w:val="24"/>
            <w:lang w:val="cs-CZ"/>
          </w:rPr>
          <w:t>http://data.europa.eu/eli/dir/1991/676/oj</w:t>
        </w:r>
      </w:hyperlink>
      <w:r w:rsidRPr="0076431A">
        <w:rPr>
          <w:sz w:val="24"/>
          <w:lang w:val="cs-CZ"/>
        </w:rPr>
        <w:t xml:space="preserve">). </w:t>
      </w:r>
    </w:p>
  </w:footnote>
  <w:footnote w:id="11">
    <w:p w14:paraId="55DB787D" w14:textId="718B181C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Směrnice Evropského parlamentu a Rady 2005/35/ES ze dne 7. září 2005 o znečištění z lodí a o zavedení sankcí za protiprávní jednání (Úř. věst. L 255, 30.9.2005, s. 11, ELI:  </w:t>
      </w:r>
      <w:hyperlink r:id="rId11" w:history="1">
        <w:r w:rsidRPr="0076431A">
          <w:rPr>
            <w:rStyle w:val="Hyperlink"/>
            <w:sz w:val="24"/>
            <w:lang w:val="cs-CZ"/>
          </w:rPr>
          <w:t>http://data.europa.eu/eli/dir/2005/35/oj</w:t>
        </w:r>
      </w:hyperlink>
      <w:r w:rsidRPr="0076431A">
        <w:rPr>
          <w:sz w:val="24"/>
          <w:lang w:val="cs-CZ"/>
        </w:rPr>
        <w:t xml:space="preserve">). </w:t>
      </w:r>
    </w:p>
  </w:footnote>
  <w:footnote w:id="12">
    <w:p w14:paraId="5FAA3916" w14:textId="1A9ABB20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>Nařízení Evropského parlamentu a Rady (ES) č. 1907/2006 ze dne 18. prosince 2006 o registraci, hodnocení, povolování a omezování chemických látek (REACH), o zřízení Evropské agentury pro chemické látky, o změně směrnice 1999/45/ES a o zrušení nařízení Rady (EHS) č. 793/93, nařízení Komise (ES) č. 1488/94, směrnice Rady 76/769/EHS a směrnic Komise 91/155/EHS, 93/67/EHS, 93/105/ES a 2000/21/ES (Úř.</w:t>
      </w:r>
      <w:r w:rsidR="00871445" w:rsidRPr="0076431A">
        <w:rPr>
          <w:sz w:val="24"/>
          <w:lang w:val="cs-CZ"/>
        </w:rPr>
        <w:t> </w:t>
      </w:r>
      <w:r w:rsidRPr="0076431A">
        <w:rPr>
          <w:sz w:val="24"/>
          <w:lang w:val="cs-CZ"/>
        </w:rPr>
        <w:t xml:space="preserve">věst. L 396, 30.12.2006, s. 1, ELI: </w:t>
      </w:r>
      <w:hyperlink r:id="rId12" w:history="1">
        <w:r w:rsidRPr="0076431A">
          <w:rPr>
            <w:rStyle w:val="Hyperlink"/>
            <w:sz w:val="24"/>
            <w:lang w:val="cs-CZ"/>
          </w:rPr>
          <w:t>http://data.europa.eu/eli/reg/2006/1907/oj</w:t>
        </w:r>
      </w:hyperlink>
      <w:r w:rsidRPr="0076431A">
        <w:rPr>
          <w:sz w:val="24"/>
          <w:lang w:val="cs-CZ"/>
        </w:rPr>
        <w:t xml:space="preserve">). </w:t>
      </w:r>
    </w:p>
  </w:footnote>
  <w:footnote w:id="13">
    <w:p w14:paraId="205CED7E" w14:textId="6AE6F03B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>Usnesení Evropského parlamentu ze dne 9. června 2021 o strategii EU v oblasti biologické rozmanitosti do roku 2030: navrácení přírody do našeho života (Úř. věst. C 67, 8.2.2022, s. 25).</w:t>
      </w:r>
    </w:p>
  </w:footnote>
  <w:footnote w:id="14">
    <w:p w14:paraId="280FAEDA" w14:textId="29B8410E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>Úř. věst. C 99, 1.3.2022, s. 88.</w:t>
      </w:r>
    </w:p>
  </w:footnote>
  <w:footnote w:id="15">
    <w:p w14:paraId="7CB39DE2" w14:textId="6FCDAD4B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 věst. C 132, 14.4.2023, s. 106. </w:t>
      </w:r>
    </w:p>
  </w:footnote>
  <w:footnote w:id="16">
    <w:p w14:paraId="11BCEC41" w14:textId="3EBD3C48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C, C/2023/1060, 15.12.2023, ELI: </w:t>
      </w:r>
      <w:hyperlink r:id="rId13" w:history="1">
        <w:r w:rsidRPr="0076431A">
          <w:rPr>
            <w:rStyle w:val="Hyperlink"/>
            <w:sz w:val="24"/>
            <w:lang w:val="cs-CZ"/>
          </w:rPr>
          <w:t>http://data.europa.eu/eli/C/2023/1060/oj</w:t>
        </w:r>
      </w:hyperlink>
      <w:r w:rsidRPr="0076431A">
        <w:rPr>
          <w:sz w:val="24"/>
          <w:lang w:val="cs-CZ"/>
        </w:rPr>
        <w:t>.</w:t>
      </w:r>
    </w:p>
  </w:footnote>
  <w:footnote w:id="17">
    <w:p w14:paraId="17C0248D" w14:textId="320EED79" w:rsidR="00144BFF" w:rsidRPr="0076431A" w:rsidRDefault="00144BFF" w:rsidP="0076431A">
      <w:pPr>
        <w:pStyle w:val="FootnoteText"/>
        <w:ind w:left="567" w:hanging="567"/>
        <w:rPr>
          <w:sz w:val="24"/>
          <w:lang w:val="cs-CZ"/>
        </w:rPr>
      </w:pPr>
      <w:r w:rsidRPr="0076431A">
        <w:rPr>
          <w:rStyle w:val="FootnoteReference"/>
          <w:sz w:val="24"/>
          <w:lang w:val="cs-CZ"/>
        </w:rPr>
        <w:footnoteRef/>
      </w:r>
      <w:r w:rsidR="0076431A" w:rsidRPr="0076431A">
        <w:rPr>
          <w:sz w:val="24"/>
          <w:lang w:val="cs-CZ"/>
        </w:rPr>
        <w:t xml:space="preserve"> </w:t>
      </w:r>
      <w:r w:rsidR="0076431A" w:rsidRPr="0076431A">
        <w:rPr>
          <w:sz w:val="24"/>
          <w:lang w:val="cs-CZ"/>
        </w:rPr>
        <w:tab/>
      </w:r>
      <w:r w:rsidRPr="0076431A">
        <w:rPr>
          <w:sz w:val="24"/>
          <w:lang w:val="cs-CZ"/>
        </w:rPr>
        <w:t xml:space="preserve">Úř. věst. C, C/2024/5734, 17.10.2024, ELI: </w:t>
      </w:r>
      <w:hyperlink r:id="rId14" w:history="1">
        <w:r w:rsidRPr="0076431A">
          <w:rPr>
            <w:rStyle w:val="Hyperlink"/>
            <w:sz w:val="24"/>
            <w:lang w:val="cs-CZ"/>
          </w:rPr>
          <w:t>http://data.europa.eu/eli/C/2024/5734/oj</w:t>
        </w:r>
      </w:hyperlink>
      <w:r w:rsidRPr="0076431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F45E" w14:textId="77777777" w:rsidR="00064002" w:rsidRPr="007643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979A" w14:textId="77777777" w:rsidR="00064002" w:rsidRPr="007643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490F" w14:textId="77777777" w:rsidR="00064002" w:rsidRPr="007643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AF6311F"/>
    <w:multiLevelType w:val="hybridMultilevel"/>
    <w:tmpl w:val="CBA6396E"/>
    <w:lvl w:ilvl="0" w:tplc="E1A4DFD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F82ED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440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F62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84F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0E2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4AF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EE3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E80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55C10"/>
    <w:multiLevelType w:val="hybridMultilevel"/>
    <w:tmpl w:val="EAC29610"/>
    <w:lvl w:ilvl="0" w:tplc="814E13B0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BC162F9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64A81B16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7A163854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5936D55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9CC47078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9EC97DA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6346870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5CC8370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68776CD9"/>
    <w:multiLevelType w:val="hybridMultilevel"/>
    <w:tmpl w:val="F670F1A0"/>
    <w:lvl w:ilvl="0" w:tplc="9AD2E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B96DE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527D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ED0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03D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96FC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CD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C6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3EC9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F45DA"/>
    <w:multiLevelType w:val="hybridMultilevel"/>
    <w:tmpl w:val="A4AAC090"/>
    <w:lvl w:ilvl="0" w:tplc="65EA21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E4A2776" w:tentative="1">
      <w:start w:val="1"/>
      <w:numFmt w:val="lowerLetter"/>
      <w:lvlText w:val="%2."/>
      <w:lvlJc w:val="left"/>
      <w:pPr>
        <w:ind w:left="1440" w:hanging="360"/>
      </w:pPr>
    </w:lvl>
    <w:lvl w:ilvl="2" w:tplc="3E62A762" w:tentative="1">
      <w:start w:val="1"/>
      <w:numFmt w:val="lowerRoman"/>
      <w:lvlText w:val="%3."/>
      <w:lvlJc w:val="right"/>
      <w:pPr>
        <w:ind w:left="2160" w:hanging="180"/>
      </w:pPr>
    </w:lvl>
    <w:lvl w:ilvl="3" w:tplc="FABA459C" w:tentative="1">
      <w:start w:val="1"/>
      <w:numFmt w:val="decimal"/>
      <w:lvlText w:val="%4."/>
      <w:lvlJc w:val="left"/>
      <w:pPr>
        <w:ind w:left="2880" w:hanging="360"/>
      </w:pPr>
    </w:lvl>
    <w:lvl w:ilvl="4" w:tplc="F5CE6B80" w:tentative="1">
      <w:start w:val="1"/>
      <w:numFmt w:val="lowerLetter"/>
      <w:lvlText w:val="%5."/>
      <w:lvlJc w:val="left"/>
      <w:pPr>
        <w:ind w:left="3600" w:hanging="360"/>
      </w:pPr>
    </w:lvl>
    <w:lvl w:ilvl="5" w:tplc="8C3C5CE6" w:tentative="1">
      <w:start w:val="1"/>
      <w:numFmt w:val="lowerRoman"/>
      <w:lvlText w:val="%6."/>
      <w:lvlJc w:val="right"/>
      <w:pPr>
        <w:ind w:left="4320" w:hanging="180"/>
      </w:pPr>
    </w:lvl>
    <w:lvl w:ilvl="6" w:tplc="7D8E133C" w:tentative="1">
      <w:start w:val="1"/>
      <w:numFmt w:val="decimal"/>
      <w:lvlText w:val="%7."/>
      <w:lvlJc w:val="left"/>
      <w:pPr>
        <w:ind w:left="5040" w:hanging="360"/>
      </w:pPr>
    </w:lvl>
    <w:lvl w:ilvl="7" w:tplc="6C1CCD5C" w:tentative="1">
      <w:start w:val="1"/>
      <w:numFmt w:val="lowerLetter"/>
      <w:lvlText w:val="%8."/>
      <w:lvlJc w:val="left"/>
      <w:pPr>
        <w:ind w:left="5760" w:hanging="360"/>
      </w:pPr>
    </w:lvl>
    <w:lvl w:ilvl="8" w:tplc="E914362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12683">
    <w:abstractNumId w:val="9"/>
  </w:num>
  <w:num w:numId="2" w16cid:durableId="1370497451">
    <w:abstractNumId w:val="9"/>
  </w:num>
  <w:num w:numId="3" w16cid:durableId="1369456425">
    <w:abstractNumId w:val="7"/>
  </w:num>
  <w:num w:numId="4" w16cid:durableId="1846674855">
    <w:abstractNumId w:val="7"/>
  </w:num>
  <w:num w:numId="5" w16cid:durableId="2129886321">
    <w:abstractNumId w:val="6"/>
  </w:num>
  <w:num w:numId="6" w16cid:durableId="1643151231">
    <w:abstractNumId w:val="6"/>
  </w:num>
  <w:num w:numId="7" w16cid:durableId="500853432">
    <w:abstractNumId w:val="5"/>
  </w:num>
  <w:num w:numId="8" w16cid:durableId="636686544">
    <w:abstractNumId w:val="5"/>
  </w:num>
  <w:num w:numId="9" w16cid:durableId="1177891957">
    <w:abstractNumId w:val="4"/>
  </w:num>
  <w:num w:numId="10" w16cid:durableId="1741056651">
    <w:abstractNumId w:val="4"/>
  </w:num>
  <w:num w:numId="11" w16cid:durableId="76440886">
    <w:abstractNumId w:val="8"/>
  </w:num>
  <w:num w:numId="12" w16cid:durableId="98179412">
    <w:abstractNumId w:val="8"/>
  </w:num>
  <w:num w:numId="13" w16cid:durableId="233592173">
    <w:abstractNumId w:val="3"/>
  </w:num>
  <w:num w:numId="14" w16cid:durableId="1438402045">
    <w:abstractNumId w:val="3"/>
  </w:num>
  <w:num w:numId="15" w16cid:durableId="441415810">
    <w:abstractNumId w:val="2"/>
  </w:num>
  <w:num w:numId="16" w16cid:durableId="76634560">
    <w:abstractNumId w:val="2"/>
  </w:num>
  <w:num w:numId="17" w16cid:durableId="1686325091">
    <w:abstractNumId w:val="1"/>
  </w:num>
  <w:num w:numId="18" w16cid:durableId="483472119">
    <w:abstractNumId w:val="1"/>
  </w:num>
  <w:num w:numId="19" w16cid:durableId="1516262497">
    <w:abstractNumId w:val="0"/>
  </w:num>
  <w:num w:numId="20" w16cid:durableId="1126892384">
    <w:abstractNumId w:val="0"/>
  </w:num>
  <w:num w:numId="21" w16cid:durableId="1644655663">
    <w:abstractNumId w:val="9"/>
  </w:num>
  <w:num w:numId="22" w16cid:durableId="1850362284">
    <w:abstractNumId w:val="7"/>
  </w:num>
  <w:num w:numId="23" w16cid:durableId="1608198178">
    <w:abstractNumId w:val="6"/>
  </w:num>
  <w:num w:numId="24" w16cid:durableId="165093751">
    <w:abstractNumId w:val="5"/>
  </w:num>
  <w:num w:numId="25" w16cid:durableId="736393724">
    <w:abstractNumId w:val="4"/>
  </w:num>
  <w:num w:numId="26" w16cid:durableId="817453114">
    <w:abstractNumId w:val="8"/>
  </w:num>
  <w:num w:numId="27" w16cid:durableId="1545557662">
    <w:abstractNumId w:val="3"/>
  </w:num>
  <w:num w:numId="28" w16cid:durableId="307901734">
    <w:abstractNumId w:val="2"/>
  </w:num>
  <w:num w:numId="29" w16cid:durableId="2137747075">
    <w:abstractNumId w:val="1"/>
  </w:num>
  <w:num w:numId="30" w16cid:durableId="795412818">
    <w:abstractNumId w:val="0"/>
  </w:num>
  <w:num w:numId="31" w16cid:durableId="226958244">
    <w:abstractNumId w:val="9"/>
  </w:num>
  <w:num w:numId="32" w16cid:durableId="1326200389">
    <w:abstractNumId w:val="7"/>
  </w:num>
  <w:num w:numId="33" w16cid:durableId="215630122">
    <w:abstractNumId w:val="6"/>
  </w:num>
  <w:num w:numId="34" w16cid:durableId="207448946">
    <w:abstractNumId w:val="5"/>
  </w:num>
  <w:num w:numId="35" w16cid:durableId="330762529">
    <w:abstractNumId w:val="4"/>
  </w:num>
  <w:num w:numId="36" w16cid:durableId="1586299195">
    <w:abstractNumId w:val="8"/>
  </w:num>
  <w:num w:numId="37" w16cid:durableId="2069110109">
    <w:abstractNumId w:val="3"/>
  </w:num>
  <w:num w:numId="38" w16cid:durableId="2095321666">
    <w:abstractNumId w:val="2"/>
  </w:num>
  <w:num w:numId="39" w16cid:durableId="722945279">
    <w:abstractNumId w:val="1"/>
  </w:num>
  <w:num w:numId="40" w16cid:durableId="919289601">
    <w:abstractNumId w:val="0"/>
  </w:num>
  <w:num w:numId="41" w16cid:durableId="1398166311">
    <w:abstractNumId w:val="10"/>
  </w:num>
  <w:num w:numId="42" w16cid:durableId="796145828">
    <w:abstractNumId w:val="10"/>
  </w:num>
  <w:num w:numId="43" w16cid:durableId="175196801">
    <w:abstractNumId w:val="10"/>
  </w:num>
  <w:num w:numId="44" w16cid:durableId="296878279">
    <w:abstractNumId w:val="11"/>
  </w:num>
  <w:num w:numId="45" w16cid:durableId="578712880">
    <w:abstractNumId w:val="12"/>
  </w:num>
  <w:num w:numId="46" w16cid:durableId="41563804">
    <w:abstractNumId w:val="14"/>
  </w:num>
  <w:num w:numId="47" w16cid:durableId="1097366841">
    <w:abstractNumId w:val="13"/>
  </w:num>
  <w:num w:numId="48" w16cid:durableId="14151240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0/2026"/>
    <w:docVar w:name="dvlangue" w:val="CS"/>
    <w:docVar w:name="dvnumam" w:val="0"/>
    <w:docVar w:name="dvpe" w:val="781.431"/>
    <w:docVar w:name="dvrapporteur" w:val="Zpravodajka: "/>
    <w:docVar w:name="dvtitre" w:val="Usnesení Evropského parlamentu ze dne 20. května 2026 o dopadu provádění směrnice 2014/89/EU o územním plánování námořních prostor na rybolov ve vybraných rybolovných oblastech a mořských pánvích (2024/2126(INI))"/>
  </w:docVars>
  <w:rsids>
    <w:rsidRoot w:val="0074590E"/>
    <w:rsid w:val="00002272"/>
    <w:rsid w:val="00064002"/>
    <w:rsid w:val="000677B9"/>
    <w:rsid w:val="000831BA"/>
    <w:rsid w:val="000A42CC"/>
    <w:rsid w:val="000E50FF"/>
    <w:rsid w:val="000E7DD9"/>
    <w:rsid w:val="0010095E"/>
    <w:rsid w:val="00105824"/>
    <w:rsid w:val="00125B37"/>
    <w:rsid w:val="00144BF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47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5DB"/>
    <w:rsid w:val="006631B6"/>
    <w:rsid w:val="00680577"/>
    <w:rsid w:val="006F74FA"/>
    <w:rsid w:val="00731ADD"/>
    <w:rsid w:val="00734777"/>
    <w:rsid w:val="0074590E"/>
    <w:rsid w:val="00747932"/>
    <w:rsid w:val="00751A4A"/>
    <w:rsid w:val="00756632"/>
    <w:rsid w:val="00762C74"/>
    <w:rsid w:val="0076431A"/>
    <w:rsid w:val="00786EC0"/>
    <w:rsid w:val="007D1690"/>
    <w:rsid w:val="007E22AD"/>
    <w:rsid w:val="00817416"/>
    <w:rsid w:val="00842779"/>
    <w:rsid w:val="00865F67"/>
    <w:rsid w:val="00871445"/>
    <w:rsid w:val="00881A7B"/>
    <w:rsid w:val="008840E5"/>
    <w:rsid w:val="00887B3E"/>
    <w:rsid w:val="008C2AC6"/>
    <w:rsid w:val="009255C0"/>
    <w:rsid w:val="00930C23"/>
    <w:rsid w:val="0093193B"/>
    <w:rsid w:val="009509D8"/>
    <w:rsid w:val="00950B64"/>
    <w:rsid w:val="00981893"/>
    <w:rsid w:val="00A1687D"/>
    <w:rsid w:val="00A434CA"/>
    <w:rsid w:val="00A43E52"/>
    <w:rsid w:val="00A4678D"/>
    <w:rsid w:val="00A705B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880"/>
    <w:rsid w:val="00C61C0C"/>
    <w:rsid w:val="00C941CB"/>
    <w:rsid w:val="00CC13B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5F6"/>
    <w:rsid w:val="00F075DC"/>
    <w:rsid w:val="00F149E9"/>
    <w:rsid w:val="00F5134D"/>
    <w:rsid w:val="00F74202"/>
    <w:rsid w:val="00F87713"/>
    <w:rsid w:val="00F95439"/>
    <w:rsid w:val="00FA55D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9B037"/>
  <w15:chartTrackingRefBased/>
  <w15:docId w15:val="{8AFBF333-689E-4973-9BF3-7A689677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44B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44B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44B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44B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44B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44BFF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144BFF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144BFF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144BFF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144B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4B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44BFF"/>
    <w:pPr>
      <w:spacing w:after="240"/>
    </w:pPr>
  </w:style>
  <w:style w:type="paragraph" w:customStyle="1" w:styleId="TOCPage">
    <w:name w:val="TOC Page"/>
    <w:basedOn w:val="Normal"/>
    <w:next w:val="TOC1"/>
    <w:rsid w:val="00144BF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44B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44BFF"/>
    <w:rPr>
      <w:b/>
    </w:rPr>
  </w:style>
  <w:style w:type="paragraph" w:customStyle="1" w:styleId="NormalHanging12a">
    <w:name w:val="NormalHanging12a"/>
    <w:basedOn w:val="Normal"/>
    <w:link w:val="NormalHanging12aChar"/>
    <w:rsid w:val="00144B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4BFF"/>
    <w:pPr>
      <w:spacing w:after="480"/>
      <w:ind w:left="1417"/>
    </w:pPr>
  </w:style>
  <w:style w:type="paragraph" w:customStyle="1" w:styleId="CoverNormal">
    <w:name w:val="CoverNormal"/>
    <w:basedOn w:val="Normal"/>
    <w:rsid w:val="00144BFF"/>
    <w:pPr>
      <w:ind w:left="1418"/>
    </w:pPr>
  </w:style>
  <w:style w:type="paragraph" w:customStyle="1" w:styleId="CoverReference">
    <w:name w:val="CoverReference"/>
    <w:basedOn w:val="Normal"/>
    <w:rsid w:val="00144BFF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44B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4BF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4B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BFF"/>
    <w:rPr>
      <w:sz w:val="24"/>
      <w:lang w:val="cs-CZ"/>
    </w:rPr>
  </w:style>
  <w:style w:type="paragraph" w:customStyle="1" w:styleId="EPBody">
    <w:name w:val="EPBody"/>
    <w:basedOn w:val="Normal"/>
    <w:rsid w:val="00144B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Subheading">
    <w:name w:val="Subheading"/>
    <w:basedOn w:val="Normal"/>
    <w:rsid w:val="00144BFF"/>
    <w:pPr>
      <w:spacing w:before="480" w:after="240"/>
    </w:pPr>
    <w:rPr>
      <w:b/>
      <w:i/>
    </w:rPr>
  </w:style>
  <w:style w:type="paragraph" w:customStyle="1" w:styleId="EPFooter">
    <w:name w:val="EPFooter"/>
    <w:basedOn w:val="Normal"/>
    <w:rsid w:val="00144B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4BFF"/>
    <w:pPr>
      <w:spacing w:before="480" w:after="240"/>
    </w:pPr>
  </w:style>
  <w:style w:type="paragraph" w:styleId="Footer">
    <w:name w:val="footer"/>
    <w:basedOn w:val="Normal"/>
    <w:link w:val="FooterChar"/>
    <w:rsid w:val="00144B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4BFF"/>
    <w:rPr>
      <w:sz w:val="24"/>
      <w:lang w:val="cs-CZ"/>
    </w:rPr>
  </w:style>
  <w:style w:type="paragraph" w:styleId="ListParagraph">
    <w:name w:val="List Paragraph"/>
    <w:basedOn w:val="Normal"/>
    <w:uiPriority w:val="34"/>
    <w:qFormat/>
    <w:rsid w:val="00144BFF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character" w:styleId="Strong">
    <w:name w:val="Strong"/>
    <w:basedOn w:val="DefaultParagraphFont"/>
    <w:qFormat/>
    <w:rsid w:val="00144BFF"/>
    <w:rPr>
      <w:b/>
      <w:bCs/>
    </w:rPr>
  </w:style>
  <w:style w:type="paragraph" w:customStyle="1" w:styleId="Normal24a">
    <w:name w:val="Normal24a"/>
    <w:basedOn w:val="Normal"/>
    <w:rsid w:val="00144BFF"/>
    <w:pPr>
      <w:spacing w:after="480"/>
    </w:pPr>
  </w:style>
  <w:style w:type="paragraph" w:customStyle="1" w:styleId="NormalBoldCenter">
    <w:name w:val="NormalBoldCenter"/>
    <w:basedOn w:val="Normal"/>
    <w:rsid w:val="00144BFF"/>
    <w:pPr>
      <w:jc w:val="center"/>
    </w:pPr>
    <w:rPr>
      <w:b/>
    </w:rPr>
  </w:style>
  <w:style w:type="paragraph" w:customStyle="1" w:styleId="Footprint12b">
    <w:name w:val="Footprint12b"/>
    <w:basedOn w:val="Normal"/>
    <w:rsid w:val="00144BF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44BFF"/>
    <w:rPr>
      <w:szCs w:val="24"/>
    </w:rPr>
  </w:style>
  <w:style w:type="character" w:styleId="Hyperlink">
    <w:name w:val="Hyperlink"/>
    <w:basedOn w:val="DefaultParagraphFont"/>
    <w:rsid w:val="00144B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B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4BFF"/>
    <w:rPr>
      <w:sz w:val="24"/>
      <w:lang w:val="cs-CZ"/>
    </w:rPr>
  </w:style>
  <w:style w:type="character" w:styleId="CommentReference">
    <w:name w:val="annotation reference"/>
    <w:basedOn w:val="DefaultParagraphFont"/>
    <w:rsid w:val="00144B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4B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4BF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44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4BFF"/>
    <w:rPr>
      <w:b/>
      <w:bCs/>
      <w:lang w:val="cs-CZ"/>
    </w:rPr>
  </w:style>
  <w:style w:type="character" w:styleId="FollowedHyperlink">
    <w:name w:val="FollowedHyperlink"/>
    <w:basedOn w:val="DefaultParagraphFont"/>
    <w:rsid w:val="00144BFF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44BFF"/>
    <w:rPr>
      <w:sz w:val="24"/>
      <w:lang w:val="cs-CZ"/>
    </w:rPr>
  </w:style>
  <w:style w:type="paragraph" w:customStyle="1" w:styleId="RollCallVotes">
    <w:name w:val="RollCallVotes"/>
    <w:basedOn w:val="Normal"/>
    <w:rsid w:val="00144BF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44BF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44BF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44BFF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8/105/oj" TargetMode="External"/><Relationship Id="rId13" Type="http://schemas.openxmlformats.org/officeDocument/2006/relationships/hyperlink" Target="http://data.europa.eu/eli/C/2023/1060/oj" TargetMode="External"/><Relationship Id="rId3" Type="http://schemas.openxmlformats.org/officeDocument/2006/relationships/hyperlink" Target="http://data.europa.eu/eli/reg/2013/1380/oj" TargetMode="External"/><Relationship Id="rId7" Type="http://schemas.openxmlformats.org/officeDocument/2006/relationships/hyperlink" Target="http://data.europa.eu/eli/dir/2000/60/oj" TargetMode="External"/><Relationship Id="rId12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dir/2008/56/oj" TargetMode="External"/><Relationship Id="rId1" Type="http://schemas.openxmlformats.org/officeDocument/2006/relationships/hyperlink" Target="http://data.europa.eu/eli/dir/2014/89/oj" TargetMode="External"/><Relationship Id="rId6" Type="http://schemas.openxmlformats.org/officeDocument/2006/relationships/hyperlink" Target="http://data.europa.eu/eli/dir/2009/147/oj" TargetMode="External"/><Relationship Id="rId11" Type="http://schemas.openxmlformats.org/officeDocument/2006/relationships/hyperlink" Target="http://data.europa.eu/eli/dir/2005/35/oj" TargetMode="External"/><Relationship Id="rId5" Type="http://schemas.openxmlformats.org/officeDocument/2006/relationships/hyperlink" Target="http://data.europa.eu/eli/dir/1992/43/oj" TargetMode="External"/><Relationship Id="rId10" Type="http://schemas.openxmlformats.org/officeDocument/2006/relationships/hyperlink" Target="http://data.europa.eu/eli/dir/1991/676/oj" TargetMode="External"/><Relationship Id="rId4" Type="http://schemas.openxmlformats.org/officeDocument/2006/relationships/hyperlink" Target="http://data.europa.eu/eli/reg/2021/1139/oj" TargetMode="External"/><Relationship Id="rId9" Type="http://schemas.openxmlformats.org/officeDocument/2006/relationships/hyperlink" Target="http://data.europa.eu/eli/dir/2024/3019/oj" TargetMode="External"/><Relationship Id="rId14" Type="http://schemas.openxmlformats.org/officeDocument/2006/relationships/hyperlink" Target="http://data.europa.eu/eli/C/2024/573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7923</Words>
  <Characters>48744</Characters>
  <Application>Microsoft Office Word</Application>
  <DocSecurity>0</DocSecurity>
  <Lines>2437</Lines>
  <Paragraphs>1011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2026-06-26T09:19:00Z</dcterms:created>
  <dcterms:modified xsi:type="dcterms:W3CDTF">2026-06-26T09:19:00Z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A10-0120/2026</vt:lpwstr>
  </property>
  <property fmtid="{D5CDD505-2E9C-101B-9397-08002B2CF9AE}" pid="4" name="&lt;Type&gt;">
    <vt:lpwstr>RR</vt:lpwstr>
  </property>
</Properties>
</file>