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043C" w14:paraId="4B6D2A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9139E6" w14:textId="77777777" w:rsidR="00751A4A" w:rsidRPr="00B6043C" w:rsidRDefault="00323451" w:rsidP="0010095E">
            <w:pPr>
              <w:pStyle w:val="EPName"/>
            </w:pPr>
            <w:r w:rsidRPr="00B6043C">
              <w:t>Európai Parlament</w:t>
            </w:r>
          </w:p>
          <w:p w14:paraId="1766E8E0" w14:textId="77777777" w:rsidR="00751A4A" w:rsidRPr="00B604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043C">
              <w:t>2024</w:t>
            </w:r>
            <w:r w:rsidR="00817416" w:rsidRPr="00B6043C">
              <w:t>-202</w:t>
            </w:r>
            <w:r w:rsidRPr="00B6043C">
              <w:t>9</w:t>
            </w:r>
          </w:p>
        </w:tc>
        <w:tc>
          <w:tcPr>
            <w:tcW w:w="2268" w:type="dxa"/>
            <w:shd w:val="clear" w:color="auto" w:fill="auto"/>
          </w:tcPr>
          <w:p w14:paraId="62009551" w14:textId="77777777" w:rsidR="00751A4A" w:rsidRPr="00B6043C" w:rsidRDefault="00187494" w:rsidP="0010095E">
            <w:pPr>
              <w:pStyle w:val="EPLogo"/>
            </w:pPr>
            <w:r w:rsidRPr="00B6043C">
              <w:rPr>
                <w:noProof/>
                <w:lang w:eastAsia="ja-JP"/>
              </w:rPr>
              <w:drawing>
                <wp:inline distT="0" distB="0" distL="0" distR="0" wp14:anchorId="74CE3488" wp14:editId="25C248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AD3AF" w14:textId="77777777" w:rsidR="00D058B8" w:rsidRPr="00B6043C" w:rsidRDefault="00D058B8" w:rsidP="004C5D52">
      <w:pPr>
        <w:pStyle w:val="LineTop"/>
      </w:pPr>
    </w:p>
    <w:p w14:paraId="7297B2C5" w14:textId="77777777" w:rsidR="00680577" w:rsidRPr="00B6043C" w:rsidRDefault="00323451" w:rsidP="00680577">
      <w:pPr>
        <w:pStyle w:val="EPBodyTA1"/>
      </w:pPr>
      <w:r w:rsidRPr="00B6043C">
        <w:t>ELFOGADOTT SZÖVEGEK</w:t>
      </w:r>
    </w:p>
    <w:p w14:paraId="40B2135F" w14:textId="77777777" w:rsidR="00D058B8" w:rsidRPr="00B6043C" w:rsidRDefault="00D058B8" w:rsidP="00D058B8">
      <w:pPr>
        <w:pStyle w:val="LineBottom"/>
      </w:pPr>
    </w:p>
    <w:p w14:paraId="0A9DFB42" w14:textId="31F6B5D8" w:rsidR="00323451" w:rsidRPr="00B6043C" w:rsidRDefault="00323451" w:rsidP="00323451">
      <w:pPr>
        <w:pStyle w:val="ATHeading1"/>
      </w:pPr>
      <w:bookmarkStart w:id="0" w:name="TANumber"/>
      <w:r w:rsidRPr="00B6043C">
        <w:t>P10_TA(2026)0</w:t>
      </w:r>
      <w:r w:rsidR="00B6043C" w:rsidRPr="00B6043C">
        <w:t>181</w:t>
      </w:r>
      <w:bookmarkEnd w:id="0"/>
    </w:p>
    <w:p w14:paraId="69BCBAFC" w14:textId="77777777" w:rsidR="00323451" w:rsidRPr="00B6043C" w:rsidRDefault="00323451" w:rsidP="00323451">
      <w:pPr>
        <w:pStyle w:val="ATHeading2"/>
      </w:pPr>
      <w:bookmarkStart w:id="1" w:name="title"/>
      <w:r w:rsidRPr="00B6043C">
        <w:t>A tengeri területrendezés keretének létrehozásáról szóló 2014/89/EU irányelv végrehajtásának hatása a kiválasztott halászati területeken és tengeri medencékben folytatott halászatra</w:t>
      </w:r>
      <w:bookmarkEnd w:id="1"/>
    </w:p>
    <w:p w14:paraId="085E559A" w14:textId="77777777" w:rsidR="00323451" w:rsidRPr="00B6043C" w:rsidRDefault="00323451" w:rsidP="00323451">
      <w:pPr>
        <w:rPr>
          <w:i/>
          <w:vanish/>
        </w:rPr>
      </w:pPr>
      <w:r w:rsidRPr="00B6043C">
        <w:rPr>
          <w:i/>
        </w:rPr>
        <w:fldChar w:fldCharType="begin"/>
      </w:r>
      <w:r w:rsidRPr="00B6043C">
        <w:rPr>
          <w:i/>
        </w:rPr>
        <w:instrText xml:space="preserve"> TC"(</w:instrText>
      </w:r>
      <w:bookmarkStart w:id="2" w:name="DocNumber"/>
      <w:r w:rsidRPr="00B6043C">
        <w:rPr>
          <w:i/>
        </w:rPr>
        <w:instrText>A10-0120/2026</w:instrText>
      </w:r>
      <w:bookmarkEnd w:id="2"/>
      <w:r w:rsidRPr="00B6043C">
        <w:rPr>
          <w:i/>
        </w:rPr>
        <w:instrText xml:space="preserve"> - Előadó: Stéphanie Yon-Courtin)"\l3 \n&gt; \* MERGEFORMAT </w:instrText>
      </w:r>
      <w:r w:rsidRPr="00B6043C">
        <w:rPr>
          <w:i/>
        </w:rPr>
        <w:fldChar w:fldCharType="end"/>
      </w:r>
    </w:p>
    <w:p w14:paraId="2606B8AF" w14:textId="77777777" w:rsidR="00323451" w:rsidRPr="00B6043C" w:rsidRDefault="00323451" w:rsidP="00323451">
      <w:pPr>
        <w:rPr>
          <w:vanish/>
        </w:rPr>
      </w:pPr>
      <w:bookmarkStart w:id="3" w:name="Commission"/>
      <w:r w:rsidRPr="00B6043C">
        <w:rPr>
          <w:vanish/>
        </w:rPr>
        <w:t>Halászati Bizottság</w:t>
      </w:r>
      <w:bookmarkEnd w:id="3"/>
    </w:p>
    <w:p w14:paraId="6AE7CCD7" w14:textId="77777777" w:rsidR="00323451" w:rsidRPr="00B6043C" w:rsidRDefault="00323451" w:rsidP="00323451">
      <w:pPr>
        <w:rPr>
          <w:vanish/>
        </w:rPr>
      </w:pPr>
      <w:bookmarkStart w:id="4" w:name="PE"/>
      <w:r w:rsidRPr="00B6043C">
        <w:rPr>
          <w:vanish/>
        </w:rPr>
        <w:t>PE781.431</w:t>
      </w:r>
      <w:bookmarkEnd w:id="4"/>
    </w:p>
    <w:p w14:paraId="59AA47F2" w14:textId="60AAEAC5" w:rsidR="00323451" w:rsidRPr="00B6043C" w:rsidRDefault="00323451" w:rsidP="00323451">
      <w:pPr>
        <w:pStyle w:val="ATHeading3"/>
      </w:pPr>
      <w:bookmarkStart w:id="5" w:name="Sujet"/>
      <w:r w:rsidRPr="00B6043C">
        <w:t xml:space="preserve">Az Európai Parlament 2026. </w:t>
      </w:r>
      <w:r w:rsidR="002B105C" w:rsidRPr="00B6043C">
        <w:t>május 2</w:t>
      </w:r>
      <w:r w:rsidR="00374AF4" w:rsidRPr="00B6043C">
        <w:t>0</w:t>
      </w:r>
      <w:r w:rsidRPr="00B6043C">
        <w:t>-i állásfoglalása a tengeri területrendezés keretének létrehozásáról szóló 2014/89/EU irányelv végrehajtásának egyes halászati területeken és tengeri medencékben folytatott halászatra gyakorolt hatásáról</w:t>
      </w:r>
      <w:bookmarkEnd w:id="5"/>
      <w:r w:rsidRPr="00B6043C">
        <w:t xml:space="preserve"> </w:t>
      </w:r>
      <w:bookmarkStart w:id="6" w:name="References"/>
      <w:r w:rsidRPr="00B6043C">
        <w:t>(2024/2126(INI))</w:t>
      </w:r>
      <w:bookmarkEnd w:id="6"/>
    </w:p>
    <w:p w14:paraId="6265ADF2" w14:textId="77777777" w:rsidR="003857C1" w:rsidRPr="00B6043C" w:rsidRDefault="003857C1" w:rsidP="003857C1">
      <w:pPr>
        <w:pStyle w:val="EPComma"/>
      </w:pPr>
      <w:bookmarkStart w:id="7" w:name="TextBodyBegin"/>
      <w:bookmarkEnd w:id="7"/>
      <w:r w:rsidRPr="00B6043C">
        <w:rPr>
          <w:i/>
        </w:rPr>
        <w:t>Az Európai Parlament</w:t>
      </w:r>
      <w:r w:rsidRPr="00B6043C">
        <w:t>,</w:t>
      </w:r>
    </w:p>
    <w:p w14:paraId="71CF14CC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tengeri területrendezés keretének létrehozásáról szóló, 2014. július 23-i 2014/89/EU európai parlamenti és tanácsi irányelvre</w:t>
      </w:r>
      <w:r w:rsidRPr="00B6043C">
        <w:rPr>
          <w:rStyle w:val="FootnoteReference"/>
        </w:rPr>
        <w:footnoteReference w:id="1"/>
      </w:r>
      <w:r w:rsidRPr="00B6043C">
        <w:t xml:space="preserve"> (tengeri területrendezési irányelv vagy MSP-irányelv),</w:t>
      </w:r>
    </w:p>
    <w:p w14:paraId="305DC7ED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tengeri környezetvédelmi politika területén a közösségi fellépés kereteinek meghatározásáról szóló, 2008. június 17-i 2008/56/EK európai parlamenti és tanácsi irányelvre (tengervédelmi stratégiáról szóló keretirányelv)</w:t>
      </w:r>
      <w:r w:rsidRPr="00B6043C">
        <w:rPr>
          <w:rStyle w:val="FootnoteReference"/>
        </w:rPr>
        <w:footnoteReference w:id="2"/>
      </w:r>
      <w:r w:rsidRPr="00B6043C">
        <w:t>,</w:t>
      </w:r>
    </w:p>
    <w:p w14:paraId="18CBA5A4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közös halászati politikáról, az 1954/2003/EK és az 1224/2009/EK tanácsi rendelet módosításáról, valamint a 2371/2002/EK és a 639/2004/EK tanácsi rendelet és a 2004/585/EK tanácsi határozat hatályon kívül helyezéséről szóló, 2013. december 11-i 1380/2013/EU európai parlamenti és tanácsi rendeletre</w:t>
      </w:r>
      <w:r w:rsidRPr="00B6043C">
        <w:rPr>
          <w:rStyle w:val="FootnoteReference"/>
        </w:rPr>
        <w:footnoteReference w:id="3"/>
      </w:r>
      <w:r w:rsidRPr="00B6043C">
        <w:t xml:space="preserve"> (a közös halászati politikáról szóló rendelet),</w:t>
      </w:r>
    </w:p>
    <w:p w14:paraId="579E568C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az Európai Tengerügyi, Halászati és Akvakultúra-alap létrehozásáról és az (EU) 2017/1004 rendelet módosításáról szóló, 2021. július 7-i (EU) 2021/1139 európai parlamenti és tanácsi rendeletre</w:t>
      </w:r>
      <w:r w:rsidRPr="00B6043C">
        <w:rPr>
          <w:rStyle w:val="FootnoteReference"/>
        </w:rPr>
        <w:footnoteReference w:id="4"/>
      </w:r>
      <w:r w:rsidRPr="00B6043C">
        <w:t>,</w:t>
      </w:r>
    </w:p>
    <w:p w14:paraId="706B2E1F" w14:textId="77777777" w:rsidR="003857C1" w:rsidRPr="00B6043C" w:rsidRDefault="003857C1" w:rsidP="002B105C">
      <w:pPr>
        <w:pStyle w:val="NormalHanging12a"/>
        <w:widowControl/>
      </w:pPr>
      <w:r w:rsidRPr="00B6043C">
        <w:lastRenderedPageBreak/>
        <w:t>–</w:t>
      </w:r>
      <w:r w:rsidRPr="00B6043C">
        <w:tab/>
        <w:t>tekintettel a természetes élőhelyek, valamint a vadon élő állatok és növények védelméről szóló, 1992. május 21-i 92/43/EGK tanácsi irányelvre</w:t>
      </w:r>
      <w:r w:rsidRPr="00B6043C">
        <w:rPr>
          <w:rStyle w:val="FootnoteReference"/>
        </w:rPr>
        <w:footnoteReference w:id="5"/>
      </w:r>
      <w:r w:rsidRPr="00B6043C">
        <w:t xml:space="preserve"> (élőhelyvédelmi irányelv),</w:t>
      </w:r>
    </w:p>
    <w:p w14:paraId="5AD53F5D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vadon élő madarak védelméről szóló, 2009. november 30-i 2009/147/EK európai parlamenti és tanácsi irányelvre</w:t>
      </w:r>
      <w:r w:rsidRPr="00B6043C">
        <w:rPr>
          <w:rStyle w:val="FootnoteReference"/>
        </w:rPr>
        <w:footnoteReference w:id="6"/>
      </w:r>
      <w:r w:rsidRPr="00B6043C">
        <w:t xml:space="preserve"> (madárvédelmi irányelv),</w:t>
      </w:r>
    </w:p>
    <w:p w14:paraId="41ECC666" w14:textId="4915FD6F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tengeri területrendezés keretének létrehozásáról szóló 2014/89/EU irányelv végrehajtásában elért előrehaladásról szóló</w:t>
      </w:r>
      <w:r w:rsidR="00775642" w:rsidRPr="00B6043C">
        <w:t>,</w:t>
      </w:r>
      <w:r w:rsidRPr="00B6043C">
        <w:t xml:space="preserve"> 2022. május 3-i bizottsági jelentésre (COM(2022)0185),</w:t>
      </w:r>
    </w:p>
    <w:p w14:paraId="33841B4F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vízminőségről és a szennyezéselhárításról szóló irányelvekre (víz-keretirányelv</w:t>
      </w:r>
      <w:r w:rsidRPr="00B6043C">
        <w:rPr>
          <w:rStyle w:val="FootnoteReference"/>
        </w:rPr>
        <w:footnoteReference w:id="7"/>
      </w:r>
      <w:r w:rsidRPr="00B6043C">
        <w:t>, 2008/105/EK irányelv</w:t>
      </w:r>
      <w:r w:rsidRPr="00B6043C">
        <w:rPr>
          <w:rStyle w:val="FootnoteReference"/>
        </w:rPr>
        <w:footnoteReference w:id="8"/>
      </w:r>
      <w:r w:rsidRPr="00B6043C">
        <w:t>, (EU) 2024/3019 irányelv</w:t>
      </w:r>
      <w:r w:rsidRPr="00B6043C">
        <w:rPr>
          <w:rStyle w:val="FootnoteReference"/>
        </w:rPr>
        <w:footnoteReference w:id="9"/>
      </w:r>
      <w:r w:rsidRPr="00B6043C">
        <w:t>, 91/676/EGK tanácsi irányelv</w:t>
      </w:r>
      <w:r w:rsidRPr="00B6043C">
        <w:rPr>
          <w:rStyle w:val="FootnoteReference"/>
        </w:rPr>
        <w:footnoteReference w:id="10"/>
      </w:r>
      <w:r w:rsidRPr="00B6043C">
        <w:t>, 2005/35/EK irányelv</w:t>
      </w:r>
      <w:r w:rsidRPr="00B6043C">
        <w:rPr>
          <w:rStyle w:val="FootnoteReference"/>
        </w:rPr>
        <w:footnoteReference w:id="11"/>
      </w:r>
      <w:r w:rsidRPr="00B6043C">
        <w:t xml:space="preserve"> és 1907/2006/EK rendelet</w:t>
      </w:r>
      <w:r w:rsidRPr="00B6043C">
        <w:rPr>
          <w:rStyle w:val="FootnoteReference"/>
        </w:rPr>
        <w:footnoteReference w:id="12"/>
      </w:r>
      <w:r w:rsidRPr="00B6043C">
        <w:t>),</w:t>
      </w:r>
    </w:p>
    <w:p w14:paraId="6E1880E2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„A 2030-ig tartó időszakra szóló uniós biodiverzitási stratégia – Hozzuk vissza a természetet az életünkbe!” című, 2020. május 20-i bizottsági közleményre (COM(2020)0380), és az erről szóló, 2021. június 9-i európai parlamenti állásfoglalásra</w:t>
      </w:r>
      <w:r w:rsidRPr="00B6043C">
        <w:rPr>
          <w:rStyle w:val="FootnoteReference"/>
        </w:rPr>
        <w:footnoteReference w:id="13"/>
      </w:r>
      <w:r w:rsidRPr="00B6043C">
        <w:t>,</w:t>
      </w:r>
    </w:p>
    <w:p w14:paraId="3D15607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lastRenderedPageBreak/>
        <w:t>–</w:t>
      </w:r>
      <w:r w:rsidRPr="00B6043C">
        <w:tab/>
        <w:t>tekintettel az ENSZ Élelmezési és Mezőgazdasági Szervezetének (FAO) felelősségteljes halászatra vonatkozó 1995. évi magatartási kódexére és különösen annak 10. cikkére,</w:t>
      </w:r>
    </w:p>
    <w:p w14:paraId="72672CF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–</w:t>
      </w:r>
      <w:r w:rsidRPr="00B6043C">
        <w:tab/>
        <w:t>tekintettel arra, hogy a FAO az élelmezésbiztonsággal és a szegénység felszámolásával összefüggésben önkéntes alapon teljesítendő iránymutatásokat adott ki a fenntartható kisüzemi halászat biztosítására vonatkozóan,</w:t>
      </w:r>
    </w:p>
    <w:p w14:paraId="18B5D3E6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„Az európai óceánügyi paktum” című, 2025. június 5-i bizottsági közleményre (COM(2025)0281),</w:t>
      </w:r>
    </w:p>
    <w:p w14:paraId="128ED33B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tengeri szélparkok és egyéb megújulóenergia-rendszerek halászati ágazatra gyakorolt hatásáról szóló, 2021. július 7-i állásfoglalására</w:t>
      </w:r>
      <w:r w:rsidRPr="00B6043C">
        <w:rPr>
          <w:rStyle w:val="FootnoteReference"/>
        </w:rPr>
        <w:footnoteReference w:id="14"/>
      </w:r>
      <w:r w:rsidRPr="00B6043C">
        <w:t>,</w:t>
      </w:r>
    </w:p>
    <w:p w14:paraId="0C4A4C83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„Az óceánpolitikának adandó lendület: az óceánpolitikai irányítás és a biodiverzitás megerősítése” című, 2022. október 6-i állásfoglalására</w:t>
      </w:r>
      <w:r w:rsidRPr="00B6043C">
        <w:rPr>
          <w:rStyle w:val="FootnoteReference"/>
        </w:rPr>
        <w:footnoteReference w:id="15"/>
      </w:r>
      <w:r w:rsidRPr="00B6043C">
        <w:t>,</w:t>
      </w:r>
    </w:p>
    <w:p w14:paraId="1965FB69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2023. május 9-i állásfoglalására a halászat közös irányításáról az EU-ban és a halászati ágazat hozzájárulásáról a gazdálkodási intézkedések végrehajtásához</w:t>
      </w:r>
      <w:r w:rsidRPr="00B6043C">
        <w:rPr>
          <w:rStyle w:val="FootnoteReference"/>
        </w:rPr>
        <w:footnoteReference w:id="16"/>
      </w:r>
      <w:r w:rsidRPr="00B6043C">
        <w:t>,</w:t>
      </w:r>
    </w:p>
    <w:p w14:paraId="786A98FF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közös halászati politikáról szóló rendelet végrehajtásának jelenlegi állásáról és a jövőbeli kilátásokról szóló, 2024. január 18-i állásfoglalására</w:t>
      </w:r>
      <w:r w:rsidRPr="00B6043C">
        <w:rPr>
          <w:rStyle w:val="FootnoteReference"/>
        </w:rPr>
        <w:footnoteReference w:id="17"/>
      </w:r>
      <w:r w:rsidRPr="00B6043C">
        <w:t>,</w:t>
      </w:r>
    </w:p>
    <w:p w14:paraId="2C7C7522" w14:textId="722A79FC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„Stratégiai iránymutatások a fenntarthatóbb és versenyképesebb uniós akvakultúra érdekében a 2021 és 2030 közötti időszakra” című, 2021. május 12-i bizottsági közleményre (COM(2021)0236),</w:t>
      </w:r>
    </w:p>
    <w:p w14:paraId="3DA674FD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„A Bizottság jelentése a Tanácsnak és az Európai Parlamentnek a tengervédelmi stratégiáról szóló keretirányelv (2008/56/EK) 17. cikke alapján frissített tagállami intézkedési programok bizottsági értékeléséről” című dokumentumot kísérő bizottsági szolgálati munkadokumentumra (SWD(2025)0003),</w:t>
      </w:r>
    </w:p>
    <w:p w14:paraId="35E2ED5F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az Európai Számvevőszék „Az uniós akvakultúra-politika – A nagyobb mértékű uniós finanszírozás ellenére a termelés stagnál és az eredmények nem egyértelműek” című, 25/2023. sz. különjelentésére,</w:t>
      </w:r>
    </w:p>
    <w:p w14:paraId="5DB918B9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Parlamenti Kutatási Szolgáltatások Főigazgatósága által 2025 októberében közzétett, „Fisheries in maritime spatial planning” [Halászat a tengeri területrendezésben”] című tájékoztatóra,</w:t>
      </w:r>
    </w:p>
    <w:p w14:paraId="20F6486D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Parlamenti Kutatási Szolgáltatások Főigazgatósága által 2025 decemberében közzétett, „Implementation of the Maritime Spatial Planning Directive: Impact on fisheries in selected fishing areas and sea basins [„A tengeri területrendezési irányelv végrehajtása: A kiválasztott halászati területeken és tengeri medencékben folytatott halászatra gyakorolt hatás”] című tanulmányra,</w:t>
      </w:r>
    </w:p>
    <w:p w14:paraId="2345418F" w14:textId="77777777" w:rsidR="003857C1" w:rsidRPr="00B6043C" w:rsidRDefault="003857C1" w:rsidP="002B105C">
      <w:pPr>
        <w:pStyle w:val="NormalHanging12a"/>
        <w:widowControl/>
      </w:pPr>
      <w:r w:rsidRPr="00B6043C">
        <w:lastRenderedPageBreak/>
        <w:t>–</w:t>
      </w:r>
      <w:r w:rsidRPr="00B6043C">
        <w:tab/>
        <w:t>tekintettel a 2022. évi kunming-montreali globális biodiverzitás-megőrzési keretstratégiára,</w:t>
      </w:r>
    </w:p>
    <w:p w14:paraId="32F0DB20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az Éghajlatváltozási Kormányközi Testületnek a változó éghajlattal összefüggésben az óceánokról és a krioszféráról szóló, 2019. szeptemberi jelentésére,</w:t>
      </w:r>
    </w:p>
    <w:p w14:paraId="5D131BBC" w14:textId="7D56C33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eljárási szabályzata 55. cikkére, valamint az Elnökök Értekezlete 2002. december 12-i, a saját kezdeményezésű jelentések készítésének engedélyezési eljárásáról szóló határozata 1. cikke (1) bekezdésének e) pontjára és 3. mellékletére,</w:t>
      </w:r>
    </w:p>
    <w:p w14:paraId="411BF595" w14:textId="77777777" w:rsidR="003857C1" w:rsidRPr="00B6043C" w:rsidRDefault="003857C1" w:rsidP="002B105C">
      <w:pPr>
        <w:pStyle w:val="NormalHanging12a"/>
        <w:widowControl/>
      </w:pPr>
      <w:r w:rsidRPr="00B6043C">
        <w:t>–</w:t>
      </w:r>
      <w:r w:rsidRPr="00B6043C">
        <w:tab/>
        <w:t>tekintettel a Halászati Bizottság jelentésére (A10-0120/2026),</w:t>
      </w:r>
    </w:p>
    <w:p w14:paraId="68A9196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A.</w:t>
      </w:r>
      <w:r w:rsidRPr="00B6043C">
        <w:tab/>
        <w:t>mivel a különböző tevékenységekből és ágazatokból – például a halászatból, az akvakultúrából, a tengeri közlekedésből, a hajózásból, a tengeri megújuló energiából, a természetmegőrzésből, a tengeri kulturális örökség megőrzéséből, a tengerparti turizmusból, a szabadidős tevékenységekből, a tengerfenéki üledék kotrás révén történő kitermelésére és lerakására irányuló műveletekből, a víz alatti kábelek és csővezetékek használatából vagy a védelemből – származó, a tengeri térséghez való hozzáférésért folytatott fokozott verseny egyre nagyobb kumulatív nyomást gyakorol a tengeri ökoszisztémákra, és fokozza a tengeri területek használatával kapcsolatos konfliktusokat, amit tovább súlyosbít az intézményi és közigazgatási széttagoltság;</w:t>
      </w:r>
    </w:p>
    <w:p w14:paraId="3E28651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B.</w:t>
      </w:r>
      <w:r w:rsidRPr="00B6043C">
        <w:tab/>
        <w:t>mivel a halászat és az akvakultúra az EU biztonsága és szuverenitása szempontjából stratégiai ágazat, különösen az élelmezésbiztonság és a tengeri szuverenitás tekintetében, és hozzájárul a part menti közösségek versenyképességéhez és rezilienciájához; mivel az uniós halászati termékek egészségesek és gyakran helyi forrásból származnak, és az egységnyi ehető állati fehérjére jutó alacsony üvegházhatásúgáz-kibocsátás tekintetében az egyik legjobb profillal rendelkeznek; mivel ezért ezen ágazatok stratégiai értékét megfelelően el kell ismerni a tengeri területrendezésben;</w:t>
      </w:r>
    </w:p>
    <w:p w14:paraId="4A6724E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C.</w:t>
      </w:r>
      <w:r w:rsidRPr="00B6043C">
        <w:tab/>
        <w:t>mivel 2022-ben az EU tengeri eredetű élelmiszerekkel kapcsolatos önellátása 37,5%-ra csökkent, és az EU-ban fogyasztott tengeri eredetű élelmiszerek mintegy 80%-át importálták, ami külső forrásoktól való strukturális függőséget teremt, és gyengíti az EU élelmiszer-önrendelkezését; mivel ugyanakkor az uniós halászflotta az elmúlt évtizedben jelentősen csökkent, és jelenleg több mint 13%-kal kisebb, mint 2014-ben volt; mivel ez a csökkenés a tengeri térség használatáért folyó egyre növekvő versennyel párosulva veszélyezteti a halászati ágazat gazdasági életképességét, a generációs megújulást és a flotta azon képességét, hogy hozzájáruljon az EU élelmezésbiztonságához; mivel ezért a tengeri térséghez való megfelelő, kiegyensúlyozott és kiszámítható hozzáférés biztosítása elengedhetetlen a versenyképes uniós halászat fejlesztéséhez, amint azt az európai óceánügyi paktum is elismeri;</w:t>
      </w:r>
    </w:p>
    <w:p w14:paraId="6A01F1F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D.</w:t>
      </w:r>
      <w:r w:rsidRPr="00B6043C">
        <w:tab/>
        <w:t>mivel a változó geopolitikai környezet és a növekvő feszültségek a tengeri térség fokozott katonai használatához vezethetnek; mivel a tengeri területrendezésnek figyelembe kell vennie a védelmi és biztonsági vonatkozású tevékenységeket és műveleteket, például a kizárólagos gazdasági övezetek felügyeletét, a tengeri kereskedelem védelmét, a közös katonai gyakorlatokat, a tiltott kereskedelem elleni küzdelmet, az aknamentesítést, a kalózkodás elleni küzdelmet, valamint a légi és műholdas megfigyelést, továbbá ezek kölcsönhatását a tengerhez és a tengeri környezethez kapcsolódó gazdasági tevékenységekkel;</w:t>
      </w:r>
    </w:p>
    <w:p w14:paraId="73CAE87C" w14:textId="77777777" w:rsidR="003857C1" w:rsidRPr="00B6043C" w:rsidRDefault="003857C1" w:rsidP="002B105C">
      <w:pPr>
        <w:widowControl/>
        <w:spacing w:after="240" w:line="259" w:lineRule="auto"/>
        <w:ind w:left="567" w:hanging="567"/>
      </w:pPr>
      <w:r w:rsidRPr="00B6043C">
        <w:lastRenderedPageBreak/>
        <w:t>E.</w:t>
      </w:r>
      <w:r w:rsidRPr="00B6043C">
        <w:tab/>
        <w:t>mivel az Európai Számvevőszék a 22/2023. sz., „Tengeri megújuló energia az Unióban” című különjelentésében rámutatott a halászati ágazatbeli munkahelyek megszűnésének kockázatára; mivel a jelentés rámutatott a tengeri megújuló energia fejlesztéséből eredő, a halászatra gyakorolt fő gazdasági hatások számszerűsítésének hiányára, és arra a megállapításra jutott, hogy jobban fel kell tárni és kezelni kell a tengeri megújuló energia fejlesztésének a halászati ágazatra gyakorolt lehetséges negatív következményeit; mivel azt is megállapította, hogy a halpopuláció nagyobb léptékű javulása bizonytalan, de a tengeri megújulóenergia-területeken bizonyos mértékű halsűrűség-növekedés figyelhető meg, ami potenciális előnyöket jelez a halászok és a halászat számára;</w:t>
      </w:r>
    </w:p>
    <w:p w14:paraId="76652510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F.</w:t>
      </w:r>
      <w:r w:rsidRPr="00B6043C">
        <w:tab/>
        <w:t>mivel az EU jogilag kötelező erejű célt tűzött ki arra vonatkozóan, hogy 2030-ig tengeri területének legalább 20%-án hatékony és területalapú helyreállítási intézkedéseket vezessenek be;</w:t>
      </w:r>
    </w:p>
    <w:p w14:paraId="723A4C2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G.</w:t>
      </w:r>
      <w:r w:rsidRPr="00B6043C">
        <w:tab/>
        <w:t>mivel az EU kötelezettséget vállalt arra, hogy 2030-ra tengeri területének legalább 30%-át védelem alá helyezi;</w:t>
      </w:r>
    </w:p>
    <w:p w14:paraId="3B249733" w14:textId="77777777" w:rsidR="003857C1" w:rsidRPr="00B6043C" w:rsidRDefault="003857C1" w:rsidP="002B105C">
      <w:pPr>
        <w:pStyle w:val="NormalHanging12a"/>
        <w:widowControl/>
      </w:pPr>
      <w:r w:rsidRPr="00B6043C">
        <w:t>H.</w:t>
      </w:r>
      <w:r w:rsidRPr="00B6043C">
        <w:tab/>
        <w:t>mivel a tengeri területrendezésről szóló irányelv közös keretet hoz létre a tagállamok számára tengervizeik használatának megszervezésére, és célja a kék gazdaság fenntartható fejlődésének és növekedésének előmozdítása és az ágazatok közötti konfliktusok csökkentése, miközben önmagában nem vezet be új ágazatspecifikus kötelezettségeket; mivel az irányelv hajlamos előnyben részesíteni a tőkeigényes és térben kizárólagos gazdasági tevékenységek kiterjesztését, ami marginalizálhatja a tenger hagyományos, mobil és kollektív használatát, különösen a halászatot;</w:t>
      </w:r>
    </w:p>
    <w:p w14:paraId="05C95600" w14:textId="77777777" w:rsidR="003857C1" w:rsidRPr="00B6043C" w:rsidRDefault="003857C1" w:rsidP="002B105C">
      <w:pPr>
        <w:pStyle w:val="NormalHanging12a"/>
        <w:widowControl/>
      </w:pPr>
      <w:r w:rsidRPr="00B6043C">
        <w:t>I.</w:t>
      </w:r>
      <w:r w:rsidRPr="00B6043C">
        <w:tab/>
        <w:t>mivel az EU keretet – többek között határokon átnyúló együttműködési mechanizmusokat – biztosít a tengeri területrendezéshez; mivel a parti tagállamok felelősek a keret szerinti tervek elfogadásáért, többek között az ilyen tervek formátumának és tartalmának megtervezéséért és meghatározásáért, közigazgatási hagyományaikkal összhangban, valamint a tengeri térség különböző tevékenységek, illetve felhasználások közötti elosztásáért;</w:t>
      </w:r>
    </w:p>
    <w:p w14:paraId="17F4E2A5" w14:textId="77777777" w:rsidR="003857C1" w:rsidRPr="00B6043C" w:rsidRDefault="003857C1" w:rsidP="002B105C">
      <w:pPr>
        <w:pStyle w:val="NormalHanging12a"/>
        <w:widowControl/>
      </w:pPr>
      <w:r w:rsidRPr="00B6043C">
        <w:t>J.</w:t>
      </w:r>
      <w:r w:rsidRPr="00B6043C">
        <w:tab/>
        <w:t>mivel a tengeri területrendezési irányelv a tengeri térség és a tengeri erőforrások fenntartható használatának előmozdítása révén hozzájárul a környezetvédelemhez, és előírja, hogy a tagállamoknak ökoszisztéma-alapú megközelítést kell alkalmazniuk; mivel célja a környezetvédelmi, társadalmi és gazdasági célkitűzések közötti hatékony egyensúly biztosítása anélkül, hogy a hagyományos tevékenységeket szisztematikusan alárendelné más tevékenységeknek;</w:t>
      </w:r>
    </w:p>
    <w:p w14:paraId="28A7809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K.</w:t>
      </w:r>
      <w:r w:rsidRPr="00B6043C">
        <w:tab/>
        <w:t>mivel a tengeri területrendezési irányelv szorosan kapcsolódik más uniós jogszabályok, például a tengervédelmi stratégiáról szóló keretirányelv, a közös halászati politikáról szóló rendelet, az élőhelyvédelmi irányelv, a madárvédelmi irányelv és a víz-keretirányelv végrehajtásához; mivel jogilag kötelező erejű és jogilag nem kötelező erejű szakpolitikai kötelezettségvállalásokhoz, például a kunming-montreali globális biodiverzitás-megőrzési keretstratégiához is kapcsolódik;</w:t>
      </w:r>
    </w:p>
    <w:p w14:paraId="5D253AD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L.</w:t>
      </w:r>
      <w:r w:rsidRPr="00B6043C">
        <w:tab/>
        <w:t xml:space="preserve">mivel a tengeri területrendezési irányelv elfogadását követően a tengeri partszakasszal rendelkező 22 tagállamnak 2016-ig ki kellett jelölnie az illetékes hatóságokat, és 2021. </w:t>
      </w:r>
      <w:r w:rsidRPr="00B6043C">
        <w:lastRenderedPageBreak/>
        <w:t>március 31-ig nemzeti tengeri területrendezési terveket kellett elfogadnia tengervizeire vonatkozóan; mivel nyolc tagállam nem tartotta be ezt a határidőt;</w:t>
      </w:r>
    </w:p>
    <w:p w14:paraId="08495B7A" w14:textId="77777777" w:rsidR="003857C1" w:rsidRPr="00B6043C" w:rsidRDefault="003857C1" w:rsidP="002B105C">
      <w:pPr>
        <w:pStyle w:val="NormalHanging12a"/>
        <w:widowControl/>
      </w:pPr>
      <w:r w:rsidRPr="00B6043C">
        <w:t>M.</w:t>
      </w:r>
      <w:r w:rsidRPr="00B6043C">
        <w:tab/>
        <w:t>mivel a tengeri partszakasszal rendelkező 22 tagállam közül 20 fogadott el eddig tengeri területrendezési terveket, és sok tagállamban e tervek jelenleg felülvizsgálat alatt állnak;</w:t>
      </w:r>
    </w:p>
    <w:p w14:paraId="01471E95" w14:textId="77777777" w:rsidR="003857C1" w:rsidRPr="00B6043C" w:rsidRDefault="003857C1" w:rsidP="002B105C">
      <w:pPr>
        <w:pStyle w:val="NormalHanging12a"/>
        <w:widowControl/>
      </w:pPr>
      <w:r w:rsidRPr="00B6043C">
        <w:t>N.</w:t>
      </w:r>
      <w:r w:rsidRPr="00B6043C">
        <w:tab/>
        <w:t>mivel a tengeri területrendezési tervek kidolgozása során a tagállamoknak figyelembe kell venniük a környezeti, gazdasági, társadalmi és biztonsági szempontokat, a szárazföld és a tenger közötti kölcsönhatásokat és a határokon átnyúló együttműködést, és biztosítaniuk kell valamennyi érdekelt fél, köztük a halászok, a kagylóhalászok és képviseleti szervezeteik, valamint a legkülső régiók közösségeinek korai, folyamatos és hatékony bevonását alulról építkező megközelítés révén és a döntéshozatali folyamat egészében, biztosítva, hogy ez a részvétel megfelelő és érdemi legyen, és ne korlátozódjon pusztán konzultatív szerepre;</w:t>
      </w:r>
    </w:p>
    <w:p w14:paraId="206CE3A4" w14:textId="77777777" w:rsidR="003857C1" w:rsidRPr="00B6043C" w:rsidRDefault="003857C1" w:rsidP="002B105C">
      <w:pPr>
        <w:pStyle w:val="NormalHanging12a"/>
        <w:widowControl/>
      </w:pPr>
      <w:r w:rsidRPr="00B6043C">
        <w:t>O.</w:t>
      </w:r>
      <w:r w:rsidRPr="00B6043C">
        <w:tab/>
        <w:t>mivel a tengeri területrendezési irányelv végrehajtásának foka tagállamonként jelentősen eltér, a helyitől a központosítottabb rendszerekig terjedő igazgatási és irányítási struktúrák különbségei miatt; mivel a tengeri területrendezés hatásai tengermedencénként és területenként jelentősen eltérőek, és egyes tengerparti régiókban egyre inkább koncentrálódnak a területi korlátozások és az egymással versengő felhasználások, ami súlyosbítja az EU-n belüli területi egyenlőtlenségeket;</w:t>
      </w:r>
    </w:p>
    <w:p w14:paraId="0C65D62F" w14:textId="77777777" w:rsidR="003857C1" w:rsidRPr="00B6043C" w:rsidRDefault="003857C1" w:rsidP="002B105C">
      <w:pPr>
        <w:pStyle w:val="NormalHanging12a"/>
        <w:widowControl/>
      </w:pPr>
      <w:r w:rsidRPr="00B6043C">
        <w:t>P.</w:t>
      </w:r>
      <w:r w:rsidRPr="00B6043C">
        <w:tab/>
        <w:t>mivel a tagállamoknak össze kell hangolniuk terveiket más érintett tagállamokkal, és együtt kell működniük az érintett tengeri régió nem uniós országokbeli hatóságaival; mivel – tekintettel a tengeri régiók, alrégiók és tengerparti övezetek közötti különbségekre, nem helyénvaló egyenmegoldást előírni az együttműködés tekintetében;</w:t>
      </w:r>
    </w:p>
    <w:p w14:paraId="39D6929E" w14:textId="77777777" w:rsidR="003857C1" w:rsidRPr="00B6043C" w:rsidRDefault="003857C1" w:rsidP="002B105C">
      <w:pPr>
        <w:pStyle w:val="NormalHanging12a"/>
        <w:widowControl/>
      </w:pPr>
      <w:r w:rsidRPr="00B6043C">
        <w:t>Q.</w:t>
      </w:r>
      <w:r w:rsidRPr="00B6043C">
        <w:tab/>
        <w:t>mivel a tengeri területrendezési tervek jellegüket és tartalmukat tekintve jelentősen eltérnek egymástól, mivel a tengeri területrendezésről szóló irányelv nem határoz meg részletes kötelező kritériumokat a tervekre vonatkozóan, és jelentős rugalmasságot biztosít a tagállamok számára a tervek végrehajtása és részletes kialakítása tekintetében;</w:t>
      </w:r>
    </w:p>
    <w:p w14:paraId="77C388CE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R.</w:t>
      </w:r>
      <w:r w:rsidRPr="00B6043C">
        <w:tab/>
        <w:t>mivel nagy szükség van a tengeri területrendezésre a magas tevékenységi koncentrációjú és korlátozott tengeri területtel rendelkező területeken, például a La Manche csatornában, a Balti-tengeren és a Földközi-tengeren;</w:t>
      </w:r>
    </w:p>
    <w:p w14:paraId="582E8601" w14:textId="77777777" w:rsidR="003857C1" w:rsidRPr="00B6043C" w:rsidRDefault="003857C1" w:rsidP="002B105C">
      <w:pPr>
        <w:pStyle w:val="NormalHanging12a"/>
        <w:widowControl/>
      </w:pPr>
      <w:r w:rsidRPr="00B6043C">
        <w:t>S.</w:t>
      </w:r>
      <w:r w:rsidRPr="00B6043C">
        <w:tab/>
        <w:t>mivel a tengeri területrendezésnek az Európai Unió működéséről szóló szerződés 174. cikkével összhangban hozzá kell járulnia az EU területi kohéziójához; mivel a halászat és az akvakultúra nemcsak gazdasági tevékenységek, de alapvető társadalmi szerepet is játszanak a megélhetés biztosításában, a foglalkoztatás fenntartásában, valamint a part menti és szigeti közösségek társadalmi és kulturális szövetének megőrzésében, különösen a peremterületeken és a legkülső régiókban;</w:t>
      </w:r>
    </w:p>
    <w:p w14:paraId="0BD7AFEE" w14:textId="77777777" w:rsidR="003857C1" w:rsidRPr="00B6043C" w:rsidRDefault="003857C1" w:rsidP="002B105C">
      <w:pPr>
        <w:pStyle w:val="NormalHanging12a"/>
        <w:widowControl/>
      </w:pPr>
      <w:r w:rsidRPr="00B6043C">
        <w:t>T.</w:t>
      </w:r>
      <w:r w:rsidRPr="00B6043C">
        <w:tab/>
      </w:r>
      <w:bookmarkStart w:id="8" w:name="_Hlk227157449"/>
      <w:r w:rsidRPr="00B6043C">
        <w:t>mivel a halászati és akvakultúra-ágazat számos kihívással néz szembe, ilyenek például a tengeri ökoszisztémák romló állapota és a tengervédelmi intézkedések egyenlőtlen alkalmazása, valamint a kék gazdaság feltörekvő ágazatai, például a tengeri megújuló energia által gyakorolt nyomás;</w:t>
      </w:r>
      <w:bookmarkEnd w:id="8"/>
    </w:p>
    <w:p w14:paraId="69466CC8" w14:textId="77777777" w:rsidR="00E9541D" w:rsidRDefault="003857C1" w:rsidP="002B105C">
      <w:pPr>
        <w:pStyle w:val="NormalHanging12a"/>
        <w:widowControl/>
      </w:pPr>
      <w:r w:rsidRPr="00B6043C">
        <w:t>U.</w:t>
      </w:r>
      <w:r w:rsidRPr="00B6043C">
        <w:tab/>
        <w:t xml:space="preserve">mivel az ökológiailag összekapcsolt védett tengeri területek jól irányított és hatékonyan védett hálózatai a tengeri biológiai sokféleség megőrzésének alapvető eszközei, és az állományok helyreállítása, a szomszédos területekre való továbbgyűrűzés és a part </w:t>
      </w:r>
      <w:r w:rsidRPr="00B6043C">
        <w:lastRenderedPageBreak/>
        <w:t>menti gazdaságok rezilienciája révén hozzájárulhatnak a hosszú távú előnyökhöz, de hatékonyságuk és társadalmi elfogadhatóságuk attól függ, hogy hogyan tervezik meg, irányítják és hangolják össze azokat a fenntartható halászati tevékenységekkel, különösen a tudományos adatokon alapuló differenciált megközelítések és valamennyi érdekelt fél, köztük a halászok és a part menti közösségek részvétele révén;</w:t>
      </w:r>
    </w:p>
    <w:p w14:paraId="6C84EF96" w14:textId="31FD9B95" w:rsidR="003857C1" w:rsidRPr="00B6043C" w:rsidRDefault="003857C1" w:rsidP="002B105C">
      <w:pPr>
        <w:pStyle w:val="NormalHanging12a"/>
        <w:widowControl/>
      </w:pPr>
      <w:r w:rsidRPr="00B6043C">
        <w:t>V.</w:t>
      </w:r>
      <w:r w:rsidRPr="00B6043C">
        <w:tab/>
        <w:t>mivel a tengeri megújuló energia csak akkor lesz fenntartható, ha nincs negatív hatása a környezetre vagy a gazdasági, társadalmi és területi kohézióra, különösen a halászattól függő régiókban;</w:t>
      </w:r>
    </w:p>
    <w:p w14:paraId="42E83B30" w14:textId="77777777" w:rsidR="003857C1" w:rsidRPr="00B6043C" w:rsidRDefault="003857C1" w:rsidP="002B105C">
      <w:pPr>
        <w:pStyle w:val="NormalHanging12a"/>
        <w:widowControl/>
      </w:pPr>
      <w:r w:rsidRPr="00B6043C">
        <w:t>W.</w:t>
      </w:r>
      <w:r w:rsidRPr="00B6043C">
        <w:tab/>
        <w:t>mivel a nemzeti energiaszerkezetről és a technológiákról való döntés továbbra is tagállami hatáskörbe tartozik;</w:t>
      </w:r>
    </w:p>
    <w:p w14:paraId="6233774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X.</w:t>
      </w:r>
      <w:r w:rsidRPr="00B6043C">
        <w:tab/>
        <w:t>mivel az egyre csökkenő halászterületek a halászati tevékenységek áthelyezéséhez, fokozott halászati nyomáshoz és a flották közötti versengéshez, valamint bizonyos olyan szegmensek eltűnéséhez vezetnek, amelyek nem tudják áthelyezni tevékenységeiket, különösen a kisüzemi halászatban, ami a partról történő halászatot folytató halászokat, köztük a kagylóhalászokat is érinti; mivel ez a társadalmi kohézióra, a foglalkoztatásra és a tengeri hagyományok továbbadására is hatással van;</w:t>
      </w:r>
    </w:p>
    <w:p w14:paraId="547E6DFE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Y.</w:t>
      </w:r>
      <w:r w:rsidRPr="00B6043C">
        <w:tab/>
        <w:t>mivel a közös halászati politikával összhangban a tagállamoknak felhatalmazásuk van arra, hogy a partvonaluktól számított 12 tengeri mérföldre, valamint a legkülső régiók esetében 100 tengeri mérföldre korlátozzák a halászati hozzáférést azon halászhajók számára, amelyek hagyományosan ezeken a vizeken halásznak a szomszédos part menti kikötőkből;</w:t>
      </w:r>
    </w:p>
    <w:p w14:paraId="0DCEECC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Z.</w:t>
      </w:r>
      <w:r w:rsidRPr="00B6043C">
        <w:tab/>
        <w:t>mivel a tengeri és part menti területeket sújtják az éghajlatváltozás, a szennyezés – többek között a vegyi szennyező anyagok –, valamint a tengeri és szárazföldi eredetű hulladék következményei, amelyek a tengerhez, a tengeri biodiverzitáshoz, valamint a halászati és akvakultúra-erőforrásokhoz kapcsolódó tevékenységeket is érintik;</w:t>
      </w:r>
    </w:p>
    <w:p w14:paraId="7924F33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AA.</w:t>
      </w:r>
      <w:r w:rsidRPr="00B6043C">
        <w:tab/>
        <w:t>mivel az Egyesült Királyság EU-ból való kilépése gyökeresen megváltoztatta több tengermedence, különösen a La Manche csatorna, az Északi-tenger és a nyugati vizek területi, gazdasági és halászati egyensúlyát, ami az uniós halászati tevékenységek kisebb tengeri területeken való fokozott koncentrációjához vezetett;</w:t>
      </w:r>
    </w:p>
    <w:p w14:paraId="3527EE2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AB.</w:t>
      </w:r>
      <w:r w:rsidRPr="00B6043C">
        <w:tab/>
        <w:t>mivel a tengerészeti szakemberek, például a halászok bizonyos kockázatokkal vagy veszélyekkel szembesülhetnek a hajók biztonságával vagy a tengeri útvonalakon keresztül folytatott tiltott kereskedelem bizonyos típusainak, többek között a kábítószer-csempészetnek való kitettséggel kapcsolatban;</w:t>
      </w:r>
    </w:p>
    <w:p w14:paraId="754A0586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AC.</w:t>
      </w:r>
      <w:r w:rsidRPr="00B6043C">
        <w:tab/>
        <w:t>mivel a halászati és akvakultúra-ágazat munkavállalóinak biztonságos, tisztességes és méltányos munkakörülményeket és megfelelő szociális védelmet kell élvezniük; mivel a tengeri területrendezési döntések közvetlen hatást gyakorolhatnak e szakemberek biztonságára, jövedelmére és munkakörülményeire;</w:t>
      </w:r>
    </w:p>
    <w:p w14:paraId="54959C78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AD.</w:t>
      </w:r>
      <w:r w:rsidRPr="00B6043C">
        <w:tab/>
        <w:t>mivel számos tengeri területrendezési terv csak a tengeri térségekre terjed ki, a szárazföld és a tenger közötti kölcsönhatásokra és különösen a szárazföldi eredetű szennyezés tengeri ökoszisztémákra gyakorolt hatásaira nem;</w:t>
      </w:r>
    </w:p>
    <w:p w14:paraId="4BE8619B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AE.</w:t>
      </w:r>
      <w:r w:rsidRPr="00B6043C">
        <w:tab/>
        <w:t xml:space="preserve">mivel az ökoszisztéma-alapú megközelítés végrehajtása elégtelen vagy hiányzik, aminek oka, hogy számos tagállam nehezen tudja azt a gyakorlatban alkalmazni, és </w:t>
      </w:r>
      <w:r w:rsidRPr="00B6043C">
        <w:lastRenderedPageBreak/>
        <w:t>nehezen tudja összehangolni a tengeri területrendezési irányelv követelményeit más jogszabályok, például a közös halászati politikáról szóló rendelet vagy a tengervédelmi stratégiáról szóló keretirányelv követelményeivel;</w:t>
      </w:r>
    </w:p>
    <w:p w14:paraId="5B64C2E5" w14:textId="77777777" w:rsidR="003857C1" w:rsidRPr="00B6043C" w:rsidRDefault="003857C1" w:rsidP="002B105C">
      <w:pPr>
        <w:pStyle w:val="NormalHanging12a"/>
        <w:widowControl/>
      </w:pPr>
      <w:r w:rsidRPr="00B6043C">
        <w:t>AF.</w:t>
      </w:r>
      <w:r w:rsidRPr="00B6043C">
        <w:tab/>
        <w:t>mivel a tagállamok még nem érték el az európai tengerek jó környezeti állapotára vonatkozó, 2020-ra kitűzött célt, amelyet a tengervédelmi stratégiáról szóló keretirányelv ír elő;</w:t>
      </w:r>
    </w:p>
    <w:p w14:paraId="4395C03B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AG.</w:t>
      </w:r>
      <w:r w:rsidRPr="00B6043C">
        <w:tab/>
        <w:t>mivel az észszerűen rövid időn belüli adatgyűjtés, az adatok átláthatósága, használhatósága, harmonizációja és feldolgozása kulcsfontosságú annak meghatározásához, hogy a halászatot és az akvakultúrát hogyan vonják be a tengeri területrendezésbe; mivel hiányoznak a kizárólagos gazdasági övezetekre vonatkozó átfogó adatok, és nehézségekbe ütközik az adatok különböző ágazatok közötti integrálása és a nemzeti hatóságoktól való adatszerzés; mivel javítani lehetne az ilyen típusú adatgyűjtési tevékenységek finanszírozásának elosztását;</w:t>
      </w:r>
    </w:p>
    <w:p w14:paraId="07FA2E78" w14:textId="77777777" w:rsidR="003857C1" w:rsidRPr="00B6043C" w:rsidRDefault="003857C1" w:rsidP="002B105C">
      <w:pPr>
        <w:pStyle w:val="NormalHanging12a"/>
        <w:widowControl/>
        <w:ind w:left="0" w:firstLine="0"/>
        <w:rPr>
          <w:b/>
          <w:bCs/>
          <w:i/>
          <w:iCs/>
        </w:rPr>
      </w:pPr>
      <w:r w:rsidRPr="00B6043C">
        <w:rPr>
          <w:b/>
          <w:i/>
        </w:rPr>
        <w:t>A tengeri területrendezési irányelv végrehajtása, és annak a halászatra és az akvakultúrára gyakorolt hatása</w:t>
      </w:r>
    </w:p>
    <w:p w14:paraId="23D56E5D" w14:textId="77777777" w:rsidR="003857C1" w:rsidRPr="00B6043C" w:rsidRDefault="003857C1" w:rsidP="002B105C">
      <w:pPr>
        <w:pStyle w:val="NormalHanging12a"/>
        <w:widowControl/>
      </w:pPr>
      <w:r w:rsidRPr="00B6043C">
        <w:t>1.</w:t>
      </w:r>
      <w:r w:rsidRPr="00B6043C">
        <w:tab/>
        <w:t>kiemeli, hogy bár a tengeri területrendezési irányelv releváns ágazatközi keretet biztosít az együttműködéshez, azt a tagállamok egyenlőtlenül hajtották végre;</w:t>
      </w:r>
    </w:p>
    <w:p w14:paraId="4DF7A52D" w14:textId="77777777" w:rsidR="003857C1" w:rsidRPr="00B6043C" w:rsidRDefault="003857C1" w:rsidP="002B105C">
      <w:pPr>
        <w:pStyle w:val="NormalHanging12a"/>
        <w:widowControl/>
      </w:pPr>
      <w:r w:rsidRPr="00B6043C">
        <w:t>2.</w:t>
      </w:r>
      <w:r w:rsidRPr="00B6043C">
        <w:tab/>
        <w:t>üdvözli, hogy egyes tagállamok jól haladnak a tengeri területrendezési irányelv végrehajtása terén, és integrált nemzeti stratégiákkal, kijelölt szervekkel és tengeri medencékre vonatkozó cselekvési tervekkel rendelkeznek;</w:t>
      </w:r>
    </w:p>
    <w:p w14:paraId="30887C7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3.</w:t>
      </w:r>
      <w:r w:rsidRPr="00B6043C">
        <w:tab/>
        <w:t>megjegyzi, hogy a tengeri területrendezési tervek egyes tagállamokban jogilag kötelező erejűek, másokban pedig nem, és inkább tanács jellegűek; hangsúlyozza, hogy a tagállamokban a végrehajtást gyakran akadályozza az intézményi szegmentáció, a széttagolt irányítás és a nem megfelelő jogi mechanizmusok, vagy az e mechanizmusokra szánt elégtelen pénzügyi és emberi erőforrások és a helyi halászati és akvakultúra-akciócsoportok számára az azokhoz való nem megfelelő hozzáférés, különösen az Európai Tengerügyi, Halászati és Akvakultúra-alapon keresztül;</w:t>
      </w:r>
    </w:p>
    <w:p w14:paraId="4E5E6226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4.</w:t>
      </w:r>
      <w:r w:rsidRPr="00B6043C">
        <w:tab/>
        <w:t>kiemeli, hogy a tengeri területek területrendezésének magában kell foglalnia a problémák és a lehetőségek azonosítását, a tervezési adatok gyűjtését, a döntéshozatalt és a végrehajtást, és hogy e tervezés részeként különös figyelmet kell fordítani a halászatra és az akvakultúrára;</w:t>
      </w:r>
    </w:p>
    <w:p w14:paraId="06327A08" w14:textId="77777777" w:rsidR="003857C1" w:rsidRPr="00B6043C" w:rsidRDefault="003857C1" w:rsidP="002B105C">
      <w:pPr>
        <w:pStyle w:val="NormalHanging12a"/>
        <w:widowControl/>
      </w:pPr>
      <w:r w:rsidRPr="00B6043C">
        <w:t>5.</w:t>
      </w:r>
      <w:r w:rsidRPr="00B6043C">
        <w:tab/>
        <w:t>hangsúlyozza, hogy a tengeri területrendezés végrehajtása és hatékonysága jelentősen eltér az EU tengeri régiói között, és egyes régiókat, például a Balti-tenger vagy az Északi-tenger nagy részét lefedik a tengeri területrendezési tervek, míg más régiókat, például a Földközi-tengert lényegesen kisebb mértékben;</w:t>
      </w:r>
    </w:p>
    <w:p w14:paraId="5980323D" w14:textId="77777777" w:rsidR="003857C1" w:rsidRPr="00B6043C" w:rsidRDefault="003857C1" w:rsidP="002B105C">
      <w:pPr>
        <w:pStyle w:val="NormalHanging12a"/>
        <w:widowControl/>
      </w:pPr>
      <w:r w:rsidRPr="00B6043C">
        <w:t>6.</w:t>
      </w:r>
      <w:r w:rsidRPr="00B6043C">
        <w:tab/>
        <w:t>üdvözli az Északi-tenger tágabb értelemben vett medencéjére vonatkozó kezdeményezést, amely összefogja a tagállamokat és a nem uniós országokat azzal a céllal, hogy nagyobb összhangot és koordinációt érjenek el a tengeri területrendezési tervekkel kapcsolatban;</w:t>
      </w:r>
    </w:p>
    <w:p w14:paraId="261423E1" w14:textId="77777777" w:rsidR="003857C1" w:rsidRPr="00B6043C" w:rsidRDefault="003857C1" w:rsidP="002B105C">
      <w:pPr>
        <w:pStyle w:val="NormalHanging12a"/>
        <w:widowControl/>
      </w:pPr>
      <w:r w:rsidRPr="00B6043C">
        <w:t>7.</w:t>
      </w:r>
      <w:r w:rsidRPr="00B6043C">
        <w:tab/>
        <w:t xml:space="preserve">kiemeli, hogy a határokon átnyúló kezdeményezések továbbra is korlátozottak, és hiányzik a hatékony koordináció, ami akadályozza az összekapcsolt tengeri régiók közös kihívásainak kezelésére irányuló erőfeszítéseket; sajnálatát fejezi ki a tengeri </w:t>
      </w:r>
      <w:r w:rsidRPr="00B6043C">
        <w:lastRenderedPageBreak/>
        <w:t>területrendezés terén a tagállamok és a nem uniós országok, különösen a szomszédos part menti államok közötti együttműködés nehézségei miatt;</w:t>
      </w:r>
    </w:p>
    <w:p w14:paraId="6DB140C8" w14:textId="77777777" w:rsidR="003857C1" w:rsidRPr="00B6043C" w:rsidRDefault="003857C1" w:rsidP="002B105C">
      <w:pPr>
        <w:pStyle w:val="NormalHanging12a"/>
        <w:widowControl/>
      </w:pPr>
      <w:r w:rsidRPr="00B6043C">
        <w:t>8.</w:t>
      </w:r>
      <w:r w:rsidRPr="00B6043C">
        <w:tab/>
        <w:t>hangsúlyozza a brexitnek a tengeri tervezésre, különösen a védett tengeri területek és a tengeri megújuló energia fejlesztésére, valamint más tevékenységekre, például a sűrű tengeri közlekedésre és a tengerparti turizmusra gyakorolt hatásait; kiemeli, hogy ezek a változások az uniós halászflottának a brit vizek számos halászterületéről való kizárásához, valamint a halászati erőkifejtés áthelyeződéséhez, továbbá az Északi-tenger és a La Manche csatorna térségében nagy halászati terheléshez vezettek, az uniós halászat kárára; kéri, hogy ezeken a területeken a tengeri területrendezésbe szisztematikusan építsék be ezeket az elemeket;</w:t>
      </w:r>
    </w:p>
    <w:p w14:paraId="440F34E3" w14:textId="77777777" w:rsidR="003857C1" w:rsidRPr="00B6043C" w:rsidRDefault="003857C1" w:rsidP="002B105C">
      <w:pPr>
        <w:pStyle w:val="NormalHanging12a"/>
        <w:widowControl/>
      </w:pPr>
      <w:r w:rsidRPr="00B6043C">
        <w:t>9.</w:t>
      </w:r>
      <w:r w:rsidRPr="00B6043C">
        <w:tab/>
        <w:t>hangsúlyozza a tagállamok közötti és az Egyesült Királysággal való koordináció szükségességét a tengermedence hatékony és méltányos kezelésének elérése, és ezáltal a használattal kapcsolatos számos konfliktus csökkentése érdekében, figyelembe véve az egyes tevékenységek gazdasági, társadalmi és környezeti dimenzióit; ezzel összefüggésben emlékeztet az ENSZ Tengerjogi Egyezménye szerinti, különösen a 7. és 8. cikkben foglalt, a határokon átnyúló együttműködésre vonatkozó kötelezettségre; kéri különösen, hogy folytassanak valódi konzultációt az Egyesült Királysággal és a Csatorna-szigetekkel a védett tengeri területekre vonatkozó gazdálkodási intézkedésekről, figyelembe véve az uniós halászok által viselt társadalmi-gazdasági következményeket;</w:t>
      </w:r>
    </w:p>
    <w:p w14:paraId="166CC89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10.</w:t>
      </w:r>
      <w:r w:rsidRPr="00B6043C">
        <w:tab/>
        <w:t>hangsúlyozza, hogy a Földközi-tenger medencéjét különösen érinti a tengeri energiaplatformok és más hasonló infrastruktúrák elburjánzása, ami jelentősen csökkenti a halászat rendelkezésére álló területet, korlátozza a hagyományos halászterületekhez való hozzáférést, és hozzájárul a tengeri területek széttagolódásához; megállapítja, hogy bár a tagállamok felelősek az infrastruktúra e területeken történő használatának meghatározásáért, döntéseik közvetlen hatást gyakorolnak a hagyományos halászterületek használatára, ezért azokat koherens módon kell integrálni a tengeri területrendezési folyamatokba; megjegyzi, hogy a tengeri turizmus fejlődése is hatással van a tengeri medencében folytatott halászati műveletekre;</w:t>
      </w:r>
    </w:p>
    <w:p w14:paraId="69F970EE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11.</w:t>
      </w:r>
      <w:r w:rsidRPr="00B6043C">
        <w:tab/>
        <w:t>kiemeli az Adriai-tenger mint félig zárt és rendkívül érzékeny tengeri medence sajátos jellemzőit, amely a halászat, az akvakultúra, a tengeri közlekedés, az idegenforgalom és a part menti fejlesztés kumulatív nyomásának van kitéve; hangsúlyozza, hogy ezek a nyomások szükségessé teszik a tengeri területrendezés tengeri medencéken alapuló és határokon átnyúló megközelítésének megerősítését; felhívja a Bizottságot és az érintett tagállamokat, hogy a szomszédos nem uniós part menti országokkal együttműködve erősítsék meg a koordinációt, az adatmegosztást és a közös irányítási mechanizmusokat az Adriai-tengeren. hangsúlyozza a kisüzemi és a part menti halászat fontosságát a tengeri medencében, valamint a tengeri területrendezésbe való integrálásuk fontosságát gazdasági életképességük és kulturális örökségük megőrzése érdekében;</w:t>
      </w:r>
    </w:p>
    <w:p w14:paraId="1ED2FD60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12.</w:t>
      </w:r>
      <w:r w:rsidRPr="00B6043C">
        <w:tab/>
        <w:t xml:space="preserve">hangsúlyozza, hogy a Balti-tengernek számos egyedi jellemzője van, többek között az, hogy félig zárt tengeri medence, magas a különböző típusú gazdasági tevékenységek koncentrációja, van itt halászat, tengeri szállítás és elterjedt a tengeri megújuló energia, továbbá sebezhető az ökoszisztémája; e tekintetben felszólít a tengeri területrendezés fenntartható és az említett regionális körülményekhez igazított megközelítésére; elismerését fejezi ki a tengeri területrendezéssel foglalkozó közös HELCOM-VASAB </w:t>
      </w:r>
      <w:r w:rsidRPr="00B6043C">
        <w:lastRenderedPageBreak/>
        <w:t>tengeri területrendezési munkacsoport folyamatban lévő munkájáért, amely szilárd alapot biztosít a Balti-tengeren a tengeri medencék szintjén folytatott koordinációhoz;</w:t>
      </w:r>
    </w:p>
    <w:p w14:paraId="37A66ED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13.</w:t>
      </w:r>
      <w:r w:rsidRPr="00B6043C">
        <w:tab/>
        <w:t>hangsúlyozza, hogy a legkülső régiók tengermedencéit is be kell vonni a tengeri területrendezésről szóló irányelv végrehajtásába, teljes mértékben figyelembe véve sajátos jellemzőiket, többek között a nem uniós országokkal folytatott interakciók során is;</w:t>
      </w:r>
    </w:p>
    <w:p w14:paraId="49FC2E7F" w14:textId="77777777" w:rsidR="003857C1" w:rsidRPr="00B6043C" w:rsidRDefault="003857C1" w:rsidP="002B105C">
      <w:pPr>
        <w:widowControl/>
        <w:spacing w:after="240"/>
        <w:ind w:left="567" w:hanging="567"/>
        <w:rPr>
          <w:b/>
          <w:bCs/>
          <w:i/>
          <w:iCs/>
        </w:rPr>
      </w:pPr>
      <w:r w:rsidRPr="00B6043C">
        <w:rPr>
          <w:b/>
          <w:i/>
        </w:rPr>
        <w:t>A tengeri területrendezés előnyei a halászat és az akvakultúra számára</w:t>
      </w:r>
    </w:p>
    <w:p w14:paraId="48D83B58" w14:textId="77777777" w:rsidR="003857C1" w:rsidRPr="00B6043C" w:rsidRDefault="003857C1" w:rsidP="002B105C">
      <w:pPr>
        <w:widowControl/>
        <w:spacing w:after="240"/>
        <w:ind w:left="567" w:hanging="567"/>
      </w:pPr>
      <w:bookmarkStart w:id="9" w:name="_Hlk227158072"/>
      <w:r w:rsidRPr="00B6043C">
        <w:t>14.</w:t>
      </w:r>
      <w:r w:rsidRPr="00B6043C">
        <w:tab/>
        <w:t>sajnálatát fejezi ki amiatt, hogy a tengeri területrendezés jelenlegi jogi kerete nem biztosította kielégítően a halászat számára várt előnyöket; megjegyzi, hogy a tengeri területrendezés nem járult hozzá jelentősen a halászati tevékenységek kiszámíthatóságának és stabilitásának javításához; hangsúlyozza, hogy a tengeri területrendezés nem határoz meg minimális célokat, sem mérhető környezeti, társadalmi és gazdasági mutatókat a halászatra és különösen a kisüzemi szereplőkre vonatkozóan; hangsúlyozza az uniós tengerpolitika koherens és hatékony végrehajtásának szükségességét;</w:t>
      </w:r>
    </w:p>
    <w:p w14:paraId="2C914042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15.</w:t>
      </w:r>
      <w:r w:rsidRPr="00B6043C">
        <w:tab/>
        <w:t>kiemeli, hogy a tengeri területrendezési keret végrehajtásához fontos elvégezni egy átfogó társadalmi-gazdasági elemzést, amely magában foglalja a kisvállalkozások és a part menti közösségek szempontjait; emlékeztet arra, hogy a halászat és az akvakultúra fontos szerepet játszik az élelmiszer-önrendelkezésben és a kapcsolódó know-how EU számára való megőrzésében, és elismeri, hogy közérdek, hogy nagyobb mértékben figyelembe vegyék jelentőségüket a tengeri területrendezésben;</w:t>
      </w:r>
    </w:p>
    <w:p w14:paraId="4BEAB68E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16.</w:t>
      </w:r>
      <w:r w:rsidRPr="00B6043C">
        <w:tab/>
        <w:t>hangsúlyozza, hogy a tengeri területrendezésnek jobban integrálnia kell a halászatot és az akvakultúrát, és aktívan foglalkoznia kell a halászatot érintő területi kihívásokkal, például a tengeri energia, a védett tengeri területek, a hajózási és védelmi övezetek kumulatív hatásaival, és el kell kerülnie a halászati tevékenységek fokozatos marginalizálódását; hangsúlyozza, hogy a halászati műveletekre gyakorolt negatív hatások minimalizálása érdekében a tengeri szélerőműparkokat lehetőség szerint a halászatra kevésbé alkalmas övezetekben kell elhelyezni;</w:t>
      </w:r>
    </w:p>
    <w:p w14:paraId="368E5912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17.</w:t>
      </w:r>
      <w:r w:rsidRPr="00B6043C">
        <w:tab/>
        <w:t>hangsúlyozza a kisüzemi halászat alapvető szerepét, például a helyi foglalkoztatásban, a társadalmi kohézióban és a hagyományos készségek megőrzésében; kéri, hogy a tengeri területrendezés teljes mértékben vegye figyelembe ezt a szegmenst, különösen a területhez való hozzáférés, a halászterületek közelsége és a tevékenységek biztonsága tekintetében;</w:t>
      </w:r>
    </w:p>
    <w:p w14:paraId="114A4BB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18.</w:t>
      </w:r>
      <w:r w:rsidRPr="00B6043C">
        <w:tab/>
        <w:t>megjegyzi, hogy a tengeri szélerőműparkok hatással lehetnek a halászatra, mivel megváltoztatják a kereskedelmi céllal halászott tengeri fajok térbeli eloszlását és bőségét, valamint biztonsági okokból korlátozzák a hozzáférést vagy a halászati módszereket; megállapítja, hogy bár megfigyelhetők bizonyos potenciális előnyök a halászok számára, ezek csak akkor relevánsak, ha a halászok gyakorlatilag és ténylegesen képesek tevékenykedni ezeken a területeken;</w:t>
      </w:r>
    </w:p>
    <w:bookmarkEnd w:id="9"/>
    <w:p w14:paraId="3A837B79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19.</w:t>
      </w:r>
      <w:r w:rsidRPr="00B6043C">
        <w:tab/>
        <w:t xml:space="preserve">hangsúlyozza, hogy bár a tengeri területrendezés jogi kerete marginális előnyökkel jár az akvakultúra számára, javítani kell a tengeri területek kijelölését, a keretrendszeren belül jobban el kell ismerni az akvakultúra szerepét, javítani kell a határokon átnyúló koherenciát, a jogbiztonságot, valamint az engedélyezési eljárások ütemezését és </w:t>
      </w:r>
      <w:r w:rsidRPr="00B6043C">
        <w:lastRenderedPageBreak/>
        <w:t>hatását; hangsúlyozza, hogy az akvakultúrát jobban be kell építeni a tengeri területrendezésbe, és fontolóra kell venni más intézkedéseket, például egy lehetséges közös akvakultúra-politika kidolgozását annak érdekében, hogy hatékonyabban figyelembe lehessen venni ezt az EU élelmezésbiztonsága szempontjából kulcsfontosságú ágazatot;</w:t>
      </w:r>
    </w:p>
    <w:p w14:paraId="54DEDB1E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20.</w:t>
      </w:r>
      <w:r w:rsidRPr="00B6043C">
        <w:tab/>
        <w:t>hangsúlyozza, hogy a különböző ágazatok és a tengerhasználók közötti konfliktusok minimalizálására irányuló célkitűzés lényegében nem teljesült, különös tekintettel a halászatra és az akvakultúrára, beleértve a kagylótenyésztést és az olyan feltörekvő ágazatokat, mint a tengerimoszat-termesztés, amelyek esetében csökkentek a rendelkezésre álló területek, ami hatással van versenyképességükre és tevékenységeik fejlesztési lehetőségeire;</w:t>
      </w:r>
    </w:p>
    <w:p w14:paraId="17484022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21.</w:t>
      </w:r>
      <w:r w:rsidRPr="00B6043C">
        <w:tab/>
        <w:t>hangsúlyozza, hogy a tengeri térségek használatával kapcsolatos konfliktusok jellege az érintett halászati és akvakultúra-tevékenységek típusától függően változik, és hogy ezek a tevékenységek a tengeri térségekért versenghetnek is egymással; hangsúlyozza, hogy a halászatot érintő fő konfliktusok a halászterületeknek a tengeri övezetek kizárása, a hozzáférési korlátozások, a hozzáférésért folytatott verseny, a területi széttagoltság és számos tengeri ökoszisztéma hanyatló állapota miatti elvesztése, míg az akvakultúrát érintő fő konfliktusok az övezeti átfedések, a környezetvédelmi aggályok, például a szennyezés és az eutrofizáció, valamint a fogási verseny;</w:t>
      </w:r>
    </w:p>
    <w:p w14:paraId="727AC44C" w14:textId="77777777" w:rsidR="003857C1" w:rsidRPr="00B6043C" w:rsidRDefault="003857C1" w:rsidP="002B105C">
      <w:pPr>
        <w:widowControl/>
        <w:spacing w:after="240"/>
        <w:ind w:left="567" w:hanging="567"/>
      </w:pPr>
      <w:bookmarkStart w:id="10" w:name="_Hlk226557253"/>
      <w:r w:rsidRPr="00B6043C">
        <w:t>22.</w:t>
      </w:r>
      <w:r w:rsidRPr="00B6043C">
        <w:tab/>
        <w:t>emlékeztet, hogy a halászat és az akvakultúra a tengeri erőforrások földrajzi elhelyezkedésétől és a tengeri ökoszisztémák egészséges állapotától függ, és hogy szorosan kapcsolódik a tengeri eredetű élelmiszerek értékláncához és a part menti régiókbeli foglalkoztatáshoz, ezért áthelyezésre nem alkalmas;</w:t>
      </w:r>
    </w:p>
    <w:bookmarkEnd w:id="10"/>
    <w:p w14:paraId="538CAFD4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23.</w:t>
      </w:r>
      <w:r w:rsidRPr="00B6043C">
        <w:tab/>
        <w:t>hangsúlyozza, hogy a halászat nem élvezi a kiemelt vagy kijelölt területek előnyeit, és gyakran ki nem osztott tengeri térségekben kell működnie, és más tevékenységek egyre inkább kiszorítják; megjegyzi, hogy bár az akvakultúra – beleértve a tengerimoszat-termesztést is – elvben alkalmasabb a fenntartott területeken való végzésre, a megközelítések jelentősen eltérnek a tagállamok között, sőt, akár a tagállamokon belül is, és az engedélyezési eljárások gyakran nehézkesek;</w:t>
      </w:r>
    </w:p>
    <w:p w14:paraId="218AEFB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24.</w:t>
      </w:r>
      <w:r w:rsidRPr="00B6043C">
        <w:tab/>
        <w:t>kiemeli, hogy bár egyes tagállamok többcélú felhasználási övezeteket hoztak létre, főként projektalapú megközelítést alkalmaznak; hangsúlyozza, hogy a többcélú használatra vonatkozó megközelítés alkalmazása bizonyos tevékenységek esetében nagyon nehéznek bizonyul, különösen a halászat, a biológiai sokféleség védelme és a tengeri megújuló energia kombinálása esetén; megjegyzi, hogy a többcélú használatra vonatkozó megközelítés biztosítási és biztonsági aggályokat is felvet a halászok és az akvakultúra-szakemberek számára; hangsúlyozza, hogy bár a többcélú felhasználási övezetek lehetőséget kínálhatnak az emberi tevékenységek kumulatív hatásainak kezelésére, több kutatásra van szükség azok megvalósíthatóságának és hatásának értékeléséhez; rámutat, hogy az ilyen övezetek kijelölésének az ott végzett különböző tevékenységek gazdasági, társadalmi és környezeti hatásainak értékelésén kell alapulnia, amelyet az összes érintett ágazat szereplőinek, valamint más érdekelt feleknek a folyamat során történő megfelelő bevonásával kell elvégezni;</w:t>
      </w:r>
    </w:p>
    <w:p w14:paraId="2A1D8DB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25.</w:t>
      </w:r>
      <w:r w:rsidRPr="00B6043C">
        <w:tab/>
        <w:t xml:space="preserve">üdvözli a tevékenységek helymegosztásának sikeres példáit, például a helyhez kötött vagy úszó tengeri szélenergia-infrastruktúrát, amely az akvakultúra, a kagylótenyésztés és az algatermesztés fejlesztésére, a tengeri állat- és növényvilág élőhelyeinek </w:t>
      </w:r>
      <w:r w:rsidRPr="00B6043C">
        <w:lastRenderedPageBreak/>
        <w:t>védelmére vagy regeneratív tevékenységekre és halászati tevékenységekre, például passzív és alacsony környezeti hatású halászatra is felhasználható; e tekintetben kiemeli, hogy fokozni kell a bevált gyakorlatok cseréjét és több kutatásra van szükség, különösen az ökológiai hatással és a gazdasági potenciállal kapcsolatban;</w:t>
      </w:r>
    </w:p>
    <w:p w14:paraId="61B3FC60" w14:textId="77777777" w:rsidR="003857C1" w:rsidRPr="00B6043C" w:rsidRDefault="003857C1" w:rsidP="002B105C">
      <w:pPr>
        <w:pStyle w:val="NormalHanging12a"/>
        <w:widowControl/>
      </w:pPr>
      <w:r w:rsidRPr="00B6043C">
        <w:t>26.</w:t>
      </w:r>
      <w:r w:rsidRPr="00B6043C">
        <w:tab/>
        <w:t>sürgeti a tagállamokat, hogy energiaszerkezetük meghatározásakor vegyék figyelembe a tengeri megújuló energia tengeri ökoszisztémára és halászatra gyakorolt hatását;</w:t>
      </w:r>
    </w:p>
    <w:p w14:paraId="50E5D740" w14:textId="77777777" w:rsidR="003857C1" w:rsidRPr="00B6043C" w:rsidRDefault="003857C1" w:rsidP="002B105C">
      <w:pPr>
        <w:widowControl/>
        <w:spacing w:after="240" w:line="259" w:lineRule="auto"/>
        <w:ind w:left="567" w:hanging="567"/>
      </w:pPr>
      <w:bookmarkStart w:id="11" w:name="_Hlk227158246"/>
      <w:r w:rsidRPr="00B6043C">
        <w:t>27.</w:t>
      </w:r>
      <w:r w:rsidRPr="00B6043C">
        <w:tab/>
        <w:t>kiemeli, hogy a szárazföld-tenger koordináció továbbra is kritikus hiányosság a tengeri területrendezés végrehajtásában, különösen az, hogy a biológiai sokféleség védelmére irányuló intézkedések meghozatalakor nem veszik figyelembe a szárazföldi eredetű szennyezés tengeri ökoszisztémákra gyakorolt hatásait;</w:t>
      </w:r>
      <w:bookmarkEnd w:id="11"/>
    </w:p>
    <w:p w14:paraId="64537E58" w14:textId="77777777" w:rsidR="003857C1" w:rsidRPr="00B6043C" w:rsidRDefault="003857C1" w:rsidP="002B105C">
      <w:pPr>
        <w:widowControl/>
        <w:spacing w:after="240" w:line="259" w:lineRule="auto"/>
        <w:ind w:left="567" w:hanging="567"/>
      </w:pPr>
      <w:r w:rsidRPr="00B6043C">
        <w:t>28.</w:t>
      </w:r>
      <w:r w:rsidRPr="00B6043C">
        <w:tab/>
        <w:t>rámutat a halászati és kikötői infrastruktúra és a kapcsolódó létesítmények fontosságára, valamint arra, hogy az uniós kikötőstratégiával összhangban biztosítani kell a tengeri területrendezés koherenciáját az ilyen infrastrukturális beruházásokkal, figyelembe véve ugyanakkor, hogy minden tengeri tevékenység a hatékony szárazföldi-tenger koordinációtól függ;</w:t>
      </w:r>
    </w:p>
    <w:p w14:paraId="3FF202B0" w14:textId="77777777" w:rsidR="003857C1" w:rsidRPr="00B6043C" w:rsidRDefault="003857C1" w:rsidP="002B105C">
      <w:pPr>
        <w:pStyle w:val="NormalHanging12a"/>
        <w:widowControl/>
        <w:rPr>
          <w:b/>
          <w:bCs/>
          <w:i/>
          <w:iCs/>
        </w:rPr>
      </w:pPr>
      <w:r w:rsidRPr="00B6043C">
        <w:rPr>
          <w:b/>
          <w:i/>
        </w:rPr>
        <w:t>Az érdekelt felek bevonása és adatgyűjtés</w:t>
      </w:r>
    </w:p>
    <w:p w14:paraId="425DDE59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t>29.</w:t>
      </w:r>
      <w:r w:rsidRPr="00B6043C">
        <w:tab/>
        <w:t>hangsúlyozza, hogy az érdekelt felek és a part menti közösségek tengeri területrendezési folyamatban való részvétele nőtt ugyan, de továbbra is korlátozott; sajnálatát fejezi ki amiatt, hogy ez a részvétel gyakran nélkülözi a korai és formális szerepvállalást és konzultációt, ami korlátozott lehetőséget kínál a tervezési döntések tényleges befolyásolására; üdvözli e tekintetben a Bizottság arra irányuló kezdeményezését, hogy végrehajtási párbeszédet folytasson a tengeri területrendezésről;</w:t>
      </w:r>
    </w:p>
    <w:p w14:paraId="2627CFF4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t>30.</w:t>
      </w:r>
      <w:r w:rsidRPr="00B6043C">
        <w:tab/>
        <w:t>megállapítja, hogy egyes tagállamokban jó példák vannak az érdekelt felek bevonására, például nemzeti konzultációkra és részvételi folyamatokra; sajnálja azonban, hogy nincsenek a tagállamokra vonatkozó kötelező erejű rendelkezések az érdekelt felek részvételét illetően; megjegyzi, hogy ez akadályozza az érintett érdekelt felek, például a halászok, az akvakultúra-szakemberek, az érdekcsoportok és a nyilvánosság érintett tagjainak részvételét a konzultációs és döntéshozatali folyamatokban, különösen a tengeri megújulóenergia-projektek helyszínét illetően;</w:t>
      </w:r>
    </w:p>
    <w:p w14:paraId="60619263" w14:textId="77777777" w:rsidR="003857C1" w:rsidRPr="00B6043C" w:rsidRDefault="003857C1" w:rsidP="002B105C">
      <w:pPr>
        <w:pStyle w:val="NormalHanging12a"/>
        <w:widowControl/>
      </w:pPr>
      <w:r w:rsidRPr="00B6043C">
        <w:t>31.</w:t>
      </w:r>
      <w:r w:rsidRPr="00B6043C">
        <w:tab/>
        <w:t>hangsúlyozza, hogy a halászat és az akvakultúra gyakran kevesebb figyelmet kap más, erősebb vagy gazdaságilag fontos ágazatok, például a tengeri megújuló energia miatt; tudomásul veszi a tengeri ágazatok közötti strukturális hatalmi egyensúlyhiányokról szóló jelentéseket; sajnálatát fejezi ki amiatt, hogy egyes ágazatok és gazdasági szereplők gyakran megkerülik a konzultációs folyamatokat a kevésbé szervezett szereplők, például a kisüzemi halászok, így a partról történő halászatot folytató halászok, köztük a kagylóhalászok kárára; valamennyi érdekelt féllel átfogó, hozzáférhető és inkluzív konzultációs folyamatokra, valamint korrekciós irányítási mechanizmusok létrehozására, például kiegyensúlyozott és átlátható döntéshozatal biztosítását célzó átlátható iránymutatásokra szólít fel, amelyek enyhítik a konfliktusok lehetőségét, és egyenlő versenyfeltételeket teremtenek a halászat és más ágazatok között;</w:t>
      </w:r>
    </w:p>
    <w:p w14:paraId="1A39DC80" w14:textId="77777777" w:rsidR="003857C1" w:rsidRPr="00B6043C" w:rsidRDefault="003857C1" w:rsidP="002B105C">
      <w:pPr>
        <w:pStyle w:val="NormalHanging12a"/>
        <w:widowControl/>
      </w:pPr>
      <w:r w:rsidRPr="00B6043C">
        <w:t>32.</w:t>
      </w:r>
      <w:r w:rsidRPr="00B6043C">
        <w:tab/>
        <w:t xml:space="preserve">sajnálatát fejezi ki az óceánok és tengerek állapotára, a halászati erőforrásokra és az éghajlatváltozás hatásaira vonatkozó harmonizált és összehasonlítható adatok, valamint </w:t>
      </w:r>
      <w:r w:rsidRPr="00B6043C">
        <w:lastRenderedPageBreak/>
        <w:t>a megfelelő társadalmi és gazdasági adatok, többek között a tengeri területrendezés part menti közösségekre gyakorolt hatásai értékelésének hiánya miatt; hangsúlyozza a tagállamok adatgyűjtési rendszerei közötti harmonizáció hiányát;</w:t>
      </w:r>
    </w:p>
    <w:p w14:paraId="38CCC9A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33.</w:t>
      </w:r>
      <w:r w:rsidRPr="00B6043C">
        <w:tab/>
        <w:t>kiemeli, hogy az adatok összehangolatlansága, például az egymással nem kompatibilis térinformatikai alapértékek és az időbeli eltérések, például a tengeri területrendezési tervek eltérő felülvizsgálati ciklusai akadályozzák a koherens tengeri területrendezés és az ökoszisztéma-alapú megközelítés végrehajtását; emlékeztet arra, hogy a modellezési, feltérképezési és területelemzési eszközök segítik a döntéshozatalt, de nem helyettesíthetik a demokratikus vitát vagy a politikai kompromisszumot;</w:t>
      </w:r>
    </w:p>
    <w:p w14:paraId="3645DA81" w14:textId="77777777" w:rsidR="003857C1" w:rsidRPr="00B6043C" w:rsidRDefault="003857C1" w:rsidP="002B105C">
      <w:pPr>
        <w:pStyle w:val="NormalHanging12a"/>
        <w:widowControl/>
        <w:rPr>
          <w:b/>
          <w:bCs/>
          <w:i/>
          <w:iCs/>
        </w:rPr>
      </w:pPr>
      <w:r w:rsidRPr="00B6043C">
        <w:rPr>
          <w:b/>
          <w:i/>
        </w:rPr>
        <w:t>Ajánlások</w:t>
      </w:r>
    </w:p>
    <w:p w14:paraId="30DC65B9" w14:textId="77777777" w:rsidR="003857C1" w:rsidRPr="00B6043C" w:rsidRDefault="003857C1" w:rsidP="002B105C">
      <w:pPr>
        <w:pStyle w:val="NormalHanging12a"/>
        <w:widowControl/>
      </w:pPr>
      <w:r w:rsidRPr="00B6043C">
        <w:t>34.</w:t>
      </w:r>
      <w:r w:rsidRPr="00B6043C">
        <w:tab/>
        <w:t>hangsúlyozza, hogy holisztikusabb megközelítésre és a vonatkozó uniós jogszabályok, különösen a tengeri területrendezésről szóló irányelv, a közös halászati politikáról szóló rendelet és a tengervédelmi stratégiáról szóló keretirányelv jobb összehangolására van szükség a tengeri területrendezés, például az ökoszisztéma-alapú megközelítés következetes és hatékony végrehajtásának biztosítása érdekében, a jó környezeti állapot eléréséhez való hozzájárulás céljából; hangsúlyozza továbbá, hogy a tengeri területrendezésnek teljes mértékben tiszteletben kell tartania a közös halászati politikát mint a halászati gazdálkodás kizárólagos uniós jogszabályi keretét, ezért nem használható fel halászati gazdálkodási intézkedések közvetett bevezetésére, különösen, ha összeegyeztethetetlen azzal a törekvéssel, hogy megerősítsék a halászati tevékenységek szerepét a tengeri területrendezésben;</w:t>
      </w:r>
    </w:p>
    <w:p w14:paraId="1237426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35.</w:t>
      </w:r>
      <w:r w:rsidRPr="00B6043C">
        <w:tab/>
        <w:t>úgy véli, hogy a tengeri területrendezési terveknek jobban kell tükrözniük a területi, környezeti és társadalmi-gazdasági igényeket, valamint az egyes tengeri medencék sajátos jellemzőit, beleértve az összekapcsolt kizárólagos gazdasági övezeteket is; hangsúlyozza, hogy a tagállamoknak meg kell erősíteniük a földhasználati és a tengerügyi hatóságok közötti koordinációt a tengeri területrendezési tervek kidolgozása és végrehajtása során, és ebbe be kell építeniük a szárazföldi tevékenységek parti tengervizekre gyakorolt hatásának értékelését; úgy véli, hogy a tagállamoknak figyelembe kell venniük a regionális sajátosságokat, például a szigeti régiók és a legkülső régiók jellemzőit, és tiszteletben kell tartaniuk az egyes tagállamok közigazgatási hagyományait;</w:t>
      </w:r>
    </w:p>
    <w:p w14:paraId="775CBCB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36.</w:t>
      </w:r>
      <w:r w:rsidRPr="00B6043C">
        <w:tab/>
        <w:t>hangsúlyozza, hogy a tagállamoknak a tengeri területrendezési tervek kidolgozása és végrehajtása során meg kell erősíteniük mind a tagállamok közötti, mind a tagállamokon belüli koordinációt, különösen a nemzeti és regionális hatóságok között, valamint a többek között a környezetvédelmi, halászati, energiaügyi és közlekedési politikákért felelős hatóságok közötti ágazatközi koordinációt a koherens, ökoszisztéma-alapú és integrált megközelítés biztosítása érdekében;</w:t>
      </w:r>
    </w:p>
    <w:p w14:paraId="51840E52" w14:textId="77777777" w:rsidR="003857C1" w:rsidRPr="00B6043C" w:rsidRDefault="003857C1" w:rsidP="002B105C">
      <w:pPr>
        <w:widowControl/>
        <w:spacing w:after="240" w:line="259" w:lineRule="auto"/>
        <w:ind w:left="567" w:hanging="567"/>
      </w:pPr>
      <w:bookmarkStart w:id="12" w:name="_Hlk227159518"/>
      <w:r w:rsidRPr="00B6043C">
        <w:t>37.</w:t>
      </w:r>
      <w:r w:rsidRPr="00B6043C">
        <w:tab/>
        <w:t xml:space="preserve">felhív a tengeri területrendezés alulról felfelé építkező, kiegyensúlyozott, többcélú használatra vonatkozó megközelítésének végrehajtására, amelynek célja a tengeri erőforrásokra és a biológiai sokféleségre, és ezáltal a halászatra és az akvakultúrára gyakorolt káros hatások elkerülése, és amely biztosítaná, hogy ezeket a tevékenységeket ne zárják ki a tengeri térségből; úgy véli, hogy a kék gazdasághoz kapcsolódó egyes tevékenységek fejlesztése nem mehet a tengeri eredetű élelmiszerek fenntartható és reziliens előállításának, az élelmiszer-önrendelkezésnek és a tenger biológiai </w:t>
      </w:r>
      <w:r w:rsidRPr="00B6043C">
        <w:lastRenderedPageBreak/>
        <w:t xml:space="preserve">sokfélesége megőrzésének rovására; e tekintetben úgy véli, hogy az élelmezésbiztonság stratégiai jelentőségét jobban be kell építeni a tengeri területrendezésről szóló irányelv közelgő felülvizsgálatába; </w:t>
      </w:r>
      <w:bookmarkStart w:id="13" w:name="_Hlk226568048"/>
      <w:r w:rsidRPr="00B6043C">
        <w:t>kéri ezért, hogy a halászatot és az akvakultúrát ismerjék el olyan, nagy közérdeklődésre számot tartó stratégiai ágazatokként, amelyek alapvetően járulnak hozzá az EU élelmiszer-önrendelkezéséhez és élelmezésbiztonságához</w:t>
      </w:r>
      <w:bookmarkEnd w:id="13"/>
      <w:r w:rsidRPr="00B6043C">
        <w:t>, valamint a stratégiai autonómiához és a part menti foglalkoztatáshoz, és hogy a tengeri területrendezésben kiemelt figyelmet kell fordítani rájuk, különösen azon szegmensek esetében, amelyek nem áthelyezhetők;</w:t>
      </w:r>
    </w:p>
    <w:p w14:paraId="2288A41D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38.</w:t>
      </w:r>
      <w:r w:rsidRPr="00B6043C">
        <w:tab/>
        <w:t>felszólít a többcélú felhasználási övezetek tényeken alapuló megközelítésére annak elismerésével, hogy a halászat és a tengeri energia együttélése a gyakorlatban továbbra is korlátozott, és nem használható fel a halászat tengeri térségből való kizárásának indokolására; hangsúlyozza, hogy a többcélú használatra vonatkozó megközelítést technikai és tudományos kritériumok alapján kell alkalmazni, tükrözve a halászat és az akvakultúra tényleges működését; hangsúlyozza, hogy a többcélú felhasználási övezetek kijelölésének az ott végzett különböző tevékenységek kumulatív hatásának vizsgálatán és a hajózhatóság és a biztonság szigorú elemzésén kell alapulnia; kéri, hogy valamennyi érintett ágazatot közvetlenül és megfelelően vonják be ebbe a folyamatba;</w:t>
      </w:r>
    </w:p>
    <w:p w14:paraId="576E0AB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39.</w:t>
      </w:r>
      <w:r w:rsidRPr="00B6043C">
        <w:tab/>
        <w:t>úgy véli, hogy a tengeri területrendezésnek dinamikus és adaptív megközelítést kell alkalmaznia, figyelembe véve a tengeri környezet és a tengeri erőforrások változásait, rendszeresen frissített tudományos és társadalmi-gazdasági adatok és mutatók felhasználásával, különösen olyan területek – például tengeri szélerőműparkok – és bizonyos védett tengeri területek kijelölésekor, amelyek kizárhatják a halászati tevékenységeket; hangsúlyozza, hogy a tervezési folyamatnak tükröznie kell a halászat dinamikus jellegét, mivel a flották gyakran a szezonális rendelkezésre állástól és az állományok mozgásától függően mozognak, és bizonyos típusú halászeszközök jelentős helyet igényelnek a működéshez;</w:t>
      </w:r>
    </w:p>
    <w:p w14:paraId="2DC33E9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40.</w:t>
      </w:r>
      <w:r w:rsidRPr="00B6043C">
        <w:tab/>
        <w:t>inkluzív irányítási mechanizmusokat szorgalmaz, amelyek biztosítják az érintett érdekelt felek, például a halászok, köztük a kisüzemi halászok és adott esetben a regionális halászati gazdálkodási szervezetek közvetlen és strukturált bevonását a tervekre vonatkozó döntéshozatali, nyomonkövetési és felülvizsgálati folyamatokba;</w:t>
      </w:r>
    </w:p>
    <w:bookmarkEnd w:id="12"/>
    <w:p w14:paraId="753FF4F9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41.</w:t>
      </w:r>
      <w:r w:rsidRPr="00B6043C">
        <w:tab/>
        <w:t>hangsúlyozza, hogy a tengeri területrendezés keretében meg kell erősíteni a halászat támogatását, és szisztematikusan figyelembe kell venni azt; támogatja az egyértelmű területi övezetek és a kiemelt halászati övezetek létrehozását, figyelembe véve a halászati erőforrások mozgását és fejlődését, a hagyományos halászati és akvakultúra-övezetek elismerését, a környezet megőrzésének és védelmének szükségességét, valamint a halállományok állapotának javítását; hangsúlyozza, hogy a halászati ágazat láthatóságának és kiszámíthatóságának növelése érdekében az övezeteket a különböző flottaszegmensekhez és tengeri medencékhez kell igazítani, és ezeknek megbízható tudományos és társadalmi-gazdasági értékeléseken és mutatókon kell alapulniuk; felszólít a halászat áthelyezése kumulatív társadalmi-gazdasági hatásainak kötelező értékelésére, beleértve az uniós flotta versenyképességére, jövedelmezőségére, tengeri biztonságára és generációs megújulására gyakorolt hatásokat;</w:t>
      </w:r>
    </w:p>
    <w:p w14:paraId="46BEC81B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42.</w:t>
      </w:r>
      <w:r w:rsidRPr="00B6043C">
        <w:tab/>
        <w:t>hangsúlyozza különösen, hogy növelni kell a 12 tengeri mérföldes övezeten belül a kisléptékű, alacsony környezeti hatású part menti halászat számára fenntartott és közös irányítási rendszerekkel alátámasztott területek számát;</w:t>
      </w:r>
    </w:p>
    <w:p w14:paraId="1182F66B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lastRenderedPageBreak/>
        <w:t>43.</w:t>
      </w:r>
      <w:r w:rsidRPr="00B6043C">
        <w:tab/>
        <w:t>hangsúlyozza, hogy meg kell erősíteni a halászati területek és a halászati erőforrások feltérképezésére és modellezésére irányuló kutatást; úgy véli, hogy a kiemelt halászati övezetek meghatározásának és a halászati tevékenységek tervezésének dinamikus megközelítést kell alkalmaznia annak érdekében, hogy alkalmazkodni lehessen a halállományok változásának és vándorlásának a történelmi elterjedési területeket érintő jelenségeihez;</w:t>
      </w:r>
    </w:p>
    <w:p w14:paraId="315C801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44.</w:t>
      </w:r>
      <w:r w:rsidRPr="00B6043C">
        <w:tab/>
        <w:t>felhívja a Bizottságot, hogy tegyen javaslatot egy kompenzációs intézkedésekből vagy biztosítási rendszerekből – például pénzügyi kompenzációs intézkedésekből – álló mechanizmusra a halászati ágazat számára abban az esetben, ha tevékenységeit a tenger alternatív hasznosítási módjai kiszorítják, és részesítse előnyben az új, kompatibilis hasznosításokat és a halászati útvonalak átalakításának támogatását vagy a technológiai beruházásokat;</w:t>
      </w:r>
    </w:p>
    <w:p w14:paraId="5C1F8DCF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45.</w:t>
      </w:r>
      <w:r w:rsidRPr="00B6043C">
        <w:tab/>
        <w:t>kiemeli, hogy a tengeri tevékenységekre, például a halászatra vonatkozó széles körű korlátozások negatív következményekkel járhatnak a part menti közösségekre, nem utolsósorban a szigeteken és a legkülső régiókban; kéri, hogy a tengeri területrendezési tervek kidolgozását, végrehajtását és felülvizsgálatát minden esetben kísérjék társadalmi és területi hatásvizsgálatok, többek között a foglalkoztatásra, a munkakörülményekre, a halászok biztonságára és a part menti közösségek fenntarthatóságára vonatkozóan, és értékeljék a halászati korlátozások és intézkedések biológiai és társadalmi-gazdasági hatékonyságát;</w:t>
      </w:r>
    </w:p>
    <w:p w14:paraId="4FA96CCC" w14:textId="77777777" w:rsidR="003857C1" w:rsidRPr="00B6043C" w:rsidRDefault="003857C1" w:rsidP="002B105C">
      <w:pPr>
        <w:pStyle w:val="NormalHanging12a"/>
        <w:widowControl/>
      </w:pPr>
      <w:r w:rsidRPr="00B6043C">
        <w:t>46.</w:t>
      </w:r>
      <w:r w:rsidRPr="00B6043C">
        <w:tab/>
        <w:t>felhívja a Bizottságot és a tagállamokat, hogy ismerjék el a halászatot a tengeri térség stratégiai és kiemelt felhasználójaként, amely elengedhetetlen az EU élelmiszer-önrendelkezéséhez és élelmezésbiztonságához, a part menti foglalkoztatáshoz és a stratégiai autonómiához, és ezt a státuszt kifejezetten tükrözzék a tengeri területrendezési tervekben és a tengeri területrendezési irányelv közelgő felülvizsgálatában;</w:t>
      </w:r>
    </w:p>
    <w:p w14:paraId="31BFA3AE" w14:textId="77777777" w:rsidR="003857C1" w:rsidRPr="00B6043C" w:rsidRDefault="003857C1" w:rsidP="002B105C">
      <w:pPr>
        <w:pStyle w:val="NormalHanging12a"/>
        <w:widowControl/>
      </w:pPr>
      <w:r w:rsidRPr="00B6043C">
        <w:t>47.</w:t>
      </w:r>
      <w:r w:rsidRPr="00B6043C">
        <w:tab/>
        <w:t>e tekintetben felszólít a kisüzemi halászat irányításának differenciált megközelítésére, amely magában foglalja a 12 tengeri mérföldes övezeten belüli preferenciális hozzáférést a kisüzemi halászat, az alacsony környezeti hatású tevékenységek és a természetvédelmi projektek számára;</w:t>
      </w:r>
    </w:p>
    <w:p w14:paraId="1FF70E53" w14:textId="77777777" w:rsidR="003857C1" w:rsidRPr="00B6043C" w:rsidRDefault="003857C1" w:rsidP="002B105C">
      <w:pPr>
        <w:pStyle w:val="NormalHanging12a"/>
        <w:widowControl/>
      </w:pPr>
      <w:r w:rsidRPr="00B6043C">
        <w:t>48.</w:t>
      </w:r>
      <w:r w:rsidRPr="00B6043C">
        <w:tab/>
        <w:t>felhívja a Bizottságot és a tagállamokat, hogy még jobban integrálják az akvakultúrát és a kagylótenyésztést, valamint a partról történő halászatot, ezen belül a kagylóhalászatot a tengeri területrendezésbe, és ismerjék el az alacsony trofitású és alacsony szén-dioxid-kibocsátású akvakultúra nyújtotta ökoszisztéma-szolgáltatásokat; felhívja a Bizottságot, hogy vegyen fontolóra további intézkedéseket, például egy lehetséges közös akvakultúra-politika kidolgozását ezen integráció elősegítésének eszközeként; kéri, hogy a tengeri területrendezésben jelöljenek ki külön tengeri térségeket a fenntartható akvakultúra-fejlesztési övezetek, például az alacsony szén-dioxid-kibocsátású és alacsony trofitású akvakultúra számára; kéri az engedélyezési eljárások megkönnyítését és az e tevékenységek fejlődését gátló szabályozási akadályok csökkentését; hangsúlyozza, hogy a társadalmi-gazdasági előnyök maximalizálása érdekében az engedélyezési eljárásokat fel kell gyorsítani és egyértelmű környezetvédelmi követelményekkel kell alátámasztani; kéri, hogy biztosítsanak ösztönzőket az akvakultúra, különösen az alacsony trofitású akvakultúra fenntartható fejlesztésének olyan nem takarmányjellegű fajokra, mint például a tengeri moszat termesztésére való diverzifikáció révén történő fellendítésére;</w:t>
      </w:r>
    </w:p>
    <w:p w14:paraId="63ED3DE6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lastRenderedPageBreak/>
        <w:t>49.</w:t>
      </w:r>
      <w:r w:rsidRPr="00B6043C">
        <w:tab/>
        <w:t>hangsúlyozza, hogy a tengeri területrendezésben átlátható, több érdekelt felet bevonó irányításra van szükség; felhívja a tagállamokat, hogy biztosítsák az érintett érdekelt felek, köztük a tanácsadó testületek és a halászok, az akvakultúrával foglalkozó haltenyésztők és a kagylóhalászok korai, szisztematikus, érdemi és folyamatos részvételét a tengeri területrendezés kialakításának, folyamatainak, végrehajtásának, végeredményeinek és felülvizsgálatának valamennyi szakaszában, valamint hogy építsenek be átlátható visszajelzést arról, hogy az érdekelt felek észrevételeit hogyan használják fel a döntéshozatalban; felszólít a valamennyi érdekelt féllel, valamint a part menti és szigeti közösségekkel szembeni méltányos bánásmódra, függetlenül azok pénzügyi, közigazgatási vagy szervezeti eszközeitől, átlátható konzultációs formák révén;</w:t>
      </w:r>
    </w:p>
    <w:p w14:paraId="1F6C7FCA" w14:textId="77777777" w:rsidR="003857C1" w:rsidRPr="00B6043C" w:rsidRDefault="003857C1" w:rsidP="002B105C">
      <w:pPr>
        <w:widowControl/>
        <w:spacing w:after="240"/>
        <w:ind w:left="567" w:hanging="567"/>
        <w:jc w:val="both"/>
      </w:pPr>
      <w:r w:rsidRPr="00B6043C">
        <w:t>50.</w:t>
      </w:r>
      <w:r w:rsidRPr="00B6043C">
        <w:tab/>
        <w:t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realitásokhoz igazított megközelítést, különösen akkor, ha a meglévő és bevált struktúrákra, valamint a helyi halászközösségek és más struktúrák, például a regionális halászati gazdálkodási szervezetek gyakorlati ismereteire épül; hangsúlyozza, hogy a közös irányítás hozzájárulhat az ágazat generációs megújulásának előmozdításához, valamint a kisüzemi és part menti flották gazdasági rezilienciájának megerősítéséhez is;</w:t>
      </w:r>
    </w:p>
    <w:p w14:paraId="6685FF4D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t>51.</w:t>
      </w:r>
      <w:r w:rsidRPr="00B6043C">
        <w:tab/>
        <w:t>hangsúlyozza az alulról építkező struktúrák, például a közösségvezérelt helyi fejlesztés és a helyi akciócsoportok, a halász- és gyűjtőszervezetek, a női halászati szervezetek, valamint az egyéb helyi és regionális szintű szervezetek előnyeit a tengeri területrendezés helyi végrehajtása szempontjából;</w:t>
      </w:r>
    </w:p>
    <w:p w14:paraId="3DA0162C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t>52.</w:t>
      </w:r>
      <w:r w:rsidRPr="00B6043C">
        <w:tab/>
        <w:t>felhívja a Bizottságot és a tagállamokat, hogy támogassák az érdekelt felek, különösen a kisüzemi halászok, így a partról történő halászatot folytató halászok, köztük a kagylóhalászok és szervezeteik, valamint a part menti és szigeti – köztük a legkülső régiókbeli – közösségek kapacitásépítését annak érdekében, hogy jobban felkészüljenek a tengeri területrendezéssel kapcsolatos nyilvános konzultációkban és döntéshozatali folyamatokban való aktív és hatékony részvételre; hangsúlyozza e tekintetben a generációs megújulás támogatásának fontosságát, és felhívja a tagállamokat annak biztosítására, hogy a területrendezési döntések ne gördítsenek további akadályokat a halászati tevékenységet kezdő fiatalok elé;</w:t>
      </w:r>
    </w:p>
    <w:p w14:paraId="417F70B9" w14:textId="77777777" w:rsidR="003857C1" w:rsidRPr="00B6043C" w:rsidRDefault="003857C1" w:rsidP="002B105C">
      <w:pPr>
        <w:pStyle w:val="NormalHanging12a"/>
        <w:widowControl/>
      </w:pPr>
      <w:r w:rsidRPr="00B6043C">
        <w:t>53.</w:t>
      </w:r>
      <w:r w:rsidRPr="00B6043C">
        <w:tab/>
        <w:t>hangsúlyozza, hogy a tengeri megújuló energiára vagy a tengeri ökoszisztémák védelmére szánt területek kijelölésekor figyelembe kell venni a halászatra és az akvakultúrára, például a történelmi és hagyományos halászterületekre gyakorolt hatást; kitart amellett, hogy az övezetek körülhatárolása előtt szisztematikusan vizsgálatokat kell végezni a kumulatív környezeti és a társadalmi-gazdasági hatások értékelésére, és biztosítani kell, hogy az érintett szakembereket, a tengeri szélerőműpark-projektek esetében különösen a halászokat előzetesen tájékoztassák, és kötelező jelleggel bevonják őket a konzultációkba a döntések meghozatala előtt; e tekintetben kéri a halászati erőforrások állapotára gyakorolt hatás értékelését, valamint a tengeri szélerőműparkok által a halászatra gyakorolt legfontosabb társadalmi és gazdasági hatások számszerűsítését;</w:t>
      </w:r>
    </w:p>
    <w:p w14:paraId="511441C6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54.</w:t>
      </w:r>
      <w:r w:rsidRPr="00B6043C">
        <w:tab/>
        <w:t xml:space="preserve">hangsúlyozza, hogy a tengeri ökoszisztémák védelmére irányuló intézkedéseknek megalapozott tudományos és társadalmi-gazdasági értékeléseken kell alapulniuk, és </w:t>
      </w:r>
      <w:r w:rsidRPr="00B6043C">
        <w:lastRenderedPageBreak/>
        <w:t xml:space="preserve">azokat az egyes területek védelmi igényeihez kell igazítani; hangsúlyozza, hogy a védett tengeri területek különböző kategóriáinak létrehozása és kezelése – amennyiben összeegyeztethető a természetvédelmi célkitűzésekkel és a rendelkezésre álló legjobb tudományos szakvéleményekkel – lehetővé kell, hogy tegye a fenntartható halászati tevékenységekkel való együttélést, többek között megfelelő, differenciált gazdálkodási intézkedések révén, elkerülve az automatikus kizárást; kiemeli továbbá az „egyéb hatékony területalapú védelmi intézkedésekben” rejlő lehetőségeket; </w:t>
      </w:r>
    </w:p>
    <w:p w14:paraId="63840527" w14:textId="77777777" w:rsidR="003857C1" w:rsidRPr="00B6043C" w:rsidRDefault="003857C1" w:rsidP="002B105C">
      <w:pPr>
        <w:pStyle w:val="NormalHanging12a"/>
        <w:widowControl/>
      </w:pPr>
      <w:bookmarkStart w:id="14" w:name="_Hlk226557942"/>
      <w:r w:rsidRPr="00B6043C">
        <w:t>55.</w:t>
      </w:r>
      <w:r w:rsidRPr="00B6043C">
        <w:tab/>
        <w:t xml:space="preserve">felhívja a Bizottságot és a tagállamokat, hogy szisztematikusan és tudományosan értékeljék a tengeri övezetek – többek között a védett tengeri területek vagy a tengeri megújuló energia – együttes használatának lehetőségét, és kerüljék el, hogy a különböző tengeri övezeteket egymást kölcsönösen kizáró területekként kezeljék; hangsúlyozza, hogy valamennyi érdekelt félnek, különösen a halászoknak a védett tengeri területek kialakításába, kezelésébe és értékelésébe való aktív bevonása hozzájárul a nagyobb környezeti hatékonysághoz, a természetvédelmi intézkedések nagyobb elfogadottságához és e területek tengeri területrendezésbe való jobb integrációjához; </w:t>
      </w:r>
      <w:bookmarkEnd w:id="14"/>
      <w:r w:rsidRPr="00B6043C">
        <w:t>hangsúlyozza, hogy az éghajlatváltozást és a halállományok eloszlásának változását nagyobb mértékben figyelembe kell venni az övezetekre bontás olyan rugalmas megközelítésének biztosítása érdekében, amely tükrözi a halászat dinamikus jellegét;</w:t>
      </w:r>
    </w:p>
    <w:p w14:paraId="5AC69763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56.</w:t>
      </w:r>
      <w:r w:rsidRPr="00B6043C">
        <w:tab/>
        <w:t>felhívja a Bizottságot, hogy támogassa a tengeri területrendezés határokon átnyúló és tengeri medencéken alapuló megközelítését a meglévő kezdeményezések, például az Északi-tenger tágabb értelemben vett medencéjére vonatkozó kezdeményezés előmozdítása révén; felhívja a Bizottságot és a tagállamokat, valamint a szomszédos part menti államokat, hogy vegyenek részt a közös irányítás regionális platformjaiban, a Balti-tengeri Környezetvédelmi Bizottság (más néven Helsinki Bizottság vagy HELCOM) példájára építve, többek között a halászati tevékenységek közös folyosóinak azonosítása érdekében;</w:t>
      </w:r>
    </w:p>
    <w:p w14:paraId="1DB865B5" w14:textId="77777777" w:rsidR="003857C1" w:rsidRPr="00B6043C" w:rsidRDefault="003857C1" w:rsidP="002B105C">
      <w:pPr>
        <w:pStyle w:val="NormalHanging12a"/>
        <w:widowControl/>
      </w:pPr>
      <w:bookmarkStart w:id="15" w:name="_Hlk226559390"/>
      <w:r w:rsidRPr="00B6043C">
        <w:t>57.</w:t>
      </w:r>
      <w:r w:rsidRPr="00B6043C">
        <w:tab/>
        <w:t xml:space="preserve">felhívja a tagállamokat, hogy a nemzeti terveket egészítsék ki a tengeri medencékre jobban összpontosító tervekkel, és adott esetben dolgozzanak ki makroregionális tervezési stratégiákat, például közös tengeri területrendezési terveket; </w:t>
      </w:r>
      <w:bookmarkEnd w:id="15"/>
      <w:r w:rsidRPr="00B6043C">
        <w:t>sürgeti a tagállamokat és a nem uniós országokat, különösen a szomszédos part menti államokat, hogy mélyítsék el együttműködésüket a tengeri területrendezés terén, többek között az Egyesült Királysággal, a Földközi-tengerrel vagy a Balti-tengerrel szomszédos medencékben; támogatja a tengeri területrendezés tengeri medencékkel kapcsolatos erőteljesebb megközelítését, biztosítva, hogy a halászat teljes mértékben beépüljön a határokon átnyúló tervezési keretekbe, és ne szenvedjen hátrányt a széttagolt nemzeti döntések miatt;</w:t>
      </w:r>
    </w:p>
    <w:p w14:paraId="462291CB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58.</w:t>
      </w:r>
      <w:r w:rsidRPr="00B6043C">
        <w:tab/>
        <w:t>fokozott együttműködésre szólít fel az EU, a tagállamok és a nem uniós országok között a tengeri területrendezés terén; hangsúlyozza, hogy jobb koordinációra van szükség a La Manche csatorna parti államai között; kiemeli különösen a Csatorna-régió esetét, ahol javítani kell az Egyesült Királysággal és a Csatorna-szigetekkel folytatott együttműködést, különösen a védett tengeri területek kijelölése tekintetében; úgy véli, hogy az e tekintetben folytatott együttműködésnek magában kell foglalnia az érdekelt felekkel folytatott kötelező és átlátható konzultációs folyamatokat; felhívja az EU-t, az Egyesült Királyságot és más érintett feleket, hogy dolgozzanak ki regionális gazdálkodási tervet a La Manche csatornára és az Északi-tengerre vonatkozóan az erőforrások fenntartható kiaknázásának és a többéves halászati gazdálkodásnak a biztosítása érdekében;</w:t>
      </w:r>
    </w:p>
    <w:p w14:paraId="295BCC69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lastRenderedPageBreak/>
        <w:t>59.</w:t>
      </w:r>
      <w:r w:rsidRPr="00B6043C">
        <w:tab/>
        <w:t>hangsúlyozza, hogy ennek a nem uniós országokkal való együttműködésnek egyenlő versenyfeltételeket kell biztosítania, és el kell kerülnie a halászati erőkifejtésnek az uniós flottákra és halászközösségekre nézve hátrányos áthelyezését; felhívja ezért a Bizottságot, hogy törekedjen strukturált megközelítésre a szomszédos part menti államokkal folytatott párbeszéd és együttműködés tekintetében a hasonló környezetvédelmi, gazdálkodási és szociális normák előmozdítására irányuló erőfeszítés részeként, és álljon készen bármilyen, az uniós érdekek megvédéséhez szükséges intézkedés meghozatalára;</w:t>
      </w:r>
    </w:p>
    <w:p w14:paraId="224E45A8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60.</w:t>
      </w:r>
      <w:r w:rsidRPr="00B6043C">
        <w:tab/>
        <w:t>kéri, hogy a tengeri területrendezésbe építsenek be az éghajlatváltozás mérséklésére és az ahhoz való alkalmazkodásra irányuló intézkedéseket és más releváns környezetvédelmi intézkedéseket a halászatot és az akvakultúrát érintő olyan kérdések kezelése érdekében, mint a parti erózió, az emelkedő vízhőmérséklet, az invazív fajok, az óceánok savasodása, a szárazföldi és tengeri forrásokból származó szennyezés, valamint a kumulatív hatások; hangsúlyozza, hogy ezeknek a megoldásoknak arányosnak kell lenniük, igazodniuk kell a helyi körülményekhez, és előzetesen értékelni kell azokat a költséghatékonyság szempontjából, elkerülve az olyan egyenmegközelítéseket, amelyek nem veszik figyelembe az egyes tengeri medencék realitásait; hangsúlyozza, hogy a halászok kulcsszerepet játszhatnak a nyomon követésre, a korai felismerésre és a megőrzésre irányuló erőfeszítésekben, feltéve, hogy megfelelően bevonják, kiképezik és támogatják őket;</w:t>
      </w:r>
    </w:p>
    <w:p w14:paraId="4CF4BDF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61.</w:t>
      </w:r>
      <w:r w:rsidRPr="00B6043C">
        <w:tab/>
        <w:t>hangsúlyozza a parti eróziónak és a partvonal visszahúzódásának a partvidékekre gyakorolt hatásait, különösen azokon a területeken, ahol akvakultúra-tevékenységeket alakítottak ki és fejlesztettek; e tekintetben felszólít a part menti rezilienciára vonatkozó uniós terv kidolgozására, amely magában foglalja a tengerparti övezetek integrált kezelését, az éghajlatváltozás mérséklését és az ahhoz való alkalmazkodást, a szárazföld és a tenger közötti kölcsönhatásokat, a tengeri és a szárazföldi eredetű szennyezést, a part menti alkalmazkodási intézkedéseket és az akvakultúra célzott támogatását; úgy véli, hogy a tagállamok fontos szerepet játszanak e tekintetben, és hogy ezeket a hatásokat figyelembe kell venni a tagállamok tengeri területrendezési terveiben;</w:t>
      </w:r>
    </w:p>
    <w:p w14:paraId="00832EF1" w14:textId="77777777" w:rsidR="003857C1" w:rsidRPr="00B6043C" w:rsidRDefault="003857C1" w:rsidP="002B105C">
      <w:pPr>
        <w:pStyle w:val="NormalHanging12a"/>
        <w:widowControl/>
      </w:pPr>
      <w:r w:rsidRPr="00B6043C">
        <w:t>62.</w:t>
      </w:r>
      <w:r w:rsidRPr="00B6043C">
        <w:tab/>
        <w:t>mély aggodalmát fejezi ki a különböző strukturális alapok és az új többéves pénzügyi keret Bizottság által előterjesztett reformja miatt, amely jelentősen csökkenteni fogja a halászatra elkülönített forrásokat, és ezáltal veszélyezteti a tengeri területrendezésről szóló irányelv jobb végrehajtását;</w:t>
      </w:r>
    </w:p>
    <w:p w14:paraId="43AC7F89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63.</w:t>
      </w:r>
      <w:r w:rsidRPr="00B6043C">
        <w:tab/>
        <w:t>hangsúlyozza, hogy jelentős forrásokat kell elkülöníteni az adatgyűjtésre és a tudományos kutatásra, valamint a tagállamok közötti adatmegosztás és koordináció fokozására; úgy véli, hogy a szabványosabb és harmonizáltabb adatok és módszerek hozzá fognak járulni a halászat és az akvakultúra tengeri területrendezésben elfoglalt helyének biztosításához; e tekintetben hangsúlyozza, hogy tudományos adatokat kell kidolgozni az éghajlatváltozás halászati erőforrásokra gyakorolt hatásáról, különös tekintettel a halállományok és ívóterületek földrajzi eloszlásának változásaira vagy a halállományok kiszorítására, és ezeket az adatokat frissíteni kell;</w:t>
      </w:r>
    </w:p>
    <w:p w14:paraId="25B26AC5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64.</w:t>
      </w:r>
      <w:r w:rsidRPr="00B6043C">
        <w:tab/>
        <w:t>felszólít a harmonizált adatgyűjtés javítására és a halászati tevékenységek szisztematikus feltérképezésére, ami a tisztességes és tényeken alapuló tengeri területrendezés előfeltétele; felhívja a Bizottságot és a tagállamokat, hogy használják a rendelkezésre álló legjobb és legfrissebb adatokat és információkat;</w:t>
      </w:r>
    </w:p>
    <w:p w14:paraId="282384C9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lastRenderedPageBreak/>
        <w:t>65.</w:t>
      </w:r>
      <w:r w:rsidRPr="00B6043C">
        <w:tab/>
        <w:t>úgy véli, hogy a jövőbeli uniós óceánmegfigyelési kezdeményezésnek meg kell erősítenie és harmonizálnia kell a tengeri adatgyűjtést, hozzájárulva ezáltal a jobb tengeri területrendezéshez; kéri továbbá, hogy használják ki a European Digital Twin Ocean digitális modellben rejlő lehetőségeket az éghajlatváltozás tengerek állapotára és tengeri erőforrásokra gyakorolt hatásainak jobb megértésére és előrejelzésére, valamint a megfelelő tengeri tervezési stratégiák kidolgozására;</w:t>
      </w:r>
    </w:p>
    <w:p w14:paraId="120A8FF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66.</w:t>
      </w:r>
      <w:r w:rsidRPr="00B6043C">
        <w:tab/>
        <w:t>hangsúlyozza, hogy a tengeri területrendezést össze kell kapcsolni az Európai Tengerügyi, Halászati és Akvakultúra-alappal és a Horizont Európával, többek között a jövőbeli többéves pénzügyi keretben, a kutatás és az innováció előmozdítása érdekében, például a kifejezetten fenntartható és innovatív felhasználásra kijelölt területeken; úgy véli, hogy a Bizottságnak és a tagállamoknak ösztönözniük kell a digitális technológiák, például az európai mesterségesintelligencia-eszközök használatát a tengeri területrendezés támogatása érdekében;</w:t>
      </w:r>
    </w:p>
    <w:p w14:paraId="650B6B6A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67.</w:t>
      </w:r>
      <w:r w:rsidRPr="00B6043C">
        <w:tab/>
        <w:t>felszólítja a Bizottságot, hogy megfelelően kövesse nyomon a tengeri területrendezési irányelv végrehajtását; úgy véli, hogy a tengeri területrendezési irányelv következő értékelő jelentésének a halászatra és az akvakultúrára gyakorolt területi hatásokra,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 úgy véli, hogy a tengeri területrendezést a területi igazságosság, azaz az előnyök és a korlátozások szereplők, területek és generációk közötti méltányos elosztása szempontjából is kell értékelni, nem csak gazdasági vagy adminisztratív hatékonysága szempontjából;</w:t>
      </w:r>
    </w:p>
    <w:p w14:paraId="55C98491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68.</w:t>
      </w:r>
      <w:r w:rsidRPr="00B6043C">
        <w:tab/>
        <w:t>felhívja a Bizottságot, hogy szilárdítsa meg az európai tengeri területrendezési platformot azáltal, hogy példákat hoz tengeri területrendezési projektekre, feltérképezi az eszközöket és a bevált gyakorlatokat; sürgeti a tagállamokat, hogy tengeri területrendezési terveik kidolgozásakor nagyobb mértékben használják ki ezt a platformot az átlátható szakpolitikai döntéshozatal előmozdítása érdekében, anélkül, hogy kizárnák a tényleges konzultációt a használati és érdekellentétek megoldása során;</w:t>
      </w:r>
    </w:p>
    <w:p w14:paraId="36DF126C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69.</w:t>
      </w:r>
      <w:r w:rsidRPr="00B6043C">
        <w:tab/>
        <w:t>támogatja a tengeri területrendezési irányelvnek a 2026-ban várható „óceánügyi jogszabály” részeként történő felülvizsgálatát; megállapítja, hogy a tengeri területrendezésről szóló irányelvet a tengervédelmi stratégiáról szóló keretirányelvvel párhuzamosan vizsgálják felüll; úgy véli, hogy ennek a felülvizsgálatnak koherens keretet kell létrehoznia a meglévő jogszabályok és a szabályozási keret közötti koordináció javítása érdekében az egymást átfedő szabályozások észszerűsítése, a célkitűzések összehangolása, a meglévő célkitűzések észszerűsítése és a tengeri területrendezési tervekben elérendő minimumcélok bevezetése, a tengeri és a szárazföldi területrendezés közötti koherencia javítása, valamint megosztott irányítási eszközök létrehozása révén; úgy véli, hogy ennek a felülvizsgálatnak jogilag kötelező erejűvé kell tennie az érdekelt felek, különösen a halászok és a part menti közösségek részvételére vonatkozó rendelkezéseket, és azokat valamennyi tagállamnak összehangoltabban kell alkalmaznia; úgy véli, hogy a javasolt jogi aktusnak szinergiát kell teremtenie a különböző rendeletek és ágazatok között a szakpolitika valóban holisztikus összehangolása révén, anélkül, hogy új ágazatspecifikus kötelezettségeket írna elő; úgy véli továbbá, hogy minimumszabályokat kell bevezetni a halászat és az akvakultúra számára biztosítandó terület biztosítása érdekében az élelmiszer-</w:t>
      </w:r>
      <w:r w:rsidRPr="00B6043C">
        <w:lastRenderedPageBreak/>
        <w:t>önrendelkezéshez, a stratégiai autonómiához, valamint a kék gazdaság fenntarthatóságához és versenyképességéhez való hozzájárulás érdekében;</w:t>
      </w:r>
    </w:p>
    <w:p w14:paraId="750E0C5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70.</w:t>
      </w:r>
      <w:r w:rsidRPr="00B6043C">
        <w:tab/>
        <w:t>úgy véli, hogy a tengeri területrendezési irányelv felülvizsgálatának a kumulatív hatások enyhítése érdekében el kell mélyítenie a határokon átnyúló, többcélú használatra vonatkozó megközelítést és meg kell erősítenie az érdekelt felek bevonását is; fontosnak tartja továbbá, hogy a felülvizsgálatot kihasználják az uniós halászflotta széttagoltságának és bizonytalanságának csökkentésére;</w:t>
      </w:r>
    </w:p>
    <w:p w14:paraId="0D251927" w14:textId="77777777" w:rsidR="003857C1" w:rsidRPr="00B6043C" w:rsidRDefault="003857C1" w:rsidP="002B105C">
      <w:pPr>
        <w:widowControl/>
        <w:spacing w:after="240"/>
        <w:ind w:left="567" w:hanging="567"/>
      </w:pPr>
      <w:r w:rsidRPr="00B6043C">
        <w:t>71.</w:t>
      </w:r>
      <w:r w:rsidRPr="00B6043C">
        <w:tab/>
        <w:t>úgy véli, hogy az óceánügyi jogszabálynak az EU valamennyi területére ki kell terjednie, és figyelembe kell vennie azok sajátos jellemzőit, különösen a legkülső régiók és a szigeti régiók esetében; hangsúlyozza annak fontosságát, hogy a Parlament Halászati Bizottságát bevonják a soron következő javaslat kidolgozásába, különösen az élelmiszer-önrendelkezéssel, a halászat és az akvakultúra stratégiai szerepével, valamint a közös halászati politika hatékony végrehajtásával kapcsolatban;</w:t>
      </w:r>
    </w:p>
    <w:p w14:paraId="0E16CBBF" w14:textId="77777777" w:rsidR="003857C1" w:rsidRPr="00B6043C" w:rsidRDefault="003857C1" w:rsidP="002B105C">
      <w:pPr>
        <w:widowControl/>
        <w:spacing w:after="240" w:line="259" w:lineRule="auto"/>
        <w:ind w:left="567" w:hanging="567"/>
      </w:pPr>
      <w:r w:rsidRPr="00B6043C">
        <w:t>72.</w:t>
      </w:r>
      <w:r w:rsidRPr="00B6043C">
        <w:tab/>
        <w:t>úgy véli, hogy a tengeri területrendezésről szóló irányelv közelgő felülvizsgálatának szorosan kapcsolódnia kell az óceánügyi paktum végrehajtásához, a megfelelő pénzügyi források biztosításához – különösen a következő többéves pénzügyi keretben –, valamint a konkrét intézkedésekhez az irányelv hatékony végrehajtásának biztosítása és a tagállamokra és az érdekelt felekre gyakorolt negatív hatások elkerülése érdekében; hangsúlyozza, hogy ezeknek a forrásoknak elegendőnek, kiszámíthatónak és könnyen hozzáférhetőnek kell lenniük, és felhasználásuk során előnyben kell részesíteni a kézzelfogható hatással járó intézkedéseket;</w:t>
      </w:r>
    </w:p>
    <w:p w14:paraId="74ADF69E" w14:textId="77777777" w:rsidR="003857C1" w:rsidRPr="00B6043C" w:rsidRDefault="003857C1" w:rsidP="002B105C">
      <w:pPr>
        <w:pStyle w:val="NormalHanging12a"/>
        <w:widowControl/>
        <w:rPr>
          <w:rFonts w:eastAsiaTheme="minorHAnsi"/>
          <w:kern w:val="2"/>
          <w:szCs w:val="24"/>
          <w14:ligatures w14:val="standardContextual"/>
        </w:rPr>
      </w:pPr>
      <w:r w:rsidRPr="00B6043C">
        <w:t>73.</w:t>
      </w:r>
      <w:r w:rsidRPr="00B6043C">
        <w:tab/>
        <w:t>felhívja a Bizottságot, hogy a tengeri területrendezést teljes mértékben integrálja a halászatra és akvakultúrára vonatkozó 2040-es jövőképének kidolgozásába, és ezeket a kezdeményezéseket kapcsolja össze a közös halászati politika értékelésének eredményével;</w:t>
      </w:r>
    </w:p>
    <w:p w14:paraId="50DB0109" w14:textId="77777777" w:rsidR="003857C1" w:rsidRPr="00B6043C" w:rsidRDefault="003857C1" w:rsidP="002B105C">
      <w:pPr>
        <w:pStyle w:val="NormalHanging12a"/>
        <w:widowControl/>
        <w:jc w:val="center"/>
        <w:rPr>
          <w:rFonts w:eastAsiaTheme="minorHAnsi"/>
          <w:kern w:val="2"/>
          <w:szCs w:val="24"/>
          <w14:ligatures w14:val="standardContextual"/>
        </w:rPr>
      </w:pPr>
      <w:r w:rsidRPr="00B6043C">
        <w:t>°</w:t>
      </w:r>
    </w:p>
    <w:p w14:paraId="7CC39700" w14:textId="77777777" w:rsidR="003857C1" w:rsidRPr="00B6043C" w:rsidRDefault="003857C1" w:rsidP="002B105C">
      <w:pPr>
        <w:pStyle w:val="NormalHanging12a"/>
        <w:widowControl/>
        <w:jc w:val="center"/>
        <w:rPr>
          <w:rFonts w:eastAsiaTheme="minorHAnsi"/>
          <w:kern w:val="2"/>
          <w:szCs w:val="24"/>
          <w14:ligatures w14:val="standardContextual"/>
        </w:rPr>
      </w:pPr>
      <w:r w:rsidRPr="00B6043C">
        <w:t>°</w:t>
      </w:r>
      <w:r w:rsidRPr="00B6043C">
        <w:tab/>
        <w:t>°</w:t>
      </w:r>
    </w:p>
    <w:p w14:paraId="7684C7F1" w14:textId="2539C5BB" w:rsidR="00BB0D29" w:rsidRPr="00BB0D29" w:rsidRDefault="003857C1" w:rsidP="002B105C">
      <w:pPr>
        <w:pStyle w:val="NormalHanging12a"/>
        <w:widowControl/>
      </w:pPr>
      <w:r w:rsidRPr="00B6043C">
        <w:t>74.</w:t>
      </w:r>
      <w:r w:rsidRPr="00B6043C">
        <w:tab/>
        <w:t>utasítja elnökét, hogy továbbítsa ezt az állásfoglalást a Tanácsnak és a Bizottságnak, valamint a tagállamok kormányainak és parlamentjeinek.</w:t>
      </w:r>
    </w:p>
    <w:p w14:paraId="15D8BB9F" w14:textId="34D581C6" w:rsidR="00E365E1" w:rsidRPr="00BB0D29" w:rsidRDefault="00E365E1" w:rsidP="002B105C">
      <w:pPr>
        <w:widowControl/>
        <w:spacing w:after="240"/>
        <w:ind w:left="567" w:hanging="567"/>
      </w:pPr>
    </w:p>
    <w:sectPr w:rsidR="00E365E1" w:rsidRPr="00BB0D29" w:rsidSect="00BB0D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7DCF2" w14:textId="77777777" w:rsidR="00323451" w:rsidRPr="00BB0D29" w:rsidRDefault="00323451">
      <w:r w:rsidRPr="00BB0D29">
        <w:separator/>
      </w:r>
    </w:p>
  </w:endnote>
  <w:endnote w:type="continuationSeparator" w:id="0">
    <w:p w14:paraId="6750292D" w14:textId="77777777" w:rsidR="00323451" w:rsidRPr="00BB0D29" w:rsidRDefault="00323451">
      <w:r w:rsidRPr="00BB0D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75667" w14:textId="77777777" w:rsidR="00064002" w:rsidRPr="00BB0D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C410D" w14:textId="77777777" w:rsidR="00064002" w:rsidRPr="00BB0D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7DB3" w14:textId="77777777" w:rsidR="00064002" w:rsidRPr="00BB0D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244A" w14:textId="77777777" w:rsidR="00323451" w:rsidRPr="00BB0D29" w:rsidRDefault="00323451">
      <w:r w:rsidRPr="00BB0D29">
        <w:separator/>
      </w:r>
    </w:p>
  </w:footnote>
  <w:footnote w:type="continuationSeparator" w:id="0">
    <w:p w14:paraId="315B808C" w14:textId="77777777" w:rsidR="00323451" w:rsidRPr="00BB0D29" w:rsidRDefault="00323451">
      <w:r w:rsidRPr="00BB0D29">
        <w:continuationSeparator/>
      </w:r>
    </w:p>
  </w:footnote>
  <w:footnote w:id="1">
    <w:p w14:paraId="551B7E9E" w14:textId="1FE3FF6E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L 257., 2014.8.28., 135. o., ELI: </w:t>
      </w:r>
      <w:hyperlink r:id="rId1" w:history="1">
        <w:r w:rsidRPr="00BB0D29">
          <w:rPr>
            <w:rStyle w:val="Hyperlink"/>
            <w:sz w:val="24"/>
            <w:lang w:val="hu-HU"/>
          </w:rPr>
          <w:t>http://data.europa.eu/eli/dir/2014/89/oj</w:t>
        </w:r>
      </w:hyperlink>
      <w:r w:rsidRPr="00BB0D29">
        <w:rPr>
          <w:sz w:val="24"/>
          <w:lang w:val="hu-HU"/>
        </w:rPr>
        <w:t>.</w:t>
      </w:r>
    </w:p>
  </w:footnote>
  <w:footnote w:id="2">
    <w:p w14:paraId="1AD55329" w14:textId="6CF42AF0" w:rsidR="003857C1" w:rsidRPr="00BB0D29" w:rsidRDefault="003857C1" w:rsidP="00BB0D29">
      <w:pPr>
        <w:ind w:left="567" w:hanging="567"/>
      </w:pPr>
      <w:r w:rsidRPr="00BB0D29">
        <w:rPr>
          <w:rStyle w:val="FootnoteReference"/>
        </w:rPr>
        <w:footnoteRef/>
      </w:r>
      <w:r w:rsidR="00BB0D29" w:rsidRPr="00BB0D29">
        <w:t xml:space="preserve"> </w:t>
      </w:r>
      <w:r w:rsidR="00BB0D29" w:rsidRPr="00BB0D29">
        <w:tab/>
      </w:r>
      <w:r w:rsidRPr="00BB0D29">
        <w:t xml:space="preserve">HL L 164., 2008.6.25., 19. o., ELI: </w:t>
      </w:r>
      <w:hyperlink r:id="rId2" w:history="1">
        <w:r w:rsidRPr="00BB0D29">
          <w:rPr>
            <w:rStyle w:val="Hyperlink"/>
          </w:rPr>
          <w:t>http://data.europa.eu/eli/dir/2008/56/oj</w:t>
        </w:r>
      </w:hyperlink>
      <w:r w:rsidRPr="00BB0D29">
        <w:t>.</w:t>
      </w:r>
    </w:p>
  </w:footnote>
  <w:footnote w:id="3">
    <w:p w14:paraId="04E4049F" w14:textId="6135F1E4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L 354., 2013.12.28., 22. o., ELI: </w:t>
      </w:r>
      <w:hyperlink r:id="rId3" w:history="1">
        <w:r w:rsidRPr="00BB0D29">
          <w:rPr>
            <w:rStyle w:val="Hyperlink"/>
            <w:sz w:val="24"/>
            <w:lang w:val="hu-HU"/>
          </w:rPr>
          <w:t>http://data.europa.eu/eli/reg/2013/1380/oj</w:t>
        </w:r>
      </w:hyperlink>
      <w:r w:rsidRPr="00BB0D29">
        <w:rPr>
          <w:sz w:val="24"/>
          <w:lang w:val="hu-HU"/>
        </w:rPr>
        <w:t>.</w:t>
      </w:r>
    </w:p>
  </w:footnote>
  <w:footnote w:id="4">
    <w:p w14:paraId="3A91E822" w14:textId="6B705AE9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L 247., 2021.7.13., 1. o., ELI: </w:t>
      </w:r>
      <w:hyperlink r:id="rId4" w:history="1">
        <w:r w:rsidRPr="00BB0D29">
          <w:rPr>
            <w:rStyle w:val="Hyperlink"/>
            <w:sz w:val="24"/>
            <w:lang w:val="hu-HU"/>
          </w:rPr>
          <w:t>http://data.europa.eu/eli/reg/2021/1139/oj</w:t>
        </w:r>
      </w:hyperlink>
      <w:r w:rsidRPr="00BB0D29">
        <w:rPr>
          <w:sz w:val="24"/>
          <w:lang w:val="hu-HU"/>
        </w:rPr>
        <w:t>.</w:t>
      </w:r>
    </w:p>
  </w:footnote>
  <w:footnote w:id="5">
    <w:p w14:paraId="0A8325D0" w14:textId="0AA1121A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L 206., 1992.7.22., 7. o.; ELI: </w:t>
      </w:r>
      <w:hyperlink r:id="rId5" w:history="1">
        <w:r w:rsidRPr="00BB0D29">
          <w:rPr>
            <w:rStyle w:val="Hyperlink"/>
            <w:sz w:val="24"/>
            <w:lang w:val="hu-HU"/>
          </w:rPr>
          <w:t>http://data.europa.eu/eli/dir/1992/43/oj</w:t>
        </w:r>
      </w:hyperlink>
      <w:r w:rsidRPr="00BB0D29">
        <w:rPr>
          <w:sz w:val="24"/>
          <w:lang w:val="hu-HU"/>
        </w:rPr>
        <w:t>.</w:t>
      </w:r>
    </w:p>
  </w:footnote>
  <w:footnote w:id="6">
    <w:p w14:paraId="644E5EA6" w14:textId="17E1A566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L 20., 2010.1.26., 7. o., ELI: </w:t>
      </w:r>
      <w:hyperlink r:id="rId6" w:history="1">
        <w:r w:rsidRPr="00BB0D29">
          <w:rPr>
            <w:rStyle w:val="Hyperlink"/>
            <w:sz w:val="24"/>
            <w:lang w:val="hu-HU"/>
          </w:rPr>
          <w:t>http://data.europa.eu/eli/dir/2009/147/oj</w:t>
        </w:r>
      </w:hyperlink>
      <w:r w:rsidRPr="00BB0D29">
        <w:rPr>
          <w:sz w:val="24"/>
          <w:lang w:val="hu-HU"/>
        </w:rPr>
        <w:t xml:space="preserve">. </w:t>
      </w:r>
    </w:p>
  </w:footnote>
  <w:footnote w:id="7">
    <w:p w14:paraId="2D91E816" w14:textId="5E68B667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Az Európai Parlament és a Tanács 2000/60/EK irányelve (2000. október 23.) a vízpolitika terén a közösségi fellépés kereteinek meghatározásáról (HL L 327., 2000.12.22., 1. o., ELI: </w:t>
      </w:r>
      <w:hyperlink r:id="rId7" w:history="1">
        <w:r w:rsidRPr="00BB0D29">
          <w:rPr>
            <w:rStyle w:val="Hyperlink"/>
            <w:sz w:val="24"/>
            <w:lang w:val="hu-HU"/>
          </w:rPr>
          <w:t>http://data.europa.eu/eli/dir/2000/60/oj</w:t>
        </w:r>
      </w:hyperlink>
      <w:r w:rsidRPr="00BB0D29">
        <w:rPr>
          <w:sz w:val="24"/>
          <w:lang w:val="hu-HU"/>
        </w:rPr>
        <w:t xml:space="preserve">). </w:t>
      </w:r>
    </w:p>
  </w:footnote>
  <w:footnote w:id="8">
    <w:p w14:paraId="51816F67" w14:textId="7F2BB396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Az Európai Parlament és a Tanács 2008/105/EK irányelve (2008. december 16.) a vízpolitika területén a környezetminőségi előírásokról, a 82/176/EGK, a 83/513/EGK, a 84/156/EGK, a 84/491/EGK és a 86/280/EGK tanácsi irányelv módosításáról és azt követő hatályon kívül helyezéséről, valamint a 2000/60/EK európai parlamenti és tanácsi irányelv módosításáról (HL L 348., 2008.12.24., 84. o., ELI: </w:t>
      </w:r>
      <w:hyperlink r:id="rId8" w:history="1">
        <w:r w:rsidRPr="00BB0D29">
          <w:rPr>
            <w:rStyle w:val="Hyperlink"/>
            <w:sz w:val="24"/>
            <w:lang w:val="hu-HU"/>
          </w:rPr>
          <w:t>http://data.europa.eu/eli/dir/2008/105/oj</w:t>
        </w:r>
      </w:hyperlink>
      <w:r w:rsidRPr="00BB0D29">
        <w:rPr>
          <w:sz w:val="24"/>
          <w:lang w:val="hu-HU"/>
        </w:rPr>
        <w:t xml:space="preserve">). </w:t>
      </w:r>
    </w:p>
  </w:footnote>
  <w:footnote w:id="9">
    <w:p w14:paraId="6D9BB355" w14:textId="62DFCF61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Az Európai Parlament és a Tanács (EU) 2024/3019 irányelve (2024. november 27.) a települési szennyvíz kezeléséről (HL L, 2024/3019, 2024.12.12., ELI: </w:t>
      </w:r>
      <w:hyperlink r:id="rId9" w:history="1">
        <w:r w:rsidRPr="00BB0D29">
          <w:rPr>
            <w:rStyle w:val="Hyperlink"/>
            <w:sz w:val="24"/>
            <w:lang w:val="hu-HU"/>
          </w:rPr>
          <w:t>http://data.europa.eu/eli/dir/2024/3019/oj</w:t>
        </w:r>
      </w:hyperlink>
      <w:r w:rsidRPr="00BB0D29">
        <w:rPr>
          <w:sz w:val="24"/>
          <w:lang w:val="hu-HU"/>
        </w:rPr>
        <w:t xml:space="preserve">). </w:t>
      </w:r>
    </w:p>
  </w:footnote>
  <w:footnote w:id="10">
    <w:p w14:paraId="093BB9D2" w14:textId="56ED44A6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 Tanács 91/676/EGK irányelve (1991. december 12.) a vizek mezőgazdasági eredetű nitrátszennyezéssel szembeni védelméről (HL L 375., 1991.12.31., 1. o., ELI: </w:t>
      </w:r>
      <w:hyperlink r:id="rId10" w:history="1">
        <w:r w:rsidRPr="00BB0D29">
          <w:rPr>
            <w:rStyle w:val="Hyperlink"/>
            <w:sz w:val="24"/>
            <w:lang w:val="hu-HU"/>
          </w:rPr>
          <w:t>http://data.europa.eu/eli/dir/1991/676/oj</w:t>
        </w:r>
      </w:hyperlink>
      <w:r w:rsidRPr="00BB0D29">
        <w:rPr>
          <w:sz w:val="24"/>
          <w:lang w:val="hu-HU"/>
        </w:rPr>
        <w:t xml:space="preserve">). </w:t>
      </w:r>
    </w:p>
  </w:footnote>
  <w:footnote w:id="11">
    <w:p w14:paraId="53545D2B" w14:textId="38153C4C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Az Európai Parlament és a Tanács 2005/35/EK irányelve (2005. szeptember 7.) a hajók által okozott szennyezésről és a jogsértésekre alkalmazandó szankciók bevezetéséről (HL L 255., 2005.9.30., 11. o., ELI: </w:t>
      </w:r>
      <w:hyperlink r:id="rId11" w:history="1">
        <w:r w:rsidRPr="00BB0D29">
          <w:rPr>
            <w:rStyle w:val="Hyperlink"/>
            <w:sz w:val="24"/>
            <w:lang w:val="hu-HU"/>
          </w:rPr>
          <w:t>http://data.europa.eu/eli/dir/2005/35/oj</w:t>
        </w:r>
      </w:hyperlink>
      <w:r w:rsidRPr="00BB0D29">
        <w:rPr>
          <w:sz w:val="24"/>
          <w:lang w:val="hu-HU"/>
        </w:rPr>
        <w:t xml:space="preserve">). </w:t>
      </w:r>
    </w:p>
  </w:footnote>
  <w:footnote w:id="12">
    <w:p w14:paraId="66871715" w14:textId="03BC0BEE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Az Európai Parlament és a Tanács 1907/2006/EK rendelete (2006. december 18.) a vegyi anyagok regisztrálásáról, értékeléséről, engedélyezéséről és korlátozásáról (REACH), az Európai Vegyianyag-ügynökség létrehozásáról, az 1999/45/EK irányelv módosításáról, valamint a 793/93/EGK tanácsi rendelet, az 1488/94/EK bizottsági rendelet, a 76/769/EGK tanácsi irányelv, a 91/155/EGK, a 93/67/EGK, a 93/105/EK és a 2000/21/EK bizottsági irányelv hatályon kívül helyezéséről (HL L 396., 2006.12.30., 1. o., ELI: </w:t>
      </w:r>
      <w:hyperlink r:id="rId12" w:history="1">
        <w:r w:rsidRPr="00BB0D29">
          <w:rPr>
            <w:rStyle w:val="Hyperlink"/>
            <w:sz w:val="24"/>
            <w:lang w:val="hu-HU"/>
          </w:rPr>
          <w:t>http://data.europa.eu/eli/reg/2006/1907/oj</w:t>
        </w:r>
      </w:hyperlink>
      <w:r w:rsidRPr="00BB0D29">
        <w:rPr>
          <w:sz w:val="24"/>
          <w:lang w:val="hu-HU"/>
        </w:rPr>
        <w:t xml:space="preserve">). </w:t>
      </w:r>
    </w:p>
  </w:footnote>
  <w:footnote w:id="13">
    <w:p w14:paraId="678D6003" w14:textId="22318AE7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>Az Európai Parlament 2021. június 9-i állásfoglalása a 2030-ig tartó időszakra szóló uniós biodiverzitási stratégiáról: Hozzuk vissza a természetet az életünkbe! (HL C 67., 2022.2.8., 25. o.).</w:t>
      </w:r>
    </w:p>
  </w:footnote>
  <w:footnote w:id="14">
    <w:p w14:paraId="35A935B2" w14:textId="6738ABE6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>HL C 99., 2022.3.1., 88. o.</w:t>
      </w:r>
    </w:p>
  </w:footnote>
  <w:footnote w:id="15">
    <w:p w14:paraId="377DC901" w14:textId="7B4E5EFC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C 132., 2023.4.14., 106. o. </w:t>
      </w:r>
    </w:p>
  </w:footnote>
  <w:footnote w:id="16">
    <w:p w14:paraId="6F94EEF2" w14:textId="5326E052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C, C/2023/1060, 2023.12.15., ELI: </w:t>
      </w:r>
      <w:hyperlink r:id="rId13" w:history="1">
        <w:r w:rsidRPr="00BB0D29">
          <w:rPr>
            <w:rStyle w:val="Hyperlink"/>
            <w:sz w:val="24"/>
            <w:lang w:val="hu-HU"/>
          </w:rPr>
          <w:t>http://data.europa.eu/eli/C/2023/1060/oj</w:t>
        </w:r>
      </w:hyperlink>
      <w:r w:rsidRPr="00BB0D29">
        <w:rPr>
          <w:sz w:val="24"/>
          <w:lang w:val="hu-HU"/>
        </w:rPr>
        <w:t>.</w:t>
      </w:r>
    </w:p>
  </w:footnote>
  <w:footnote w:id="17">
    <w:p w14:paraId="3F9FB3F9" w14:textId="6296C051" w:rsidR="003857C1" w:rsidRPr="00BB0D29" w:rsidRDefault="003857C1" w:rsidP="00BB0D29">
      <w:pPr>
        <w:pStyle w:val="FootnoteText"/>
        <w:ind w:left="567" w:hanging="567"/>
        <w:rPr>
          <w:sz w:val="24"/>
          <w:lang w:val="hu-HU"/>
        </w:rPr>
      </w:pPr>
      <w:r w:rsidRPr="00BB0D29">
        <w:rPr>
          <w:rStyle w:val="FootnoteReference"/>
          <w:sz w:val="24"/>
          <w:lang w:val="hu-HU"/>
        </w:rPr>
        <w:footnoteRef/>
      </w:r>
      <w:r w:rsidR="00BB0D29" w:rsidRPr="00BB0D29">
        <w:rPr>
          <w:sz w:val="24"/>
          <w:lang w:val="hu-HU"/>
        </w:rPr>
        <w:t xml:space="preserve"> </w:t>
      </w:r>
      <w:r w:rsidR="00BB0D29" w:rsidRPr="00BB0D29">
        <w:rPr>
          <w:sz w:val="24"/>
          <w:lang w:val="hu-HU"/>
        </w:rPr>
        <w:tab/>
      </w:r>
      <w:r w:rsidRPr="00BB0D29">
        <w:rPr>
          <w:sz w:val="24"/>
          <w:lang w:val="hu-HU"/>
        </w:rPr>
        <w:t xml:space="preserve">HL C, C/2024/5734, 2024.10.17., ELI: </w:t>
      </w:r>
      <w:hyperlink r:id="rId14" w:history="1">
        <w:r w:rsidRPr="00BB0D29">
          <w:rPr>
            <w:rStyle w:val="Hyperlink"/>
            <w:sz w:val="24"/>
            <w:lang w:val="hu-HU"/>
          </w:rPr>
          <w:t>http://data.europa.eu/eli/C/2024/5734/oj</w:t>
        </w:r>
      </w:hyperlink>
      <w:r w:rsidRPr="00BB0D2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93C85" w14:textId="77777777" w:rsidR="00064002" w:rsidRPr="00BB0D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7828" w14:textId="77777777" w:rsidR="00064002" w:rsidRPr="00BB0D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6AEA" w14:textId="77777777" w:rsidR="00064002" w:rsidRPr="00BB0D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094882">
    <w:abstractNumId w:val="9"/>
  </w:num>
  <w:num w:numId="2" w16cid:durableId="2099212858">
    <w:abstractNumId w:val="9"/>
  </w:num>
  <w:num w:numId="3" w16cid:durableId="1779787804">
    <w:abstractNumId w:val="7"/>
  </w:num>
  <w:num w:numId="4" w16cid:durableId="1249264335">
    <w:abstractNumId w:val="7"/>
  </w:num>
  <w:num w:numId="5" w16cid:durableId="470098315">
    <w:abstractNumId w:val="6"/>
  </w:num>
  <w:num w:numId="6" w16cid:durableId="666520656">
    <w:abstractNumId w:val="6"/>
  </w:num>
  <w:num w:numId="7" w16cid:durableId="1275212300">
    <w:abstractNumId w:val="5"/>
  </w:num>
  <w:num w:numId="8" w16cid:durableId="576984897">
    <w:abstractNumId w:val="5"/>
  </w:num>
  <w:num w:numId="9" w16cid:durableId="1069613936">
    <w:abstractNumId w:val="4"/>
  </w:num>
  <w:num w:numId="10" w16cid:durableId="674915298">
    <w:abstractNumId w:val="4"/>
  </w:num>
  <w:num w:numId="11" w16cid:durableId="2098088489">
    <w:abstractNumId w:val="8"/>
  </w:num>
  <w:num w:numId="12" w16cid:durableId="2119566508">
    <w:abstractNumId w:val="8"/>
  </w:num>
  <w:num w:numId="13" w16cid:durableId="1755660692">
    <w:abstractNumId w:val="3"/>
  </w:num>
  <w:num w:numId="14" w16cid:durableId="1368994815">
    <w:abstractNumId w:val="3"/>
  </w:num>
  <w:num w:numId="15" w16cid:durableId="912935211">
    <w:abstractNumId w:val="2"/>
  </w:num>
  <w:num w:numId="16" w16cid:durableId="405301301">
    <w:abstractNumId w:val="2"/>
  </w:num>
  <w:num w:numId="17" w16cid:durableId="1796676615">
    <w:abstractNumId w:val="1"/>
  </w:num>
  <w:num w:numId="18" w16cid:durableId="1527795828">
    <w:abstractNumId w:val="1"/>
  </w:num>
  <w:num w:numId="19" w16cid:durableId="1220937981">
    <w:abstractNumId w:val="0"/>
  </w:num>
  <w:num w:numId="20" w16cid:durableId="827399466">
    <w:abstractNumId w:val="0"/>
  </w:num>
  <w:num w:numId="21" w16cid:durableId="32119817">
    <w:abstractNumId w:val="9"/>
  </w:num>
  <w:num w:numId="22" w16cid:durableId="511341318">
    <w:abstractNumId w:val="7"/>
  </w:num>
  <w:num w:numId="23" w16cid:durableId="918516535">
    <w:abstractNumId w:val="6"/>
  </w:num>
  <w:num w:numId="24" w16cid:durableId="1912807544">
    <w:abstractNumId w:val="5"/>
  </w:num>
  <w:num w:numId="25" w16cid:durableId="396248606">
    <w:abstractNumId w:val="4"/>
  </w:num>
  <w:num w:numId="26" w16cid:durableId="550846487">
    <w:abstractNumId w:val="8"/>
  </w:num>
  <w:num w:numId="27" w16cid:durableId="2124029775">
    <w:abstractNumId w:val="3"/>
  </w:num>
  <w:num w:numId="28" w16cid:durableId="953558876">
    <w:abstractNumId w:val="2"/>
  </w:num>
  <w:num w:numId="29" w16cid:durableId="1703240923">
    <w:abstractNumId w:val="1"/>
  </w:num>
  <w:num w:numId="30" w16cid:durableId="411053210">
    <w:abstractNumId w:val="0"/>
  </w:num>
  <w:num w:numId="31" w16cid:durableId="1291325972">
    <w:abstractNumId w:val="9"/>
  </w:num>
  <w:num w:numId="32" w16cid:durableId="230119999">
    <w:abstractNumId w:val="7"/>
  </w:num>
  <w:num w:numId="33" w16cid:durableId="1507669291">
    <w:abstractNumId w:val="6"/>
  </w:num>
  <w:num w:numId="34" w16cid:durableId="1867013019">
    <w:abstractNumId w:val="5"/>
  </w:num>
  <w:num w:numId="35" w16cid:durableId="1957911397">
    <w:abstractNumId w:val="4"/>
  </w:num>
  <w:num w:numId="36" w16cid:durableId="948658077">
    <w:abstractNumId w:val="8"/>
  </w:num>
  <w:num w:numId="37" w16cid:durableId="1687438705">
    <w:abstractNumId w:val="3"/>
  </w:num>
  <w:num w:numId="38" w16cid:durableId="484860677">
    <w:abstractNumId w:val="2"/>
  </w:num>
  <w:num w:numId="39" w16cid:durableId="900943666">
    <w:abstractNumId w:val="1"/>
  </w:num>
  <w:num w:numId="40" w16cid:durableId="284120419">
    <w:abstractNumId w:val="0"/>
  </w:num>
  <w:num w:numId="41" w16cid:durableId="826164953">
    <w:abstractNumId w:val="10"/>
  </w:num>
  <w:num w:numId="42" w16cid:durableId="1473593907">
    <w:abstractNumId w:val="10"/>
  </w:num>
  <w:num w:numId="43" w16cid:durableId="670448377">
    <w:abstractNumId w:val="10"/>
  </w:num>
  <w:num w:numId="44" w16cid:durableId="1681464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0/2026"/>
    <w:docVar w:name="dvlangue" w:val="HU"/>
    <w:docVar w:name="dvnumam" w:val="0"/>
    <w:docVar w:name="dvpe" w:val="781.431"/>
    <w:docVar w:name="dvrapporteur" w:val="Előadó: "/>
    <w:docVar w:name="dvtitre" w:val="Az Európai Parlament 2026.  ...-i állásfoglalása a tengeri területrendezés keretének létrehozásáról szóló 2014/89/EU irányelv végrehajtásának egyes halászati területeken és tengeri medencékben folytatott halászatra gyakorolt hatásáról (2024/2126(INI))"/>
  </w:docVars>
  <w:rsids>
    <w:rsidRoot w:val="003234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05C"/>
    <w:rsid w:val="002B18FE"/>
    <w:rsid w:val="002B5493"/>
    <w:rsid w:val="00323451"/>
    <w:rsid w:val="00343214"/>
    <w:rsid w:val="00361C00"/>
    <w:rsid w:val="00367B62"/>
    <w:rsid w:val="00374AF4"/>
    <w:rsid w:val="003857C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EC3"/>
    <w:rsid w:val="005F1B17"/>
    <w:rsid w:val="006037C0"/>
    <w:rsid w:val="006631B6"/>
    <w:rsid w:val="00680577"/>
    <w:rsid w:val="006B6C85"/>
    <w:rsid w:val="006F74FA"/>
    <w:rsid w:val="00731ADD"/>
    <w:rsid w:val="00734777"/>
    <w:rsid w:val="00747932"/>
    <w:rsid w:val="00751A4A"/>
    <w:rsid w:val="00756632"/>
    <w:rsid w:val="00762C74"/>
    <w:rsid w:val="0077564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7CB"/>
    <w:rsid w:val="00A778C7"/>
    <w:rsid w:val="00AB441E"/>
    <w:rsid w:val="00AB6293"/>
    <w:rsid w:val="00AE0928"/>
    <w:rsid w:val="00AF3B82"/>
    <w:rsid w:val="00B12E95"/>
    <w:rsid w:val="00B22876"/>
    <w:rsid w:val="00B558F0"/>
    <w:rsid w:val="00B6043C"/>
    <w:rsid w:val="00BB0D2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6F4"/>
    <w:rsid w:val="00D56C11"/>
    <w:rsid w:val="00D834A0"/>
    <w:rsid w:val="00D872DF"/>
    <w:rsid w:val="00D91E21"/>
    <w:rsid w:val="00DA7FCD"/>
    <w:rsid w:val="00E365E1"/>
    <w:rsid w:val="00E67A4D"/>
    <w:rsid w:val="00E820A4"/>
    <w:rsid w:val="00E9541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55CDA"/>
  <w15:chartTrackingRefBased/>
  <w15:docId w15:val="{C84B7FA9-9FC0-4F02-A8F5-FE30BE78D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857C1"/>
    <w:pPr>
      <w:spacing w:after="240"/>
      <w:ind w:left="567" w:hanging="567"/>
    </w:pPr>
  </w:style>
  <w:style w:type="paragraph" w:customStyle="1" w:styleId="EPComma">
    <w:name w:val="EPComma"/>
    <w:basedOn w:val="Normal"/>
    <w:rsid w:val="003857C1"/>
    <w:pPr>
      <w:spacing w:before="480" w:after="240"/>
    </w:pPr>
  </w:style>
  <w:style w:type="character" w:styleId="Hyperlink">
    <w:name w:val="Hyperlink"/>
    <w:basedOn w:val="DefaultParagraphFont"/>
    <w:rsid w:val="003857C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857C1"/>
    <w:rPr>
      <w:sz w:val="24"/>
      <w:lang w:val="hu-HU"/>
    </w:rPr>
  </w:style>
  <w:style w:type="paragraph" w:styleId="Revision">
    <w:name w:val="Revision"/>
    <w:hidden/>
    <w:uiPriority w:val="99"/>
    <w:semiHidden/>
    <w:rsid w:val="002B105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8/105/oj" TargetMode="External"/><Relationship Id="rId13" Type="http://schemas.openxmlformats.org/officeDocument/2006/relationships/hyperlink" Target="http://data.europa.eu/eli/C/2023/1060/oj" TargetMode="External"/><Relationship Id="rId3" Type="http://schemas.openxmlformats.org/officeDocument/2006/relationships/hyperlink" Target="http://data.europa.eu/eli/reg/2013/1380/oj" TargetMode="External"/><Relationship Id="rId7" Type="http://schemas.openxmlformats.org/officeDocument/2006/relationships/hyperlink" Target="http://data.europa.eu/eli/dir/2000/60/oj" TargetMode="External"/><Relationship Id="rId12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dir/2008/56/oj" TargetMode="External"/><Relationship Id="rId1" Type="http://schemas.openxmlformats.org/officeDocument/2006/relationships/hyperlink" Target="http://data.europa.eu/eli/dir/2014/89/oj" TargetMode="External"/><Relationship Id="rId6" Type="http://schemas.openxmlformats.org/officeDocument/2006/relationships/hyperlink" Target="http://data.europa.eu/eli/dir/2009/147/oj" TargetMode="External"/><Relationship Id="rId11" Type="http://schemas.openxmlformats.org/officeDocument/2006/relationships/hyperlink" Target="http://data.europa.eu/eli/dir/2005/35/oj" TargetMode="External"/><Relationship Id="rId5" Type="http://schemas.openxmlformats.org/officeDocument/2006/relationships/hyperlink" Target="http://data.europa.eu/eli/dir/1992/43/oj" TargetMode="External"/><Relationship Id="rId10" Type="http://schemas.openxmlformats.org/officeDocument/2006/relationships/hyperlink" Target="http://data.europa.eu/eli/dir/1991/676/oj" TargetMode="External"/><Relationship Id="rId4" Type="http://schemas.openxmlformats.org/officeDocument/2006/relationships/hyperlink" Target="http://data.europa.eu/eli/reg/2021/1139/oj" TargetMode="External"/><Relationship Id="rId9" Type="http://schemas.openxmlformats.org/officeDocument/2006/relationships/hyperlink" Target="http://data.europa.eu/eli/dir/2024/3019/oj" TargetMode="External"/><Relationship Id="rId14" Type="http://schemas.openxmlformats.org/officeDocument/2006/relationships/hyperlink" Target="http://data.europa.eu/eli/C/2024/573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7473</Words>
  <Characters>55183</Characters>
  <Application>Microsoft Office Word</Application>
  <DocSecurity>0</DocSecurity>
  <Lines>2759</Lines>
  <Paragraphs>803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2026-06-29T10:57:00Z</dcterms:created>
  <dcterms:modified xsi:type="dcterms:W3CDTF">2026-06-29T10:57:00Z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A10-0120/2026</vt:lpwstr>
  </property>
  <property fmtid="{D5CDD505-2E9C-101B-9397-08002B2CF9AE}" pid="4" name="&lt;Type&gt;">
    <vt:lpwstr>RR</vt:lpwstr>
  </property>
</Properties>
</file>